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jc w:val="center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</w:r>
    </w:p>
    <w:p>
      <w:pPr>
        <w:pStyle w:val="BodyText3"/>
        <w:jc w:val="center"/>
        <w:rPr>
          <w:rFonts w:cs="Arial"/>
          <w:color w:val="auto"/>
          <w:sz w:val="20"/>
        </w:rPr>
      </w:pPr>
      <w:r>
        <w:rPr/>
        <w:drawing>
          <wp:inline distT="0" distB="0" distL="0" distR="0">
            <wp:extent cx="1384300" cy="711200"/>
            <wp:effectExtent l="0" t="0" r="0" b="0"/>
            <wp:docPr id="1" name="Picture 1" descr="celebrity-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elebrity-managemen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3"/>
        <w:jc w:val="center"/>
        <w:rPr>
          <w:rFonts w:cs="Arial"/>
          <w:b/>
          <w:b/>
          <w:sz w:val="20"/>
          <w:szCs w:val="32"/>
        </w:rPr>
      </w:pPr>
      <w:r>
        <w:rPr>
          <w:rFonts w:cs="Arial"/>
          <w:b/>
          <w:sz w:val="20"/>
          <w:szCs w:val="32"/>
        </w:rPr>
      </w:r>
    </w:p>
    <w:p>
      <w:pPr>
        <w:pStyle w:val="BodyText3"/>
        <w:jc w:val="center"/>
        <w:rPr>
          <w:rFonts w:ascii="Tahoma" w:hAnsi="Tahoma" w:cs="Tahoma"/>
          <w:color w:val="auto"/>
          <w:sz w:val="20"/>
        </w:rPr>
      </w:pPr>
      <w:r>
        <w:rPr>
          <w:rFonts w:cs="Tahoma" w:ascii="Tahoma" w:hAnsi="Tahoma"/>
          <w:b/>
          <w:sz w:val="32"/>
          <w:szCs w:val="32"/>
        </w:rPr>
        <w:t>SMLOUVA O VYTVOŘENÍ UMĚLECKÉHO VÝKONU                      A POSKYTNUTÍ OPRÁVNĚNÍ UMĚLECKÝ VÝKON UŽÍT</w:t>
      </w:r>
    </w:p>
    <w:p>
      <w:pPr>
        <w:pStyle w:val="Normal"/>
        <w:tabs>
          <w:tab w:val="clear" w:pos="708"/>
          <w:tab w:val="left" w:pos="426" w:leader="none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(dále jen „smlouva“)</w:t>
      </w:r>
    </w:p>
    <w:p>
      <w:pPr>
        <w:pStyle w:val="Normal"/>
        <w:tabs>
          <w:tab w:val="clear" w:pos="708"/>
          <w:tab w:val="left" w:pos="426" w:leader="none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tabs>
          <w:tab w:val="clear" w:pos="708"/>
          <w:tab w:val="left" w:pos="426" w:leader="none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Níže uvedeného dne, měsíce a roku uzavřeli</w:t>
      </w:r>
    </w:p>
    <w:p>
      <w:pPr>
        <w:pStyle w:val="Normal"/>
        <w:jc w:val="both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/>
          <w:szCs w:val="24"/>
        </w:rPr>
        <w:t>1. Městské kulturní středisko Jaroměř, zastoupené ředitelkou Monikou Brychovou</w:t>
      </w:r>
    </w:p>
    <w:p>
      <w:pPr>
        <w:pStyle w:val="Normal"/>
        <w:jc w:val="both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</w:t>
      </w:r>
      <w:r>
        <w:rPr>
          <w:rFonts w:ascii="Times New Roman" w:hAnsi="Times New Roman"/>
          <w:b w:val="false"/>
          <w:bCs w:val="false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Cs w:val="24"/>
        </w:rPr>
        <w:t>se sídlem: Nám. Dukelských hrdinů 240, 551 01  Jaroměř</w:t>
      </w:r>
    </w:p>
    <w:p>
      <w:pPr>
        <w:pStyle w:val="Normal"/>
        <w:jc w:val="both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 w:val="false"/>
          <w:bCs w:val="false"/>
          <w:szCs w:val="24"/>
        </w:rPr>
        <w:t xml:space="preserve">  </w:t>
      </w:r>
      <w:r>
        <w:rPr>
          <w:rFonts w:ascii="Times New Roman" w:hAnsi="Times New Roman"/>
          <w:b w:val="false"/>
          <w:bCs w:val="false"/>
          <w:szCs w:val="24"/>
        </w:rPr>
        <w:t>IČO: 13585185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Cs w:val="24"/>
        </w:rPr>
        <w:t xml:space="preserve">kontaktní spojení: Monika Brychová, telefon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cs-CZ" w:eastAsia="cs-CZ" w:bidi="ar-SA"/>
        </w:rPr>
        <w:t>xxx</w:t>
      </w:r>
      <w:r>
        <w:rPr>
          <w:rFonts w:ascii="Times New Roman" w:hAnsi="Times New Roman"/>
          <w:b w:val="false"/>
          <w:bCs w:val="false"/>
          <w:szCs w:val="24"/>
        </w:rPr>
        <w:t xml:space="preserve">, email: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cs-CZ" w:eastAsia="cs-CZ" w:bidi="ar-SA"/>
        </w:rPr>
        <w:t>xxx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(dále jen </w:t>
      </w:r>
      <w:r>
        <w:rPr>
          <w:rFonts w:ascii="Times New Roman" w:hAnsi="Times New Roman"/>
          <w:b/>
          <w:szCs w:val="24"/>
        </w:rPr>
        <w:t>„pořadatel“</w:t>
      </w:r>
      <w:r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i/>
          <w:iCs/>
          <w:szCs w:val="24"/>
        </w:rPr>
        <w:t>na straně jedné</w:t>
      </w:r>
    </w:p>
    <w:p>
      <w:pPr>
        <w:pStyle w:val="Normal"/>
        <w:tabs>
          <w:tab w:val="clear" w:pos="708"/>
          <w:tab w:val="left" w:pos="426" w:leader="none"/>
        </w:tabs>
        <w:ind w:left="780" w:hanging="0"/>
        <w:jc w:val="both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  <w:t>2. Janis Sidovský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szCs w:val="24"/>
        </w:rPr>
        <w:t xml:space="preserve">    </w:t>
      </w:r>
      <w:r>
        <w:rPr>
          <w:rFonts w:ascii="Times New Roman" w:hAnsi="Times New Roman"/>
          <w:bCs/>
          <w:szCs w:val="24"/>
        </w:rPr>
        <w:t xml:space="preserve">se sídlem: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lang w:val="cs-CZ" w:eastAsia="cs-CZ" w:bidi="ar-SA"/>
        </w:rPr>
        <w:t>xxx</w:t>
      </w:r>
    </w:p>
    <w:p>
      <w:pPr>
        <w:pStyle w:val="Normal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</w:t>
      </w:r>
      <w:r>
        <w:rPr>
          <w:rFonts w:ascii="Times New Roman" w:hAnsi="Times New Roman"/>
          <w:bCs/>
          <w:szCs w:val="24"/>
        </w:rPr>
        <w:t>IČO: 6137568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szCs w:val="24"/>
        </w:rPr>
        <w:t xml:space="preserve">    </w:t>
      </w:r>
      <w:r>
        <w:rPr>
          <w:rFonts w:ascii="Times New Roman" w:hAnsi="Times New Roman"/>
          <w:bCs/>
          <w:szCs w:val="24"/>
        </w:rPr>
        <w:t xml:space="preserve">kontaktní spojení: Janis Sidovský, telefon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lang w:val="cs-CZ" w:eastAsia="cs-CZ" w:bidi="ar-SA"/>
        </w:rPr>
        <w:t>xxx</w:t>
      </w:r>
      <w:r>
        <w:rPr>
          <w:rFonts w:ascii="Times New Roman" w:hAnsi="Times New Roman"/>
          <w:bCs/>
          <w:szCs w:val="24"/>
        </w:rPr>
        <w:t xml:space="preserve">, email: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lang w:val="cs-CZ" w:eastAsia="cs-CZ" w:bidi="ar-SA"/>
        </w:rPr>
        <w:t>xxx</w:t>
      </w:r>
      <w:r>
        <w:rPr>
          <w:rFonts w:ascii="Times New Roman" w:hAnsi="Times New Roman"/>
          <w:bCs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(dále jen „</w:t>
      </w:r>
      <w:r>
        <w:rPr>
          <w:rFonts w:ascii="Times New Roman" w:hAnsi="Times New Roman"/>
          <w:b/>
          <w:szCs w:val="24"/>
        </w:rPr>
        <w:t>partner</w:t>
      </w:r>
      <w:r>
        <w:rPr>
          <w:rFonts w:ascii="Times New Roman" w:hAnsi="Times New Roman"/>
          <w:szCs w:val="24"/>
        </w:rPr>
        <w:t xml:space="preserve">“) </w:t>
      </w:r>
      <w:r>
        <w:rPr>
          <w:rFonts w:ascii="Times New Roman" w:hAnsi="Times New Roman"/>
          <w:i/>
          <w:iCs/>
          <w:szCs w:val="24"/>
        </w:rPr>
        <w:t>na straně druhé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Smluvní strany se dohodly takto:</w:t>
      </w:r>
    </w:p>
    <w:p>
      <w:pPr>
        <w:pStyle w:val="Normal"/>
        <w:jc w:val="center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  <w:t>I.</w:t>
      </w:r>
    </w:p>
    <w:p>
      <w:pPr>
        <w:pStyle w:val="Normal"/>
        <w:jc w:val="center"/>
        <w:rPr>
          <w:rFonts w:ascii="Times New Roman" w:hAnsi="Times New Roman"/>
          <w:b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Předmět smlouvy</w:t>
      </w:r>
    </w:p>
    <w:p>
      <w:pPr>
        <w:pStyle w:val="Normal"/>
        <w:jc w:val="center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Normal"/>
        <w:ind w:left="426" w:hanging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Předmětem této smlouvy je definování práv a povinností smluvních stran při realizaci uměleckého výkonu </w:t>
      </w:r>
      <w:r>
        <w:rPr>
          <w:rFonts w:ascii="Times New Roman" w:hAnsi="Times New Roman"/>
          <w:b/>
          <w:szCs w:val="24"/>
        </w:rPr>
        <w:t>skupiny 4 Tenoři, Unique Quartet a doprovodní hudebníci</w:t>
      </w:r>
      <w:r>
        <w:rPr>
          <w:rFonts w:ascii="Times New Roman" w:hAnsi="Times New Roman"/>
          <w:szCs w:val="24"/>
        </w:rPr>
        <w:t>(dále jen „vystoupení“ nebo „výkon“) na níže specifikované akci za níže stanovených podmínek (dále jen "akce"), organizačně zajišťované pořadatelem.</w:t>
      </w:r>
    </w:p>
    <w:p>
      <w:pPr>
        <w:pStyle w:val="Normal"/>
        <w:jc w:val="center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Název akce</w:t>
      </w:r>
      <w:r>
        <w:rPr>
          <w:rFonts w:ascii="Times New Roman" w:hAnsi="Times New Roman"/>
          <w:szCs w:val="24"/>
        </w:rPr>
        <w:tab/>
        <w:tab/>
        <w:tab/>
        <w:t>4 Tenoři – muzikálové gala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Místo konání akce</w:t>
      </w:r>
      <w:r>
        <w:rPr>
          <w:rFonts w:ascii="Times New Roman" w:hAnsi="Times New Roman"/>
          <w:szCs w:val="24"/>
        </w:rPr>
        <w:t>:</w:t>
        <w:tab/>
        <w:tab/>
        <w:t>Divadlo Jaroměř</w:t>
      </w:r>
    </w:p>
    <w:p>
      <w:pPr>
        <w:pStyle w:val="Normal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outlineLvl w:val="0"/>
        <w:rPr/>
      </w:pPr>
      <w:r>
        <w:rPr>
          <w:rFonts w:ascii="Times New Roman" w:hAnsi="Times New Roman"/>
          <w:b/>
          <w:szCs w:val="24"/>
        </w:rPr>
        <w:t>Datum konání akce</w:t>
      </w:r>
      <w:r>
        <w:rPr>
          <w:rFonts w:ascii="Times New Roman" w:hAnsi="Times New Roman"/>
          <w:szCs w:val="24"/>
        </w:rPr>
        <w:t>:</w:t>
        <w:tab/>
        <w:tab/>
      </w:r>
      <w:r>
        <w:rPr>
          <w:rFonts w:ascii="Times New Roman" w:hAnsi="Times New Roman"/>
          <w:sz w:val="24"/>
          <w:szCs w:val="24"/>
          <w:lang w:eastAsia="cs-CZ"/>
        </w:rPr>
        <w:t>úterý 3. května 2022</w:t>
      </w:r>
    </w:p>
    <w:p>
      <w:pPr>
        <w:pStyle w:val="Normal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outlineLvl w:val="0"/>
        <w:rPr/>
      </w:pPr>
      <w:r>
        <w:rPr>
          <w:rFonts w:ascii="Times New Roman" w:hAnsi="Times New Roman"/>
          <w:b/>
          <w:szCs w:val="24"/>
        </w:rPr>
        <w:t>Začátek vystoupení</w:t>
      </w:r>
      <w:r>
        <w:rPr>
          <w:rFonts w:ascii="Times New Roman" w:hAnsi="Times New Roman"/>
          <w:szCs w:val="24"/>
        </w:rPr>
        <w:t>:</w:t>
        <w:tab/>
        <w:tab/>
        <w:t>19 h</w:t>
      </w:r>
    </w:p>
    <w:p>
      <w:pPr>
        <w:pStyle w:val="Normal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outlineLvl w:val="0"/>
        <w:rPr/>
      </w:pPr>
      <w:r>
        <w:rPr>
          <w:rFonts w:ascii="Times New Roman" w:hAnsi="Times New Roman"/>
          <w:b/>
          <w:szCs w:val="24"/>
        </w:rPr>
        <w:t>Konec vystoupení</w:t>
      </w:r>
      <w:r>
        <w:rPr>
          <w:rFonts w:ascii="Times New Roman" w:hAnsi="Times New Roman"/>
          <w:szCs w:val="24"/>
        </w:rPr>
        <w:t>:</w:t>
        <w:tab/>
        <w:tab/>
        <w:t>20.30 h</w:t>
      </w:r>
    </w:p>
    <w:p>
      <w:pPr>
        <w:pStyle w:val="Normal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outlineLvl w:val="0"/>
        <w:rPr/>
      </w:pPr>
      <w:r>
        <w:rPr>
          <w:rFonts w:ascii="Times New Roman" w:hAnsi="Times New Roman"/>
          <w:b/>
          <w:szCs w:val="24"/>
        </w:rPr>
        <w:t>Zvuková zkouška:</w:t>
        <w:tab/>
        <w:tab/>
      </w:r>
      <w:bookmarkStart w:id="0" w:name="_GoBack"/>
      <w:bookmarkEnd w:id="0"/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Rozsah vystoupení</w:t>
      </w:r>
      <w:r>
        <w:rPr>
          <w:rFonts w:ascii="Times New Roman" w:hAnsi="Times New Roman"/>
          <w:szCs w:val="24"/>
        </w:rPr>
        <w:tab/>
        <w:t>:</w:t>
        <w:tab/>
        <w:t>90 minut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Forma vystoupení</w:t>
      </w:r>
      <w:r>
        <w:rPr>
          <w:rFonts w:ascii="Times New Roman" w:hAnsi="Times New Roman"/>
          <w:szCs w:val="24"/>
        </w:rPr>
        <w:t>:</w:t>
        <w:tab/>
        <w:tab/>
        <w:t xml:space="preserve">živě </w:t>
      </w:r>
    </w:p>
    <w:p>
      <w:pPr>
        <w:pStyle w:val="Normal"/>
        <w:jc w:val="both"/>
        <w:rPr>
          <w:rFonts w:ascii="Times New Roman" w:hAnsi="Times New Roman"/>
          <w:b/>
          <w:b/>
          <w:szCs w:val="24"/>
          <w:u w:val="single"/>
        </w:rPr>
      </w:pPr>
      <w:r>
        <w:rPr>
          <w:rFonts w:ascii="Times New Roman" w:hAnsi="Times New Roman"/>
          <w:szCs w:val="24"/>
        </w:rPr>
        <w:tab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  <w:t>II.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b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Práva a povinnosti pořadatele</w:t>
      </w:r>
    </w:p>
    <w:p>
      <w:pPr>
        <w:pStyle w:val="Normln1"/>
        <w:spacing w:lineRule="auto" w:line="218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eastAsia="Arial Unicode MS"/>
          <w:szCs w:val="24"/>
        </w:rPr>
      </w:pPr>
      <w:r>
        <w:rPr>
          <w:rFonts w:eastAsia="Arial Unicode MS" w:ascii="Times New Roman" w:hAnsi="Times New Roman"/>
          <w:szCs w:val="24"/>
        </w:rPr>
        <w:t>Pořadatel se zavazuje řádně zajistit organizaci akce, zejména zajistit potřebná povolení k jejímu pořádání a dostatečnou pořadatelskou službu.</w:t>
      </w:r>
    </w:p>
    <w:p>
      <w:pPr>
        <w:pStyle w:val="Normal"/>
        <w:ind w:left="360" w:hanging="0"/>
        <w:jc w:val="both"/>
        <w:rPr>
          <w:rFonts w:ascii="Times New Roman" w:hAnsi="Times New Roman" w:eastAsia="Arial Unicode MS"/>
          <w:szCs w:val="24"/>
        </w:rPr>
      </w:pPr>
      <w:r>
        <w:rPr>
          <w:rFonts w:eastAsia="Arial Unicode MS" w:ascii="Times New Roman" w:hAnsi="Times New Roman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eastAsia="Arial Unicode MS"/>
          <w:color w:val="FF0000"/>
          <w:szCs w:val="24"/>
        </w:rPr>
      </w:pPr>
      <w:r>
        <w:rPr>
          <w:rFonts w:ascii="Times New Roman" w:hAnsi="Times New Roman"/>
          <w:szCs w:val="24"/>
        </w:rPr>
        <w:t>Pořadatel se zavazuje zajistit a dodržet technické podmínky vystoupení dle přílohy této smlouvy. Pořadatel zajistí bezplatné parkování pro 5 vozidel v blízkosti konání vystoupení.</w:t>
      </w:r>
    </w:p>
    <w:p>
      <w:pPr>
        <w:pStyle w:val="Normal"/>
        <w:jc w:val="both"/>
        <w:rPr>
          <w:rFonts w:ascii="Times New Roman" w:hAnsi="Times New Roman" w:eastAsia="Arial Unicode MS"/>
          <w:szCs w:val="24"/>
        </w:rPr>
      </w:pPr>
      <w:r>
        <w:rPr>
          <w:rFonts w:eastAsia="Arial Unicode MS" w:ascii="Times New Roman" w:hAnsi="Times New Roman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eastAsia="Arial Unicode MS"/>
          <w:szCs w:val="24"/>
        </w:rPr>
      </w:pPr>
      <w:r>
        <w:rPr>
          <w:rFonts w:eastAsia="Arial Unicode MS" w:ascii="Times New Roman" w:hAnsi="Times New Roman"/>
          <w:szCs w:val="24"/>
        </w:rPr>
        <w:t xml:space="preserve">Pořadatel se zavazuje provést příslušná hlášení pro OSA a uhradit autorské poplatky dle platných českých právních předpisů. Partner je povinen pro tyto účely dodat pořadateli repertoárový list. </w:t>
      </w:r>
    </w:p>
    <w:p>
      <w:pPr>
        <w:pStyle w:val="Normal"/>
        <w:jc w:val="both"/>
        <w:rPr>
          <w:rFonts w:ascii="Times New Roman" w:hAnsi="Times New Roman" w:eastAsia="Arial Unicode MS"/>
          <w:szCs w:val="24"/>
        </w:rPr>
      </w:pPr>
      <w:r>
        <w:rPr>
          <w:rFonts w:eastAsia="Arial Unicode MS" w:ascii="Times New Roman" w:hAnsi="Times New Roman"/>
          <w:szCs w:val="24"/>
        </w:rPr>
      </w:r>
    </w:p>
    <w:p>
      <w:pPr>
        <w:pStyle w:val="Normal"/>
        <w:numPr>
          <w:ilvl w:val="0"/>
          <w:numId w:val="1"/>
        </w:numPr>
        <w:overflowPunct w:val="false"/>
        <w:jc w:val="both"/>
        <w:textAlignment w:val="baseline"/>
        <w:rPr>
          <w:rFonts w:ascii="Times New Roman" w:hAnsi="Times New Roman" w:eastAsia="Arial Unicode MS"/>
          <w:szCs w:val="24"/>
        </w:rPr>
      </w:pPr>
      <w:r>
        <w:rPr>
          <w:rFonts w:eastAsia="Arial Unicode MS" w:ascii="Times New Roman" w:hAnsi="Times New Roman"/>
          <w:szCs w:val="24"/>
        </w:rPr>
        <w:t>Partner uděluje pořadateli svolení, aby pro účely propagace akce použil přiměřeným způsobem a v přiměřeném rozsahu způsobem nepoškozujícím oprávněné zájmy skupiny 4 Tenoři, jméno a příjmení sólistů a obrazové snímky, a to bez nároku na další odměnu.</w:t>
      </w:r>
    </w:p>
    <w:p>
      <w:pPr>
        <w:pStyle w:val="Normal"/>
        <w:overflowPunct w:val="false"/>
        <w:jc w:val="both"/>
        <w:textAlignment w:val="baseline"/>
        <w:rPr>
          <w:rFonts w:ascii="Times New Roman" w:hAnsi="Times New Roman" w:eastAsia="Arial Unicode MS"/>
          <w:szCs w:val="24"/>
        </w:rPr>
      </w:pPr>
      <w:r>
        <w:rPr>
          <w:rFonts w:eastAsia="Arial Unicode MS" w:ascii="Times New Roman" w:hAnsi="Times New Roman"/>
          <w:szCs w:val="24"/>
        </w:rPr>
      </w:r>
    </w:p>
    <w:p>
      <w:pPr>
        <w:pStyle w:val="Normal"/>
        <w:numPr>
          <w:ilvl w:val="0"/>
          <w:numId w:val="1"/>
        </w:numPr>
        <w:overflowPunct w:val="false"/>
        <w:jc w:val="both"/>
        <w:textAlignment w:val="baseline"/>
        <w:rPr>
          <w:rFonts w:ascii="Times New Roman" w:hAnsi="Times New Roman" w:eastAsia="Arial Unicode MS"/>
          <w:szCs w:val="24"/>
        </w:rPr>
      </w:pPr>
      <w:r>
        <w:rPr>
          <w:rFonts w:eastAsia="Arial Unicode MS" w:ascii="Times New Roman" w:hAnsi="Times New Roman"/>
          <w:szCs w:val="24"/>
        </w:rPr>
        <w:t>Pořadatel je povinen včas a v plné výši uhradit sjednanou odměnu uvedenou ve čl. IV této smlouvy.</w:t>
      </w:r>
    </w:p>
    <w:p>
      <w:pPr>
        <w:pStyle w:val="Normal"/>
        <w:overflowPunct w:val="false"/>
        <w:jc w:val="center"/>
        <w:textAlignment w:val="baseline"/>
        <w:rPr>
          <w:rFonts w:ascii="Times New Roman" w:hAnsi="Times New Roman" w:eastAsia="Arial Unicode MS"/>
          <w:b/>
          <w:b/>
          <w:szCs w:val="24"/>
        </w:rPr>
      </w:pPr>
      <w:r>
        <w:rPr>
          <w:rFonts w:eastAsia="Arial Unicode MS" w:ascii="Times New Roman" w:hAnsi="Times New Roman"/>
          <w:b/>
          <w:szCs w:val="24"/>
        </w:rPr>
        <w:t>III.</w:t>
      </w:r>
    </w:p>
    <w:p>
      <w:pPr>
        <w:pStyle w:val="Normal"/>
        <w:overflowPunct w:val="false"/>
        <w:jc w:val="center"/>
        <w:textAlignment w:val="baseline"/>
        <w:rPr>
          <w:rFonts w:ascii="Times New Roman" w:hAnsi="Times New Roman" w:eastAsia="Arial Unicode MS"/>
          <w:b/>
          <w:b/>
          <w:bCs/>
          <w:iCs/>
          <w:szCs w:val="24"/>
          <w:u w:val="single"/>
        </w:rPr>
      </w:pPr>
      <w:r>
        <w:rPr>
          <w:rFonts w:eastAsia="Arial Unicode MS" w:ascii="Times New Roman" w:hAnsi="Times New Roman"/>
          <w:b/>
          <w:bCs/>
          <w:iCs/>
          <w:szCs w:val="24"/>
          <w:u w:val="single"/>
        </w:rPr>
        <w:t>Práva a povinnosti partnera</w:t>
      </w:r>
    </w:p>
    <w:p>
      <w:pPr>
        <w:pStyle w:val="Normal"/>
        <w:overflowPunct w:val="false"/>
        <w:jc w:val="center"/>
        <w:textAlignment w:val="baseline"/>
        <w:rPr>
          <w:rFonts w:ascii="Times New Roman" w:hAnsi="Times New Roman" w:eastAsia="Arial Unicode MS"/>
          <w:szCs w:val="24"/>
        </w:rPr>
      </w:pPr>
      <w:r>
        <w:rPr>
          <w:rFonts w:eastAsia="Arial Unicode MS" w:ascii="Times New Roman" w:hAnsi="Times New Roman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jc w:val="both"/>
        <w:textAlignment w:val="baseline"/>
        <w:rPr>
          <w:rFonts w:ascii="Times New Roman" w:hAnsi="Times New Roman" w:eastAsia="Arial Unicode MS"/>
          <w:szCs w:val="24"/>
        </w:rPr>
      </w:pPr>
      <w:r>
        <w:rPr>
          <w:rFonts w:eastAsia="Arial Unicode MS" w:ascii="Times New Roman" w:hAnsi="Times New Roman"/>
          <w:szCs w:val="24"/>
        </w:rPr>
        <w:t>Partner je povinen zajistit, aby se umělec na místo konání akce dostavil 1 hodinu před začátkem zvukové zkoušky a vystoupení.</w:t>
      </w:r>
    </w:p>
    <w:p>
      <w:pPr>
        <w:pStyle w:val="Normal"/>
        <w:overflowPunct w:val="false"/>
        <w:jc w:val="both"/>
        <w:textAlignment w:val="baseline"/>
        <w:rPr>
          <w:rFonts w:ascii="Times New Roman" w:hAnsi="Times New Roman" w:eastAsia="Arial Unicode MS"/>
          <w:szCs w:val="24"/>
        </w:rPr>
      </w:pPr>
      <w:r>
        <w:rPr>
          <w:rFonts w:eastAsia="Arial Unicode MS" w:ascii="Times New Roman" w:hAnsi="Times New Roman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jc w:val="both"/>
        <w:textAlignment w:val="baseline"/>
        <w:rPr>
          <w:rFonts w:ascii="Times New Roman" w:hAnsi="Times New Roman" w:eastAsia="Arial Unicode MS"/>
          <w:szCs w:val="24"/>
        </w:rPr>
      </w:pPr>
      <w:r>
        <w:rPr>
          <w:rFonts w:eastAsia="Arial Unicode MS" w:ascii="Times New Roman" w:hAnsi="Times New Roman"/>
          <w:szCs w:val="24"/>
        </w:rPr>
        <w:t>Partner je povinen zajistit, aby se umělec k provedení výkonu dostavil dokonale připravený a v takové kondici, aby mohl podat řádný a kvalitní výkon. Umělec je povinen v souvislosti s prováděním výkonu dodržovat bodový scénář akce a řídit se pokyny pořadatele.</w:t>
      </w:r>
    </w:p>
    <w:p>
      <w:pPr>
        <w:pStyle w:val="Normal"/>
        <w:overflowPunct w:val="false"/>
        <w:jc w:val="both"/>
        <w:textAlignment w:val="baseline"/>
        <w:rPr>
          <w:rFonts w:ascii="Times New Roman" w:hAnsi="Times New Roman" w:eastAsia="Arial Unicode MS"/>
          <w:szCs w:val="24"/>
        </w:rPr>
      </w:pPr>
      <w:r>
        <w:rPr>
          <w:rFonts w:eastAsia="Arial Unicode MS" w:ascii="Times New Roman" w:hAnsi="Times New Roman"/>
          <w:szCs w:val="24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Partner prohlašuje, že je oprávněn k výkonu majetkových autorských práv skupiny 4 Tenoři, a to v rozsahu závazků převzatých touto smlouvou. 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Partner poskytne dostatečnou součinnost při propagaci vystoupení, zejména při realizaci rozhovorů pro místní elektronická a tištěná média. Akce bude partnerem zveřejněna na FB profilu skupiny 4 Tenoři včetně odkazu na předprodej.</w:t>
      </w:r>
    </w:p>
    <w:p>
      <w:pPr>
        <w:pStyle w:val="Normal"/>
        <w:ind w:left="720" w:hanging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left="360" w:hanging="0"/>
        <w:jc w:val="center"/>
        <w:rPr>
          <w:rFonts w:ascii="Times New Roman" w:hAnsi="Times New Roman" w:eastAsia="Arial Unicode MS"/>
          <w:b/>
          <w:b/>
          <w:szCs w:val="24"/>
        </w:rPr>
      </w:pPr>
      <w:r>
        <w:rPr>
          <w:rFonts w:eastAsia="Arial Unicode MS" w:ascii="Times New Roman" w:hAnsi="Times New Roman"/>
          <w:b/>
          <w:szCs w:val="24"/>
        </w:rPr>
        <w:t>IV.</w:t>
      </w:r>
    </w:p>
    <w:p>
      <w:pPr>
        <w:pStyle w:val="Normal"/>
        <w:ind w:left="360" w:hanging="0"/>
        <w:jc w:val="center"/>
        <w:rPr>
          <w:rFonts w:ascii="Times New Roman" w:hAnsi="Times New Roman" w:eastAsia="Arial Unicode MS"/>
          <w:b/>
          <w:b/>
          <w:bCs/>
          <w:iCs/>
          <w:szCs w:val="24"/>
          <w:u w:val="single"/>
        </w:rPr>
      </w:pPr>
      <w:r>
        <w:rPr>
          <w:rFonts w:eastAsia="Arial Unicode MS" w:ascii="Times New Roman" w:hAnsi="Times New Roman"/>
          <w:b/>
          <w:bCs/>
          <w:iCs/>
          <w:szCs w:val="24"/>
          <w:u w:val="single"/>
        </w:rPr>
        <w:t xml:space="preserve">Odměna za umělecký výkon a platební podmínky </w:t>
      </w:r>
    </w:p>
    <w:p>
      <w:pPr>
        <w:pStyle w:val="Normal"/>
        <w:ind w:left="360" w:hanging="0"/>
        <w:jc w:val="center"/>
        <w:rPr>
          <w:rFonts w:ascii="Times New Roman" w:hAnsi="Times New Roman" w:eastAsia="Arial Unicode MS"/>
          <w:b/>
          <w:b/>
          <w:bCs/>
          <w:iCs/>
          <w:szCs w:val="24"/>
          <w:u w:val="single"/>
        </w:rPr>
      </w:pPr>
      <w:r>
        <w:rPr>
          <w:rFonts w:eastAsia="Arial Unicode MS" w:ascii="Times New Roman" w:hAnsi="Times New Roman"/>
          <w:b/>
          <w:bCs/>
          <w:iCs/>
          <w:szCs w:val="24"/>
          <w:u w:val="single"/>
        </w:rPr>
      </w:r>
    </w:p>
    <w:p>
      <w:pPr>
        <w:pStyle w:val="Normln1"/>
        <w:numPr>
          <w:ilvl w:val="0"/>
          <w:numId w:val="5"/>
        </w:numPr>
        <w:spacing w:lineRule="auto" w:line="218"/>
        <w:jc w:val="both"/>
        <w:rPr/>
      </w:pPr>
      <w:r>
        <w:rPr>
          <w:szCs w:val="24"/>
        </w:rPr>
        <w:t xml:space="preserve">Pořadatel se zavazuje za vytvoření uměleckého výkonu a poskytnutí oprávnění k užití uměleckého výkonu uhradit partnerovi smluvní odměnu ve výši </w:t>
      </w:r>
      <w:r>
        <w:rPr>
          <w:b/>
          <w:szCs w:val="24"/>
        </w:rPr>
        <w:t>142.000 Kč (sto</w:t>
      </w:r>
      <w:r>
        <w:rPr>
          <w:b/>
          <w:szCs w:val="24"/>
        </w:rPr>
        <w:t>čtyřicetdva</w:t>
      </w:r>
      <w:r>
        <w:rPr>
          <w:b/>
          <w:szCs w:val="24"/>
        </w:rPr>
        <w:t>tisíc</w:t>
      </w:r>
      <w:r>
        <w:rPr>
          <w:b/>
          <w:szCs w:val="24"/>
        </w:rPr>
        <w:t>e</w:t>
      </w:r>
      <w:r>
        <w:rPr>
          <w:b/>
          <w:szCs w:val="24"/>
        </w:rPr>
        <w:t xml:space="preserve"> korun českých).</w:t>
      </w:r>
    </w:p>
    <w:p>
      <w:pPr>
        <w:pStyle w:val="Normln1"/>
        <w:spacing w:lineRule="auto" w:line="218"/>
        <w:jc w:val="both"/>
        <w:rPr>
          <w:szCs w:val="24"/>
        </w:rPr>
      </w:pPr>
      <w:r>
        <w:rPr>
          <w:szCs w:val="24"/>
        </w:rPr>
      </w:r>
    </w:p>
    <w:p>
      <w:pPr>
        <w:pStyle w:val="Normln1"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218"/>
        <w:ind w:left="993" w:hanging="567"/>
        <w:jc w:val="both"/>
        <w:rPr/>
      </w:pPr>
      <w:r>
        <w:rPr>
          <w:szCs w:val="24"/>
        </w:rPr>
        <w:t xml:space="preserve">Odměna je splatná převodem na základě daňového dokladu – faktury </w:t>
      </w:r>
      <w:r>
        <w:rPr>
          <w:b/>
          <w:szCs w:val="24"/>
        </w:rPr>
        <w:t xml:space="preserve">nejpozději jeden pracovní den před plánovaným termínem konání akce </w:t>
      </w:r>
      <w:r>
        <w:rPr>
          <w:szCs w:val="24"/>
        </w:rPr>
        <w:t xml:space="preserve">tj. </w:t>
      </w:r>
      <w:r>
        <w:rPr>
          <w:sz w:val="24"/>
          <w:szCs w:val="24"/>
          <w:lang w:eastAsia="en-US"/>
        </w:rPr>
        <w:t>2. května 2022</w:t>
      </w:r>
      <w:r>
        <w:rPr>
          <w:szCs w:val="24"/>
        </w:rPr>
        <w:t>.</w:t>
      </w:r>
    </w:p>
    <w:p>
      <w:pPr>
        <w:pStyle w:val="Normln1"/>
        <w:tabs>
          <w:tab w:val="clear" w:pos="708"/>
          <w:tab w:val="left" w:pos="993" w:leader="none"/>
        </w:tabs>
        <w:spacing w:lineRule="auto" w:line="218"/>
        <w:ind w:left="993" w:hanging="567"/>
        <w:jc w:val="both"/>
        <w:rPr>
          <w:szCs w:val="24"/>
        </w:rPr>
      </w:pPr>
      <w:r>
        <w:rPr>
          <w:szCs w:val="24"/>
        </w:rPr>
      </w:r>
    </w:p>
    <w:p>
      <w:pPr>
        <w:pStyle w:val="Normln1"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218"/>
        <w:ind w:left="993" w:hanging="567"/>
        <w:jc w:val="both"/>
        <w:rPr>
          <w:rFonts w:eastAsia="Arial Unicode MS"/>
          <w:bCs/>
          <w:iCs/>
          <w:szCs w:val="24"/>
        </w:rPr>
      </w:pPr>
      <w:r>
        <w:rPr>
          <w:rFonts w:eastAsia="Arial Unicode MS"/>
          <w:bCs/>
          <w:iCs/>
          <w:szCs w:val="24"/>
        </w:rPr>
        <w:t xml:space="preserve">Dnem uskutečnění zdanitelného plnění je den konání akce. Celková částka bude vyúčtována ke dni uskutečnění akce. </w:t>
      </w:r>
    </w:p>
    <w:p>
      <w:pPr>
        <w:pStyle w:val="Normln1"/>
        <w:spacing w:lineRule="auto" w:line="218"/>
        <w:jc w:val="both"/>
        <w:rPr>
          <w:szCs w:val="24"/>
        </w:rPr>
      </w:pPr>
      <w:r>
        <w:rPr>
          <w:szCs w:val="24"/>
        </w:rPr>
      </w:r>
    </w:p>
    <w:p>
      <w:pPr>
        <w:pStyle w:val="Normln1"/>
        <w:numPr>
          <w:ilvl w:val="0"/>
          <w:numId w:val="5"/>
        </w:numPr>
        <w:spacing w:lineRule="auto" w:line="218"/>
        <w:jc w:val="both"/>
        <w:rPr>
          <w:szCs w:val="24"/>
        </w:rPr>
      </w:pPr>
      <w:r>
        <w:rPr>
          <w:szCs w:val="24"/>
        </w:rPr>
        <w:t>Pořadatel uhradí cestovné za 5 osobních vozů v celkové 8.000Kč, cestovné bude součástí faktury zaslané partnerem.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  <w:t>V.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b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Oprávnění k výkonu užít výkon</w:t>
      </w:r>
    </w:p>
    <w:p>
      <w:pPr>
        <w:pStyle w:val="Normal"/>
        <w:numPr>
          <w:ilvl w:val="0"/>
          <w:numId w:val="0"/>
        </w:numPr>
        <w:ind w:left="4248" w:hanging="0"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Partner touto smlouvou uděluje pořadateli oprávnění k užití svého výkonu, a to nedivadelním veřejným provozováním.</w:t>
      </w:r>
    </w:p>
    <w:p>
      <w:pPr>
        <w:pStyle w:val="Normal"/>
        <w:ind w:left="360" w:hanging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Partner se zavazuje zajistit, že umělec udělí touto smlouvou pořadateli svolení                      k nekomerčnímu užití svého jména a písemně schválené podobizny výhradně pro propagaci akce, která je předmětem této smlouvy, a to všemi způsoby propagace, např. uveřejněním v médiích, v tiskových materiálech, v teletextu, v síti Internet atd.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Pořadatel není oprávněn oprávnění k užití výkonu jako celek nebo i jeho části poskytnout úplatně nebo i bezúplatně třetím osobám.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Oprávnění k výkonu užít výkon je poskytováno na dobu určitou, a to na dobu konání akce, a dále v místě konání akce. 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left="720" w:hanging="0"/>
        <w:jc w:val="center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  <w:t>VI.</w:t>
      </w:r>
    </w:p>
    <w:p>
      <w:pPr>
        <w:pStyle w:val="Normal"/>
        <w:ind w:left="720" w:hanging="0"/>
        <w:jc w:val="center"/>
        <w:rPr>
          <w:rFonts w:ascii="Times New Roman" w:hAnsi="Times New Roman"/>
          <w:b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Odstoupení od smlouvy</w:t>
      </w:r>
    </w:p>
    <w:p>
      <w:pPr>
        <w:pStyle w:val="Normal"/>
        <w:ind w:left="720" w:hanging="0"/>
        <w:rPr>
          <w:rFonts w:ascii="Times New Roman" w:hAnsi="Times New Roman"/>
          <w:b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</w:r>
    </w:p>
    <w:p>
      <w:pPr>
        <w:pStyle w:val="Normal"/>
        <w:numPr>
          <w:ilvl w:val="0"/>
          <w:numId w:val="6"/>
        </w:numPr>
        <w:ind w:left="709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Partner je oprávněn odstoupit od této smlouvy, pokud pořadatel poruší své povinnosti uvedenou v čl. II a čl. IV této smlouvy.</w:t>
      </w:r>
    </w:p>
    <w:p>
      <w:pPr>
        <w:pStyle w:val="Normal"/>
        <w:ind w:left="709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6"/>
        </w:numPr>
        <w:ind w:left="709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Pořadatel je oprávněn od této smlouvy odstoupit, pokud partner poruší své povinnosti uvedené v čl. III této smlouvy.</w:t>
      </w:r>
    </w:p>
    <w:p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Bude-li vystoupení dle smlouvy znemožněno z důvodu vyšší moci, tj. z nepředvídatelných a neodstranitelných událostí ležících mimo smluvní strany (přírodní katastrofy, zvlášť závažná onemocnění, úmrtí v rodině), mají obě smluvní strany právo od této smlouvy odstoupit bez nároku na odškodnění. Odstupující smluvní strana je povinna shora uvedené skutečnosti řádně doložit. Obě smluvní strany se zavazují k vzájemné informační povinnosti, a to bez zbytečného odkladu.</w:t>
      </w:r>
    </w:p>
    <w:p>
      <w:pPr>
        <w:pStyle w:val="Normal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</w:r>
    </w:p>
    <w:p>
      <w:pPr>
        <w:pStyle w:val="Normal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případě nedodržení splatnosti a výše odměny je pořadatel povinen zaplatit partnerovi úrok z prodlení ve výšce 0,05% za každý i započatý den prodlení.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  <w:t>VII.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b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Závěrečná ustanovení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Malý zájem o vstupenky na akci, odstoupení sponzora akce nebo nepříznivé počasí, vyjma případů uvedených v čl. VI. odst. 3 této smlouvy, není důvodem ke zrušení smlouvy. Nekonání akce z uvedených důvodů nezbavuje pořadatele povinnosti zaplatit odměnu nebo smluvní pokutu umělci ve smyslu této smlouvy.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Smluvní strany se zavazují, že o všech důvěrných a utajovaných informacích                        a skutečnostech, o kterých se dozví v průběhu vzájemné spolupráce, budou zachovávat mlčení. Za důvěrné a utajované informace ve smyslu tohoto článku se považují veškeré informace, které jsou jako takové označeny anebo jsou takového charakteru, že mohou v případě zveřejnění přivodit kterékoliv smluvní straně újmu, bez ohledu na to, zda mají povahu osobních, obchodních či jiných informací. 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Neplatnost některého ustanovení nemá za následek neplatnost celé smlouvy, pokud se nejedná o skutečnost, se kterou zákon spojuje takové účinky.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Případné konání akce pro politické účely je pořadatel povinen s partnerem projednat nejpozději v den podpisu této smlouvy. Partner si vyhrazuje právo z politických důvodů smlouvu neuzavřít.</w:t>
      </w:r>
    </w:p>
    <w:p>
      <w:pPr>
        <w:pStyle w:val="Normal"/>
        <w:ind w:left="360" w:hanging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Smluvní strany se dohodly, že účast na veřejné autogramiádě není podle této smlouvy povinností umělce.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Tato smlouva je uzavřena podle českých obecně závazných předpisů a právní vztahy z ní vzniklé se řídí českými obecně závaznými předpisy, zejména občanským zákoníkem a autorským zákonem.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Tato smlouva ruší a nahrazuje veškeré písemné a ústní ujednání učiněné před podpisem této smlouvy. 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Tato smlouva nabývá platnosti a účinnosti dnem podpisu smluvních stran a je uzavřena na dobu určitou, po dobu poskytnutí oprávnění k výkonu užít výkon. Smlouva je vyhotovena ve dvou exemplářích, přičemž každá ze smluvních stran obdrží po jednom výtisku.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ascii="Times New Roman" w:hAnsi="Times New Roman"/>
          <w:szCs w:val="24"/>
        </w:rPr>
        <w:t xml:space="preserve">V Praze, dne </w:t>
      </w:r>
      <w:r>
        <w:rPr>
          <w:rFonts w:ascii="Times New Roman" w:hAnsi="Times New Roman"/>
          <w:sz w:val="24"/>
          <w:szCs w:val="24"/>
          <w:lang w:eastAsia="cs-CZ"/>
        </w:rPr>
        <w:t>26. dubna 2022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 xml:space="preserve">       </w:t>
      </w:r>
    </w:p>
    <w:p>
      <w:pPr>
        <w:pStyle w:val="Normal"/>
        <w:numPr>
          <w:ilvl w:val="0"/>
          <w:numId w:val="0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outlineLvl w:val="0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  <w:t>Partner</w:t>
      </w:r>
      <w:r>
        <w:rPr>
          <w:rFonts w:ascii="Times New Roman" w:hAnsi="Times New Roman"/>
          <w:szCs w:val="24"/>
        </w:rPr>
        <w:tab/>
        <w:tab/>
        <w:tab/>
        <w:tab/>
        <w:tab/>
        <w:t xml:space="preserve">           </w:t>
      </w:r>
      <w:r>
        <w:rPr>
          <w:rFonts w:ascii="Times New Roman" w:hAnsi="Times New Roman"/>
          <w:b/>
          <w:szCs w:val="24"/>
        </w:rPr>
        <w:t>Pořadatel</w:t>
      </w:r>
    </w:p>
    <w:p>
      <w:pPr>
        <w:pStyle w:val="Normal"/>
        <w:numPr>
          <w:ilvl w:val="0"/>
          <w:numId w:val="0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outlineLvl w:val="0"/>
        <w:rPr/>
      </w:pPr>
      <w:r>
        <w:rPr>
          <w:rFonts w:ascii="Times New Roman" w:hAnsi="Times New Roman"/>
          <w:szCs w:val="24"/>
        </w:rPr>
        <w:tab/>
        <w:tab/>
        <w:t>Janis Sidovský</w:t>
        <w:tab/>
        <w:tab/>
        <w:tab/>
        <w:tab/>
        <w:t>Monika Brychová, ředitelka MKS</w:t>
      </w:r>
    </w:p>
    <w:sectPr>
      <w:headerReference w:type="default" r:id="rId3"/>
      <w:footerReference w:type="default" r:id="rId4"/>
      <w:type w:val="nextPage"/>
      <w:pgSz w:w="11906" w:h="16838"/>
      <w:pgMar w:left="1418" w:right="1134" w:header="709" w:top="1134" w:footer="709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>
        <w:sz w:val="16"/>
        <w:szCs w:val="16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ind w:right="360" w:hanging="0"/>
      <w:rPr/>
    </w:pPr>
    <w:r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2" name="Ráme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hlav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1" fillcolor="white" stroked="f" style="position:absolute;margin-left:462.6pt;margin-top:0.05pt;width:5pt;height:11.4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hlav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/>
      <w:t>Celebrity Management</w:t>
      <w:tab/>
      <w:t>č.smlouvy :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cs-CZ" w:eastAsia="cs-CZ" w:bidi="ar-SA"/>
    </w:rPr>
  </w:style>
  <w:style w:type="paragraph" w:styleId="Nadpis1">
    <w:name w:val="Heading 1"/>
    <w:basedOn w:val="Normal"/>
    <w:next w:val="Normal"/>
    <w:qFormat/>
    <w:pPr>
      <w:keepNext w:val="true"/>
      <w:jc w:val="center"/>
      <w:outlineLvl w:val="0"/>
    </w:pPr>
    <w:rPr>
      <w:sz w:val="40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semiHidden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uiPriority w:val="99"/>
    <w:semiHidden/>
    <w:unhideWhenUsed/>
    <w:qFormat/>
    <w:rsid w:val="00060a99"/>
    <w:rPr>
      <w:sz w:val="16"/>
      <w:szCs w:val="16"/>
    </w:rPr>
  </w:style>
  <w:style w:type="character" w:styleId="TextkomenteChar" w:customStyle="1">
    <w:name w:val="Text komentáře Char"/>
    <w:link w:val="Textkomente"/>
    <w:uiPriority w:val="99"/>
    <w:semiHidden/>
    <w:qFormat/>
    <w:rsid w:val="00060a99"/>
    <w:rPr>
      <w:rFonts w:ascii="Arial" w:hAnsi="Arial"/>
    </w:rPr>
  </w:style>
  <w:style w:type="character" w:styleId="PedmtkomenteChar" w:customStyle="1">
    <w:name w:val="Předmět komentáře Char"/>
    <w:link w:val="Pedmtkomente"/>
    <w:uiPriority w:val="99"/>
    <w:semiHidden/>
    <w:qFormat/>
    <w:rsid w:val="00060a99"/>
    <w:rPr>
      <w:rFonts w:ascii="Arial" w:hAnsi="Arial"/>
      <w:b/>
      <w:bCs/>
    </w:rPr>
  </w:style>
  <w:style w:type="character" w:styleId="TextbublinyChar" w:customStyle="1">
    <w:name w:val="Text bubliny Char"/>
    <w:link w:val="Textbubliny"/>
    <w:uiPriority w:val="99"/>
    <w:semiHidden/>
    <w:qFormat/>
    <w:rsid w:val="00060a99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semiHidden/>
    <w:unhideWhenUsed/>
    <w:qFormat/>
    <w:rsid w:val="00ee2abe"/>
    <w:rPr/>
  </w:style>
  <w:style w:type="character" w:styleId="UnresolvedMention">
    <w:name w:val="Unresolved Mention"/>
    <w:basedOn w:val="DefaultParagraphFont"/>
    <w:uiPriority w:val="99"/>
    <w:qFormat/>
    <w:rsid w:val="00983454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semiHidden/>
    <w:pPr>
      <w:jc w:val="both"/>
    </w:pPr>
    <w:rPr>
      <w:b/>
      <w:color w:val="00000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qFormat/>
    <w:pPr>
      <w:jc w:val="center"/>
    </w:pPr>
    <w:rPr>
      <w:b/>
      <w:color w:val="000000"/>
      <w:sz w:val="48"/>
    </w:rPr>
  </w:style>
  <w:style w:type="paragraph" w:styleId="BodyText2">
    <w:name w:val="Body Text 2"/>
    <w:basedOn w:val="Normal"/>
    <w:semiHidden/>
    <w:qFormat/>
    <w:pPr/>
    <w:rPr>
      <w:color w:val="000000"/>
    </w:rPr>
  </w:style>
  <w:style w:type="paragraph" w:styleId="BodyText3">
    <w:name w:val="Body Text 3"/>
    <w:basedOn w:val="Normal"/>
    <w:semiHidden/>
    <w:qFormat/>
    <w:pPr>
      <w:jc w:val="both"/>
    </w:pPr>
    <w:rPr>
      <w:color w:val="000000"/>
    </w:rPr>
  </w:style>
  <w:style w:type="paragraph" w:styleId="Odsazentlatextu">
    <w:name w:val="Body Text Indent"/>
    <w:basedOn w:val="Normal"/>
    <w:semiHidden/>
    <w:pPr>
      <w:ind w:left="284" w:hanging="0"/>
      <w:jc w:val="both"/>
    </w:pPr>
    <w:rPr/>
  </w:style>
  <w:style w:type="paragraph" w:styleId="BodyTextIndent2">
    <w:name w:val="Body Text Indent 2"/>
    <w:basedOn w:val="Normal"/>
    <w:semiHidden/>
    <w:qFormat/>
    <w:pPr>
      <w:ind w:left="360" w:hanging="0"/>
      <w:jc w:val="both"/>
    </w:pPr>
    <w:rPr>
      <w:bCs/>
    </w:rPr>
  </w:style>
  <w:style w:type="paragraph" w:styleId="NormalWeb">
    <w:name w:val="Normal (Web)"/>
    <w:basedOn w:val="Normal"/>
    <w:semiHidden/>
    <w:qFormat/>
    <w:pPr>
      <w:spacing w:beforeAutospacing="1" w:afterAutospacing="1"/>
    </w:pPr>
    <w:rPr>
      <w:rFonts w:cs="Arial"/>
      <w:color w:val="000000"/>
      <w:sz w:val="20"/>
    </w:rPr>
  </w:style>
  <w:style w:type="paragraph" w:styleId="Normln1" w:customStyle="1">
    <w:name w:val="Normální1"/>
    <w:basedOn w:val="Normal"/>
    <w:qFormat/>
    <w:pPr>
      <w:widowControl w:val="false"/>
      <w:spacing w:lineRule="auto" w:line="259"/>
    </w:pPr>
    <w:rPr>
      <w:rFonts w:ascii="Times New Roman" w:hAnsi="Times New Roman"/>
      <w:lang w:eastAsia="en-U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semiHidden/>
    <w:pPr>
      <w:tabs>
        <w:tab w:val="clear" w:pos="708"/>
        <w:tab w:val="center" w:pos="4536" w:leader="none"/>
        <w:tab w:val="right" w:pos="9072" w:leader="none"/>
      </w:tabs>
    </w:pPr>
    <w:rPr>
      <w:rFonts w:ascii="Times New Roman" w:hAnsi="Times New Roman"/>
      <w:sz w:val="20"/>
    </w:rPr>
  </w:style>
  <w:style w:type="paragraph" w:styleId="Zpat">
    <w:name w:val="Footer"/>
    <w:basedOn w:val="Normal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</w:rPr>
  </w:style>
  <w:style w:type="paragraph" w:styleId="Text" w:customStyle="1">
    <w:name w:val="Text"/>
    <w:basedOn w:val="Normal"/>
    <w:qFormat/>
    <w:pPr>
      <w:spacing w:before="0" w:after="240"/>
      <w:ind w:firstLine="1440"/>
    </w:pPr>
    <w:rPr>
      <w:rFonts w:ascii="Times New Roman" w:hAnsi="Times New Roman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060a99"/>
    <w:pPr/>
    <w:rPr>
      <w:sz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60a99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60a99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242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ListParagraph">
    <w:name w:val="List Paragraph"/>
    <w:basedOn w:val="Normal"/>
    <w:uiPriority w:val="34"/>
    <w:qFormat/>
    <w:rsid w:val="0002573f"/>
    <w:pPr>
      <w:ind w:left="708" w:hanging="0"/>
    </w:pPr>
    <w:rPr/>
  </w:style>
  <w:style w:type="paragraph" w:styleId="Revision">
    <w:name w:val="Revision"/>
    <w:uiPriority w:val="99"/>
    <w:semiHidden/>
    <w:qFormat/>
    <w:rsid w:val="007d53cd"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cs-CZ" w:eastAsia="cs-CZ" w:bidi="ar-SA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C3149-7832-CE48-BBE4-1073BFD8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M:\Program Files\Microsoft Office\Sablony\Vzory smluv\Smlouva za peníze Klasik.dot</Template>
  <TotalTime>17</TotalTime>
  <Application>LibreOffice/6.3.4.2$Windows_X86_64 LibreOffice_project/60da17e045e08f1793c57c00ba83cdfce946d0aa</Application>
  <Pages>4</Pages>
  <Words>1042</Words>
  <Characters>5979</Characters>
  <CharactersWithSpaces>7071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2019-11-15T12:48:00Z</dcterms:created>
  <dc:creator>Obchod2</dc:creator>
  <dc:description/>
  <dc:language>cs-CZ</dc:language>
  <cp:lastModifiedBy/>
  <cp:lastPrinted>2022-05-03T12:42:39Z</cp:lastPrinted>
  <dcterms:modified xsi:type="dcterms:W3CDTF">2022-05-03T12:44:50Z</dcterms:modified>
  <cp:revision>5</cp:revision>
  <dc:subject/>
  <dc:title>S M L O U V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