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rsidP="00166AA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166AA8">
            <w:pPr>
              <w:spacing w:after="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166AA8">
            <w:pPr>
              <w:spacing w:after="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166AA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166AA8">
            <w:pPr>
              <w:spacing w:after="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166AA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478B2627" w:rsidR="00406509" w:rsidRPr="0019419A" w:rsidRDefault="00406509" w:rsidP="00166AA8">
            <w:pPr>
              <w:spacing w:after="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166AA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166AA8">
            <w:pPr>
              <w:spacing w:after="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rsidP="00166AA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20E41D78" w:rsidR="00406509" w:rsidRPr="002F1FE4" w:rsidRDefault="00091163" w:rsidP="00166AA8">
            <w:pPr>
              <w:spacing w:after="0"/>
              <w:jc w:val="center"/>
              <w:rPr>
                <w:rFonts w:cs="Calibri"/>
                <w:b/>
                <w:bCs/>
                <w:color w:val="000000"/>
              </w:rPr>
            </w:pPr>
            <w:r w:rsidRPr="002F1FE4">
              <w:rPr>
                <w:rFonts w:cstheme="minorHAnsi"/>
                <w:b/>
                <w:bCs/>
                <w:color w:val="000000"/>
              </w:rPr>
              <w:t xml:space="preserve">SICK spol. s r.o. </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166AA8">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422194B6" w:rsidR="00406509" w:rsidRPr="002F1FE4" w:rsidRDefault="00091163" w:rsidP="00166AA8">
            <w:pPr>
              <w:spacing w:after="0"/>
              <w:jc w:val="center"/>
              <w:rPr>
                <w:rFonts w:cs="Calibri"/>
              </w:rPr>
            </w:pPr>
            <w:r w:rsidRPr="002F1FE4">
              <w:rPr>
                <w:rFonts w:cs="Calibri"/>
              </w:rPr>
              <w:t>Ukrajinská 1487/</w:t>
            </w:r>
            <w:proofErr w:type="gramStart"/>
            <w:r w:rsidRPr="002F1FE4">
              <w:rPr>
                <w:rFonts w:cs="Calibri"/>
              </w:rPr>
              <w:t>2a</w:t>
            </w:r>
            <w:proofErr w:type="gramEnd"/>
            <w:r w:rsidRPr="002F1FE4">
              <w:rPr>
                <w:rFonts w:cs="Calibri"/>
              </w:rPr>
              <w:t>, 101 00, Praha 10</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166AA8">
            <w:pPr>
              <w:spacing w:after="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5F2EA59D" w:rsidR="00406509" w:rsidRPr="002F1FE4" w:rsidRDefault="00406509" w:rsidP="00F23CB1">
            <w:pPr>
              <w:spacing w:after="0"/>
              <w:rPr>
                <w:rFonts w:cs="Calibri"/>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166AA8">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3BA04739" w:rsidR="00406509" w:rsidRPr="002F1FE4" w:rsidRDefault="00091163" w:rsidP="00166AA8">
            <w:pPr>
              <w:spacing w:after="0"/>
              <w:jc w:val="center"/>
              <w:rPr>
                <w:rFonts w:cs="Calibri"/>
              </w:rPr>
            </w:pPr>
            <w:r w:rsidRPr="002F1FE4">
              <w:rPr>
                <w:rFonts w:cs="Calibri"/>
              </w:rPr>
              <w:t>44849036</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166AA8">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1B945878" w:rsidR="00406509" w:rsidRPr="002F1FE4" w:rsidRDefault="00406509" w:rsidP="00166AA8">
            <w:pPr>
              <w:spacing w:after="0"/>
              <w:jc w:val="center"/>
              <w:rPr>
                <w:rFonts w:cs="Calibri"/>
              </w:rPr>
            </w:pP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166AA8">
            <w:pPr>
              <w:spacing w:after="0"/>
              <w:rPr>
                <w:rFonts w:cs="Calibri"/>
                <w:b/>
                <w:color w:val="FFFFFF"/>
              </w:rPr>
            </w:pPr>
            <w:r w:rsidRPr="0019419A">
              <w:rPr>
                <w:rFonts w:cs="Calibri"/>
                <w:b/>
                <w:color w:val="FFFFFF"/>
              </w:rPr>
              <w:t>ZAPSANÁ V OR:</w:t>
            </w:r>
          </w:p>
        </w:tc>
        <w:tc>
          <w:tcPr>
            <w:tcW w:w="3635" w:type="pct"/>
            <w:shd w:val="clear" w:color="auto" w:fill="auto"/>
            <w:vAlign w:val="center"/>
          </w:tcPr>
          <w:p w14:paraId="2E28D426" w14:textId="6E59421D" w:rsidR="00406509" w:rsidRPr="002F1FE4" w:rsidRDefault="00683F52" w:rsidP="00166AA8">
            <w:pPr>
              <w:spacing w:after="0"/>
              <w:jc w:val="center"/>
              <w:rPr>
                <w:rFonts w:cs="Calibri"/>
              </w:rPr>
            </w:pPr>
            <w:r w:rsidRPr="002F1FE4">
              <w:rPr>
                <w:rFonts w:cstheme="minorHAnsi"/>
                <w:color w:val="000000"/>
              </w:rPr>
              <w:t>MS v Praze, oddíl C, vložka 8007</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67A3055B"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BA1452" w:rsidRPr="004C0F80">
        <w:rPr>
          <w:rFonts w:cs="Arial"/>
          <w:color w:val="000000" w:themeColor="text1"/>
        </w:rPr>
        <w:t xml:space="preserve">ČVUT-CIIRC: </w:t>
      </w:r>
      <w:r w:rsidR="00E95FF4">
        <w:rPr>
          <w:rFonts w:cs="Arial"/>
          <w:color w:val="000000" w:themeColor="text1"/>
        </w:rPr>
        <w:t>Bezpečnostní</w:t>
      </w:r>
      <w:r w:rsidR="00EC2366">
        <w:rPr>
          <w:rFonts w:cs="Arial"/>
          <w:color w:val="000000" w:themeColor="text1"/>
        </w:rPr>
        <w:t xml:space="preserve"> komponenty</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2282516D"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lastRenderedPageBreak/>
        <w:t>P</w:t>
      </w:r>
      <w:r w:rsidR="002D2C1A" w:rsidRPr="004C0F80">
        <w:rPr>
          <w:rFonts w:cs="Arial"/>
          <w:color w:val="000000" w:themeColor="text1"/>
        </w:rPr>
        <w:t xml:space="preserve">ředmětem této smlouvy je dodávka </w:t>
      </w:r>
      <w:r w:rsidR="009515F3">
        <w:rPr>
          <w:rFonts w:cs="Arial"/>
          <w:color w:val="000000" w:themeColor="text1"/>
        </w:rPr>
        <w:t>bezpečnostních</w:t>
      </w:r>
      <w:r w:rsidR="00EC2366">
        <w:rPr>
          <w:rFonts w:cs="Arial"/>
          <w:color w:val="000000" w:themeColor="text1"/>
        </w:rPr>
        <w:t xml:space="preserve"> komponentů</w:t>
      </w:r>
      <w:r w:rsidR="00CB2E61" w:rsidRPr="004C0F80">
        <w:rPr>
          <w:rFonts w:cs="Arial"/>
          <w:color w:val="000000" w:themeColor="text1"/>
        </w:rPr>
        <w:t xml:space="preserve"> </w:t>
      </w:r>
      <w:r w:rsidR="00C4284F" w:rsidRPr="00171D67">
        <w:rPr>
          <w:rFonts w:cs="Arial"/>
          <w:color w:val="000000" w:themeColor="text1"/>
        </w:rPr>
        <w:t>a souvisejícího vybavení</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BB076C">
        <w:rPr>
          <w:rFonts w:cs="Arial"/>
          <w:color w:val="000000" w:themeColor="text1"/>
        </w:rPr>
        <w:t>, v příloze B této smlouvy – posouzení bezpečnosti strojů (skládající se z celkem z 8 částí) a v příloze C této smlouvy – soupis bezpečnostních komponentů</w:t>
      </w:r>
      <w:r w:rsidR="009A2D1B">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0"/>
    </w:p>
    <w:p w14:paraId="2D66E17B" w14:textId="3B2A16CF" w:rsidR="002D3247" w:rsidRPr="00166AA8"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72F75DD0" w14:textId="2E255233" w:rsidR="00EC2366" w:rsidRDefault="00C026FC" w:rsidP="006D293F">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r w:rsidR="00EC2366">
        <w:rPr>
          <w:lang w:eastAsia="cs-CZ"/>
        </w:rPr>
        <w:t>;</w:t>
      </w:r>
    </w:p>
    <w:p w14:paraId="6ED5524A" w14:textId="00ABC4CE"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2149CB36" w:rsidR="001D6972"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činí </w:t>
      </w:r>
      <w:r w:rsidRPr="00CB2E61">
        <w:rPr>
          <w:rFonts w:cs="Arial"/>
          <w:color w:val="000000" w:themeColor="text1"/>
        </w:rPr>
        <w:t xml:space="preserve">nejvýše </w:t>
      </w:r>
      <w:r w:rsidR="00370D96">
        <w:rPr>
          <w:rFonts w:cs="Arial"/>
          <w:color w:val="000000" w:themeColor="text1"/>
        </w:rPr>
        <w:t>13</w:t>
      </w:r>
      <w:r w:rsidR="009515F3">
        <w:rPr>
          <w:rFonts w:cs="Arial"/>
          <w:color w:val="000000" w:themeColor="text1"/>
        </w:rPr>
        <w:t xml:space="preserve"> měsíců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nabytí účinnosti této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w:t>
      </w:r>
      <w:r w:rsidR="001D6972">
        <w:rPr>
          <w:rFonts w:cs="Arial"/>
          <w:color w:val="000000" w:themeColor="text1"/>
        </w:rPr>
        <w:t> </w:t>
      </w:r>
      <w:r w:rsidRPr="009E7D5E">
        <w:rPr>
          <w:rFonts w:cs="Arial"/>
          <w:color w:val="000000" w:themeColor="text1"/>
        </w:rPr>
        <w:t xml:space="preserve">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3E6DEBDC" w14:textId="2512C4AB" w:rsidR="00C22EA4" w:rsidRPr="002F1FE4"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2F1FE4">
        <w:rPr>
          <w:rFonts w:cs="Arial"/>
          <w:color w:val="000000" w:themeColor="text1"/>
        </w:rPr>
        <w:t xml:space="preserve">za stranu kupujícího: </w:t>
      </w:r>
    </w:p>
    <w:p w14:paraId="76C5FB95" w14:textId="77777777" w:rsidR="002F1FE4" w:rsidRDefault="002F1FE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2594C04"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34956E44"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E8430B" w:rsidRPr="00E8430B">
        <w:rPr>
          <w:rFonts w:cs="Arial"/>
          <w:color w:val="000000" w:themeColor="text1"/>
        </w:rPr>
        <w:t>CIIRC_B.1.15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3482217B"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EC2366">
        <w:rPr>
          <w:rFonts w:cs="Arial"/>
          <w:color w:val="000000" w:themeColor="text1"/>
        </w:rPr>
        <w:t xml:space="preserve"> a provedení </w:t>
      </w:r>
      <w:r w:rsidR="00EC2366" w:rsidRPr="003D6027">
        <w:rPr>
          <w:rFonts w:cs="Arial"/>
          <w:color w:val="000000" w:themeColor="text1"/>
        </w:rPr>
        <w:t>plnění dle čl. 2 ods</w:t>
      </w:r>
      <w:r w:rsidR="002305D5" w:rsidRPr="003D6027">
        <w:rPr>
          <w:rFonts w:cs="Arial"/>
          <w:color w:val="000000" w:themeColor="text1"/>
        </w:rPr>
        <w:t>t</w:t>
      </w:r>
      <w:r w:rsidR="00EC2366" w:rsidRPr="003D6027">
        <w:rPr>
          <w:rFonts w:cs="Arial"/>
          <w:color w:val="000000" w:themeColor="text1"/>
        </w:rPr>
        <w:t xml:space="preserve">. 3 písm. a) až </w:t>
      </w:r>
      <w:r w:rsidR="001A1F61">
        <w:rPr>
          <w:rFonts w:cs="Arial"/>
          <w:color w:val="000000" w:themeColor="text1"/>
        </w:rPr>
        <w:t>c</w:t>
      </w:r>
      <w:r w:rsidR="00EC2366" w:rsidRPr="003D6027">
        <w:rPr>
          <w:rFonts w:cs="Arial"/>
          <w:color w:val="000000" w:themeColor="text1"/>
        </w:rPr>
        <w:t>)</w:t>
      </w:r>
      <w:r w:rsidR="008D462A" w:rsidRPr="003D6027">
        <w:rPr>
          <w:rFonts w:cs="Arial"/>
          <w:color w:val="000000" w:themeColor="text1"/>
        </w:rPr>
        <w:t>.</w:t>
      </w:r>
    </w:p>
    <w:p w14:paraId="5B8C8849" w14:textId="7366B073"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6E5D68">
        <w:rPr>
          <w:rFonts w:cs="Arial"/>
          <w:color w:val="000000" w:themeColor="text1"/>
        </w:rPr>
        <w:t xml:space="preserve">, přičemž prodávající může dodat část zboží až do hodnoty </w:t>
      </w:r>
      <w:r w:rsidR="006E5D68" w:rsidRPr="006E5D68">
        <w:rPr>
          <w:rFonts w:cs="Arial"/>
          <w:color w:val="000000" w:themeColor="text1"/>
        </w:rPr>
        <w:t>50 % celkové ceny za plnění dle</w:t>
      </w:r>
      <w:r w:rsidR="006E5D68">
        <w:rPr>
          <w:rFonts w:cs="Arial"/>
          <w:color w:val="000000" w:themeColor="text1"/>
        </w:rPr>
        <w:t xml:space="preserve"> čl. IV</w:t>
      </w:r>
      <w:r w:rsidR="006E5D68" w:rsidRPr="006E5D68">
        <w:rPr>
          <w:rFonts w:cs="Arial"/>
          <w:color w:val="000000" w:themeColor="text1"/>
        </w:rPr>
        <w:t xml:space="preserve"> odst. 1</w:t>
      </w:r>
      <w:r w:rsidR="00370D96">
        <w:rPr>
          <w:rFonts w:cs="Arial"/>
          <w:color w:val="000000" w:themeColor="text1"/>
        </w:rPr>
        <w:t xml:space="preserve"> </w:t>
      </w:r>
      <w:r w:rsidR="006E5D68">
        <w:rPr>
          <w:rFonts w:cs="Arial"/>
          <w:color w:val="000000" w:themeColor="text1"/>
        </w:rPr>
        <w:t>této smlouvy v případě, že k dodání takové části zboží dojde</w:t>
      </w:r>
      <w:r w:rsidR="006E5D68" w:rsidRPr="006E5D68">
        <w:rPr>
          <w:rFonts w:cs="Arial"/>
          <w:color w:val="000000" w:themeColor="text1"/>
        </w:rPr>
        <w:t xml:space="preserve"> do 8 měsíců ode dne nabytí účinnosti této smlouvy, </w:t>
      </w:r>
      <w:r w:rsidR="00370D96">
        <w:rPr>
          <w:rFonts w:cs="Arial"/>
          <w:color w:val="000000" w:themeColor="text1"/>
        </w:rPr>
        <w:t>podrobnosti stanoví čl. IV odst. 4</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w:t>
      </w:r>
      <w:r w:rsidR="00935D15" w:rsidRPr="00DC3FF0">
        <w:rPr>
          <w:rFonts w:cs="Arial"/>
          <w:color w:val="000000" w:themeColor="text1"/>
        </w:rPr>
        <w:t xml:space="preserve"> a </w:t>
      </w:r>
      <w:r w:rsidR="00A36072">
        <w:rPr>
          <w:rFonts w:cs="Arial"/>
          <w:color w:val="000000" w:themeColor="text1"/>
        </w:rPr>
        <w:t xml:space="preserve">je </w:t>
      </w:r>
      <w:r w:rsidR="00B609C0" w:rsidRPr="00DC3FF0">
        <w:rPr>
          <w:rFonts w:cs="Arial"/>
          <w:color w:val="000000" w:themeColor="text1"/>
        </w:rPr>
        <w:t>prosté</w:t>
      </w:r>
      <w:r w:rsidR="00935D15" w:rsidRPr="00DC3FF0">
        <w:rPr>
          <w:rFonts w:cs="Arial"/>
          <w:color w:val="000000" w:themeColor="text1"/>
        </w:rPr>
        <w:t xml:space="preserve"> vad.</w:t>
      </w:r>
    </w:p>
    <w:p w14:paraId="1612DA50" w14:textId="34816A60" w:rsidR="006C169B" w:rsidRPr="00D32929" w:rsidRDefault="00D820AF" w:rsidP="00D32929">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lastRenderedPageBreak/>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w:t>
      </w:r>
      <w:r w:rsidR="00D32929">
        <w:rPr>
          <w:rFonts w:cs="Arial"/>
          <w:color w:val="000000" w:themeColor="text1"/>
        </w:rPr>
        <w:t>článku.</w:t>
      </w:r>
      <w:r w:rsidR="00D32929" w:rsidRPr="00D32929">
        <w:rPr>
          <w:rFonts w:cs="Arial"/>
          <w:color w:val="000000" w:themeColor="text1"/>
        </w:rPr>
        <w:t xml:space="preserve"> Přepravu</w:t>
      </w:r>
      <w:r w:rsidRPr="00D32929">
        <w:rPr>
          <w:rFonts w:cs="Arial"/>
          <w:color w:val="000000" w:themeColor="text1"/>
        </w:rPr>
        <w:t xml:space="preserve"> do konkrétní místnosti zajišťuje na svůj náklad a odpovědnost prodávající </w:t>
      </w:r>
      <w:r w:rsidR="00465624" w:rsidRPr="00D32929">
        <w:rPr>
          <w:rFonts w:cs="Arial"/>
          <w:color w:val="000000" w:themeColor="text1"/>
        </w:rPr>
        <w:t xml:space="preserve">toliko </w:t>
      </w:r>
      <w:r w:rsidRPr="00D32929">
        <w:rPr>
          <w:rFonts w:cs="Arial"/>
          <w:color w:val="000000" w:themeColor="text1"/>
        </w:rPr>
        <w:t>za součinnosti kupujícího</w:t>
      </w:r>
      <w:r w:rsidR="00C6542F" w:rsidRPr="00D32929">
        <w:rPr>
          <w:rFonts w:cs="Arial"/>
          <w:color w:val="000000" w:themeColor="text1"/>
        </w:rPr>
        <w:t>,</w:t>
      </w:r>
      <w:r w:rsidRPr="00D32929">
        <w:rPr>
          <w:rFonts w:cs="Arial"/>
          <w:color w:val="000000" w:themeColor="text1"/>
        </w:rPr>
        <w:t xml:space="preserve"> spočívající v zajištění přístupnosti a průchodnosti jednotlivých prostor nutných pro transport </w:t>
      </w:r>
      <w:r w:rsidR="008441B7" w:rsidRPr="00D32929">
        <w:rPr>
          <w:rFonts w:cs="Arial"/>
          <w:color w:val="000000" w:themeColor="text1"/>
        </w:rPr>
        <w:t xml:space="preserve">zboží </w:t>
      </w:r>
      <w:r w:rsidR="001C4CFA" w:rsidRPr="00D32929">
        <w:rPr>
          <w:rFonts w:cs="Arial"/>
          <w:color w:val="000000" w:themeColor="text1"/>
        </w:rPr>
        <w:t>na uvedené místo plnění</w:t>
      </w:r>
      <w:r w:rsidRPr="00D32929">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7"/>
        <w:gridCol w:w="5528"/>
      </w:tblGrid>
      <w:tr w:rsidR="001A1F61" w:rsidRPr="004946B0" w14:paraId="45BC2E7D" w14:textId="11C97245" w:rsidTr="001A1F61">
        <w:trPr>
          <w:trHeight w:val="20"/>
        </w:trPr>
        <w:tc>
          <w:tcPr>
            <w:tcW w:w="3027" w:type="dxa"/>
          </w:tcPr>
          <w:p w14:paraId="3DF7B865" w14:textId="77777777" w:rsidR="001A1F61" w:rsidRPr="004946B0" w:rsidRDefault="001A1F61"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5528" w:type="dxa"/>
          </w:tcPr>
          <w:p w14:paraId="6369BF66" w14:textId="77777777" w:rsidR="001A1F61" w:rsidRPr="004946B0" w:rsidRDefault="001A1F61"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r>
      <w:tr w:rsidR="001A1F61" w:rsidRPr="004946B0" w14:paraId="16EFEE2D" w14:textId="2021663B" w:rsidTr="001A1F61">
        <w:trPr>
          <w:trHeight w:val="20"/>
        </w:trPr>
        <w:tc>
          <w:tcPr>
            <w:tcW w:w="3027" w:type="dxa"/>
          </w:tcPr>
          <w:p w14:paraId="5F504926" w14:textId="77777777" w:rsidR="001A1F61" w:rsidRPr="004946B0" w:rsidRDefault="001A1F61"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5528" w:type="dxa"/>
          </w:tcPr>
          <w:p w14:paraId="26132B8B" w14:textId="40B76D1F" w:rsidR="001A1F61" w:rsidRPr="00203BF2" w:rsidRDefault="00467F96"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1.955.719 Kč</w:t>
            </w:r>
          </w:p>
        </w:tc>
      </w:tr>
      <w:tr w:rsidR="001A1F61" w:rsidRPr="004946B0" w14:paraId="1D082FD0" w14:textId="254A432D" w:rsidTr="001A1F61">
        <w:trPr>
          <w:trHeight w:val="20"/>
        </w:trPr>
        <w:tc>
          <w:tcPr>
            <w:tcW w:w="3027" w:type="dxa"/>
          </w:tcPr>
          <w:p w14:paraId="0D90EF9F" w14:textId="77777777" w:rsidR="001A1F61" w:rsidRPr="004946B0" w:rsidRDefault="001A1F61"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5528" w:type="dxa"/>
          </w:tcPr>
          <w:p w14:paraId="0C454DE1" w14:textId="3939ECC0" w:rsidR="001A1F61" w:rsidRPr="00203BF2" w:rsidRDefault="00683F52"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2.366.419,90 Kč</w:t>
            </w:r>
          </w:p>
        </w:tc>
      </w:tr>
      <w:tr w:rsidR="001A1F61" w:rsidRPr="004946B0" w14:paraId="613B8EB7" w14:textId="6CBF4D33" w:rsidTr="001A1F61">
        <w:trPr>
          <w:trHeight w:val="20"/>
        </w:trPr>
        <w:tc>
          <w:tcPr>
            <w:tcW w:w="3027" w:type="dxa"/>
          </w:tcPr>
          <w:p w14:paraId="5E1EF555" w14:textId="77777777" w:rsidR="001A1F61" w:rsidRPr="004946B0" w:rsidRDefault="001A1F61"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5528" w:type="dxa"/>
          </w:tcPr>
          <w:p w14:paraId="64B6B59D" w14:textId="0867FDE4" w:rsidR="001A1F61" w:rsidRPr="00203BF2" w:rsidRDefault="00683F52" w:rsidP="00985403">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410.700,90 Kč</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17CD20FD" w14:textId="2EF30153" w:rsidR="00A36072" w:rsidRPr="00A36072" w:rsidRDefault="00A36072" w:rsidP="00941FA2">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36072">
        <w:rPr>
          <w:rFonts w:cs="Arial"/>
          <w:color w:val="000000" w:themeColor="text1"/>
        </w:rPr>
        <w:t>Cenový rozpad celkové ceny za plnění je obsažen v příloze C – soupis bezpečnostních komponentů, který obsahuj</w:t>
      </w:r>
      <w:r>
        <w:rPr>
          <w:rFonts w:cs="Arial"/>
          <w:color w:val="000000" w:themeColor="text1"/>
        </w:rPr>
        <w:t xml:space="preserve">e </w:t>
      </w:r>
      <w:r w:rsidRPr="00A36072">
        <w:rPr>
          <w:rFonts w:cs="Arial"/>
          <w:color w:val="000000" w:themeColor="text1"/>
        </w:rPr>
        <w:t>cen</w:t>
      </w:r>
      <w:r>
        <w:rPr>
          <w:rFonts w:cs="Arial"/>
          <w:color w:val="000000" w:themeColor="text1"/>
        </w:rPr>
        <w:t>u</w:t>
      </w:r>
      <w:r w:rsidRPr="00A36072">
        <w:rPr>
          <w:rFonts w:cs="Arial"/>
          <w:color w:val="000000" w:themeColor="text1"/>
        </w:rPr>
        <w:t xml:space="preserve"> jednotlivých</w:t>
      </w:r>
      <w:r>
        <w:rPr>
          <w:rFonts w:cs="Arial"/>
          <w:color w:val="000000" w:themeColor="text1"/>
        </w:rPr>
        <w:t xml:space="preserve"> dodávaných</w:t>
      </w:r>
      <w:r w:rsidRPr="00A36072">
        <w:rPr>
          <w:rFonts w:cs="Arial"/>
          <w:color w:val="000000" w:themeColor="text1"/>
        </w:rPr>
        <w:t xml:space="preserve"> komponent</w:t>
      </w:r>
      <w:r>
        <w:rPr>
          <w:rFonts w:cs="Arial"/>
          <w:color w:val="000000" w:themeColor="text1"/>
        </w:rPr>
        <w:t>.</w:t>
      </w:r>
    </w:p>
    <w:p w14:paraId="27D646E3" w14:textId="212A0E38" w:rsidR="00692FE1" w:rsidRDefault="00D574F4" w:rsidP="00692FE1">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7075C2B1" w14:textId="4A4A9C25" w:rsidR="00692FE1" w:rsidRPr="00692FE1" w:rsidRDefault="00692FE1" w:rsidP="00692FE1">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692FE1">
        <w:rPr>
          <w:color w:val="000000" w:themeColor="text1"/>
        </w:rPr>
        <w:t>C</w:t>
      </w:r>
      <w:r w:rsidR="00484F6E" w:rsidRPr="00692FE1">
        <w:rPr>
          <w:color w:val="000000" w:themeColor="text1"/>
        </w:rPr>
        <w:t xml:space="preserve">ena za </w:t>
      </w:r>
      <w:r w:rsidR="00C262E7" w:rsidRPr="00692FE1">
        <w:rPr>
          <w:color w:val="000000" w:themeColor="text1"/>
        </w:rPr>
        <w:t xml:space="preserve">dodání </w:t>
      </w:r>
      <w:r w:rsidR="00CC4F3D" w:rsidRPr="00692FE1">
        <w:rPr>
          <w:color w:val="000000" w:themeColor="text1"/>
        </w:rPr>
        <w:t>zboží a jeho příslušenství</w:t>
      </w:r>
      <w:r w:rsidR="006E5D68">
        <w:rPr>
          <w:color w:val="000000" w:themeColor="text1"/>
        </w:rPr>
        <w:t xml:space="preserve"> dle</w:t>
      </w:r>
      <w:r w:rsidR="00C262E7" w:rsidRPr="00692FE1">
        <w:rPr>
          <w:color w:val="000000" w:themeColor="text1"/>
        </w:rPr>
        <w:t xml:space="preserve"> této</w:t>
      </w:r>
      <w:r w:rsidR="00C262E7" w:rsidRPr="00692FE1">
        <w:rPr>
          <w:rFonts w:cs="Arial"/>
          <w:color w:val="000000" w:themeColor="text1"/>
        </w:rPr>
        <w:t xml:space="preserve"> smlouvy</w:t>
      </w:r>
      <w:r w:rsidR="00484F6E" w:rsidRPr="00692FE1">
        <w:rPr>
          <w:rFonts w:cs="Arial"/>
          <w:color w:val="000000" w:themeColor="text1"/>
        </w:rPr>
        <w:t xml:space="preserve"> bude uhrazena oproti faktuře</w:t>
      </w:r>
      <w:r w:rsidRPr="00692FE1">
        <w:rPr>
          <w:rFonts w:cs="Arial"/>
          <w:color w:val="000000" w:themeColor="text1"/>
        </w:rPr>
        <w:t>, resp. fakturám</w:t>
      </w:r>
      <w:r w:rsidR="00484F6E" w:rsidRPr="00692FE1">
        <w:rPr>
          <w:rFonts w:cs="Arial"/>
          <w:color w:val="000000" w:themeColor="text1"/>
        </w:rPr>
        <w:t xml:space="preserve">. </w:t>
      </w:r>
      <w:r w:rsidRPr="00692FE1">
        <w:rPr>
          <w:rFonts w:cs="Arial"/>
          <w:color w:val="000000" w:themeColor="text1"/>
        </w:rPr>
        <w:t xml:space="preserve">Faktura za dodané plnění může být vždy vystavena teprve po podepsání předávacího, resp. akceptačního protokolu, ve kterém bude uvedeno, že dodání je bez vad. </w:t>
      </w:r>
      <w:r w:rsidR="00A36072">
        <w:rPr>
          <w:rFonts w:cs="Arial"/>
          <w:color w:val="000000" w:themeColor="text1"/>
        </w:rPr>
        <w:t>Prodávající je oprávněn vydat dílčí faktury</w:t>
      </w:r>
      <w:r w:rsidRPr="00692FE1">
        <w:rPr>
          <w:rFonts w:cs="Arial"/>
          <w:color w:val="000000" w:themeColor="text1"/>
        </w:rPr>
        <w:t xml:space="preserve"> za následujících podmínek:</w:t>
      </w:r>
    </w:p>
    <w:p w14:paraId="70BAFF00" w14:textId="37151725" w:rsidR="00692FE1" w:rsidRPr="00692FE1" w:rsidRDefault="00A36072" w:rsidP="00A36072">
      <w:pPr>
        <w:pStyle w:val="Odstavecseseznamem"/>
        <w:widowControl w:val="0"/>
        <w:numPr>
          <w:ilvl w:val="0"/>
          <w:numId w:val="6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425"/>
        <w:contextualSpacing w:val="0"/>
        <w:jc w:val="both"/>
        <w:outlineLvl w:val="0"/>
        <w:rPr>
          <w:rFonts w:cs="Arial"/>
          <w:color w:val="000000" w:themeColor="text1"/>
        </w:rPr>
      </w:pPr>
      <w:r>
        <w:rPr>
          <w:rFonts w:cs="Arial"/>
          <w:color w:val="000000" w:themeColor="text1"/>
        </w:rPr>
        <w:t>a</w:t>
      </w:r>
      <w:r w:rsidR="00692FE1" w:rsidRPr="00692FE1">
        <w:rPr>
          <w:rFonts w:cs="Arial"/>
          <w:color w:val="000000" w:themeColor="text1"/>
        </w:rPr>
        <w:t xml:space="preserve">ž do výše 50 % celkové ceny za plnění </w:t>
      </w:r>
      <w:r>
        <w:rPr>
          <w:rFonts w:cs="Arial"/>
          <w:color w:val="000000" w:themeColor="text1"/>
        </w:rPr>
        <w:t xml:space="preserve">dle odst. 1 </w:t>
      </w:r>
      <w:r w:rsidR="00692FE1" w:rsidRPr="00692FE1">
        <w:rPr>
          <w:rFonts w:cs="Arial"/>
          <w:color w:val="000000" w:themeColor="text1"/>
        </w:rPr>
        <w:t xml:space="preserve">může </w:t>
      </w:r>
      <w:r>
        <w:rPr>
          <w:rFonts w:cs="Arial"/>
          <w:color w:val="000000" w:themeColor="text1"/>
        </w:rPr>
        <w:t>prodávající</w:t>
      </w:r>
      <w:r w:rsidR="00692FE1" w:rsidRPr="00692FE1">
        <w:rPr>
          <w:rFonts w:cs="Arial"/>
          <w:color w:val="000000" w:themeColor="text1"/>
        </w:rPr>
        <w:t xml:space="preserve"> vydat fakturu </w:t>
      </w:r>
      <w:r w:rsidR="006E5D68">
        <w:rPr>
          <w:rFonts w:cs="Arial"/>
          <w:color w:val="000000" w:themeColor="text1"/>
        </w:rPr>
        <w:t xml:space="preserve">či faktury </w:t>
      </w:r>
      <w:r w:rsidR="00692FE1" w:rsidRPr="00692FE1">
        <w:rPr>
          <w:rFonts w:cs="Arial"/>
          <w:color w:val="000000" w:themeColor="text1"/>
        </w:rPr>
        <w:t xml:space="preserve">odpovídající té části plnění, kterou </w:t>
      </w:r>
      <w:r>
        <w:rPr>
          <w:rFonts w:cs="Arial"/>
          <w:color w:val="000000" w:themeColor="text1"/>
        </w:rPr>
        <w:t>prodávající</w:t>
      </w:r>
      <w:r w:rsidR="00692FE1" w:rsidRPr="00692FE1">
        <w:rPr>
          <w:rFonts w:cs="Arial"/>
          <w:color w:val="000000" w:themeColor="text1"/>
        </w:rPr>
        <w:t xml:space="preserve"> dod</w:t>
      </w:r>
      <w:r>
        <w:rPr>
          <w:rFonts w:cs="Arial"/>
          <w:color w:val="000000" w:themeColor="text1"/>
        </w:rPr>
        <w:t>al</w:t>
      </w:r>
      <w:r w:rsidR="00692FE1" w:rsidRPr="00692FE1">
        <w:rPr>
          <w:rFonts w:cs="Arial"/>
          <w:color w:val="000000" w:themeColor="text1"/>
        </w:rPr>
        <w:t xml:space="preserve"> do 8 měsíců ode dne nabytí účinnosti </w:t>
      </w:r>
      <w:r>
        <w:rPr>
          <w:rFonts w:cs="Arial"/>
          <w:color w:val="000000" w:themeColor="text1"/>
        </w:rPr>
        <w:t>této smlouvy</w:t>
      </w:r>
      <w:r w:rsidR="00692FE1" w:rsidRPr="00692FE1">
        <w:rPr>
          <w:rFonts w:cs="Arial"/>
          <w:color w:val="000000" w:themeColor="text1"/>
        </w:rPr>
        <w:t>,</w:t>
      </w:r>
      <w:r>
        <w:rPr>
          <w:rFonts w:cs="Arial"/>
          <w:color w:val="000000" w:themeColor="text1"/>
        </w:rPr>
        <w:t xml:space="preserve"> prodávající </w:t>
      </w:r>
      <w:r w:rsidR="00692FE1" w:rsidRPr="00692FE1">
        <w:rPr>
          <w:rFonts w:cs="Arial"/>
          <w:color w:val="000000" w:themeColor="text1"/>
        </w:rPr>
        <w:t>přitom může takto dodané části plnění</w:t>
      </w:r>
      <w:r>
        <w:rPr>
          <w:rFonts w:cs="Arial"/>
          <w:color w:val="000000" w:themeColor="text1"/>
        </w:rPr>
        <w:t xml:space="preserve"> smlouvy</w:t>
      </w:r>
      <w:r w:rsidR="00692FE1" w:rsidRPr="00692FE1">
        <w:rPr>
          <w:rFonts w:cs="Arial"/>
          <w:color w:val="000000" w:themeColor="text1"/>
        </w:rPr>
        <w:t xml:space="preserve"> fakturovat </w:t>
      </w:r>
      <w:r>
        <w:rPr>
          <w:rFonts w:cs="Arial"/>
          <w:color w:val="000000" w:themeColor="text1"/>
        </w:rPr>
        <w:t>kupujícímu</w:t>
      </w:r>
      <w:r w:rsidR="00692FE1" w:rsidRPr="00692FE1">
        <w:rPr>
          <w:rFonts w:cs="Arial"/>
          <w:color w:val="000000" w:themeColor="text1"/>
        </w:rPr>
        <w:t xml:space="preserve"> ve více částech podle toho, jak budou jednotlivé položky</w:t>
      </w:r>
      <w:r>
        <w:rPr>
          <w:rFonts w:cs="Arial"/>
          <w:color w:val="000000" w:themeColor="text1"/>
        </w:rPr>
        <w:t xml:space="preserve"> plnění kupujícímu</w:t>
      </w:r>
      <w:r w:rsidR="00692FE1" w:rsidRPr="00692FE1">
        <w:rPr>
          <w:rFonts w:cs="Arial"/>
          <w:color w:val="000000" w:themeColor="text1"/>
        </w:rPr>
        <w:t xml:space="preserve"> skutečně dodány (</w:t>
      </w:r>
      <w:r w:rsidR="006E5D68">
        <w:rPr>
          <w:rFonts w:cs="Arial"/>
          <w:color w:val="000000" w:themeColor="text1"/>
        </w:rPr>
        <w:t>tj.</w:t>
      </w:r>
      <w:r w:rsidR="00692FE1" w:rsidRPr="00692FE1">
        <w:rPr>
          <w:rFonts w:cs="Arial"/>
          <w:color w:val="000000" w:themeColor="text1"/>
        </w:rPr>
        <w:t xml:space="preserve"> jak dojde k jejich převzetí a podepsání předávacího, resp. akceptačního protokolu, ve kterém bude uvedeno, že dodání je bez vad). Částka fakturovaná za část plnění dle tohoto odstavce musí vždy odpovídat ceně jednotlivých dodaných položek dle ceny v</w:t>
      </w:r>
      <w:r>
        <w:rPr>
          <w:rFonts w:cs="Arial"/>
          <w:color w:val="000000" w:themeColor="text1"/>
        </w:rPr>
        <w:t xml:space="preserve"> příloze C této smlouvy – </w:t>
      </w:r>
      <w:r w:rsidR="00692FE1" w:rsidRPr="00692FE1">
        <w:rPr>
          <w:rFonts w:cs="Arial"/>
          <w:color w:val="000000" w:themeColor="text1"/>
        </w:rPr>
        <w:t>soupis bezpečnostních komponentů</w:t>
      </w:r>
      <w:r w:rsidR="006E5D68">
        <w:rPr>
          <w:rFonts w:cs="Arial"/>
          <w:color w:val="000000" w:themeColor="text1"/>
        </w:rPr>
        <w:t>;</w:t>
      </w:r>
    </w:p>
    <w:p w14:paraId="101555F6" w14:textId="60C22927" w:rsidR="00C262E7" w:rsidRPr="00A36072" w:rsidRDefault="006E5D68" w:rsidP="00A36072">
      <w:pPr>
        <w:pStyle w:val="Odstavecseseznamem"/>
        <w:widowControl w:val="0"/>
        <w:numPr>
          <w:ilvl w:val="0"/>
          <w:numId w:val="6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425"/>
        <w:contextualSpacing w:val="0"/>
        <w:jc w:val="both"/>
        <w:outlineLvl w:val="0"/>
        <w:rPr>
          <w:rFonts w:cs="Arial"/>
          <w:color w:val="000000" w:themeColor="text1"/>
        </w:rPr>
      </w:pPr>
      <w:r>
        <w:rPr>
          <w:rFonts w:cs="Arial"/>
          <w:color w:val="000000" w:themeColor="text1"/>
        </w:rPr>
        <w:t>z</w:t>
      </w:r>
      <w:r w:rsidR="00692FE1" w:rsidRPr="00692FE1">
        <w:rPr>
          <w:rFonts w:cs="Arial"/>
          <w:color w:val="000000" w:themeColor="text1"/>
        </w:rPr>
        <w:t>bývající část celkové ceny za plnění bude</w:t>
      </w:r>
      <w:r w:rsidR="00A36072">
        <w:rPr>
          <w:rFonts w:cs="Arial"/>
          <w:color w:val="000000" w:themeColor="text1"/>
        </w:rPr>
        <w:t xml:space="preserve"> </w:t>
      </w:r>
      <w:r>
        <w:rPr>
          <w:rFonts w:cs="Arial"/>
          <w:color w:val="000000" w:themeColor="text1"/>
        </w:rPr>
        <w:t xml:space="preserve">prodávajícím </w:t>
      </w:r>
      <w:r w:rsidR="00A36072">
        <w:rPr>
          <w:rFonts w:cs="Arial"/>
          <w:color w:val="000000" w:themeColor="text1"/>
        </w:rPr>
        <w:t>fakturována a kupujícím</w:t>
      </w:r>
      <w:r w:rsidR="00692FE1" w:rsidRPr="00692FE1">
        <w:rPr>
          <w:rFonts w:cs="Arial"/>
          <w:color w:val="000000" w:themeColor="text1"/>
        </w:rPr>
        <w:t xml:space="preserve"> uhrazena po dodání veškerého zbývajícího plnění</w:t>
      </w:r>
      <w:r w:rsidR="00A36072">
        <w:rPr>
          <w:rFonts w:cs="Arial"/>
          <w:color w:val="000000" w:themeColor="text1"/>
        </w:rPr>
        <w:t xml:space="preserve">, tj. po </w:t>
      </w:r>
      <w:r w:rsidR="00A36072" w:rsidRPr="00692FE1">
        <w:rPr>
          <w:rFonts w:cs="Arial"/>
          <w:color w:val="000000" w:themeColor="text1"/>
        </w:rPr>
        <w:t>jejich převzetí a podepsání předávacího, resp. akceptačního protokolu, ve kterém bude uvedeno, že dodání je bez vad</w:t>
      </w:r>
      <w:r w:rsidR="00A36072">
        <w:rPr>
          <w:rFonts w:cs="Arial"/>
          <w:color w:val="000000" w:themeColor="text1"/>
        </w:rPr>
        <w:t xml:space="preserve"> a kompletní</w:t>
      </w:r>
      <w:r w:rsidR="00692FE1" w:rsidRPr="00692FE1">
        <w:rPr>
          <w:rFonts w:cs="Arial"/>
          <w:color w:val="000000" w:themeColor="text1"/>
        </w:rPr>
        <w:t xml:space="preserve">. </w:t>
      </w:r>
      <w:r w:rsidR="00460E78">
        <w:rPr>
          <w:rFonts w:cs="Arial"/>
          <w:color w:val="000000" w:themeColor="text1"/>
        </w:rPr>
        <w:t xml:space="preserve"> </w:t>
      </w:r>
    </w:p>
    <w:p w14:paraId="48FB3A70" w14:textId="0451545F" w:rsidR="002217F8" w:rsidRPr="009E7D5E" w:rsidRDefault="00380C01" w:rsidP="00A36072">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dílčí faktury</w:t>
      </w:r>
      <w:r w:rsidR="006E5D68">
        <w:rPr>
          <w:rFonts w:cstheme="minorHAnsi"/>
        </w:rPr>
        <w:t xml:space="preserve"> zvlášť na</w:t>
      </w:r>
      <w:r w:rsidRPr="009E7D5E">
        <w:rPr>
          <w:rFonts w:cstheme="minorHAnsi"/>
        </w:rPr>
        <w:t xml:space="preserve"> položky předmětu plnění investičního charakteru a na položky předmětu plnění neinvestičního charakteru.</w:t>
      </w:r>
      <w:r w:rsidRPr="009E7D5E" w:rsidDel="00380C01">
        <w:rPr>
          <w:rFonts w:cstheme="minorHAnsi"/>
        </w:rPr>
        <w:t xml:space="preserve"> </w:t>
      </w:r>
    </w:p>
    <w:p w14:paraId="70A9C2F1" w14:textId="184FCDAD" w:rsidR="00C6542F" w:rsidRPr="006E5D68" w:rsidRDefault="002217F8" w:rsidP="006E5D68">
      <w:pPr>
        <w:pStyle w:val="PFI-odstavec"/>
        <w:numPr>
          <w:ilvl w:val="0"/>
          <w:numId w:val="56"/>
        </w:numPr>
        <w:ind w:left="567" w:hanging="567"/>
        <w:rPr>
          <w:rFonts w:asciiTheme="minorHAnsi" w:hAnsiTheme="minorHAnsi" w:cstheme="minorHAnsi"/>
          <w:szCs w:val="22"/>
          <w:lang w:val="cs-CZ"/>
        </w:rPr>
      </w:pPr>
      <w:r w:rsidRPr="006E5D68">
        <w:rPr>
          <w:rFonts w:asciiTheme="minorHAnsi" w:hAnsiTheme="minorHAnsi" w:cstheme="minorHAnsi"/>
          <w:szCs w:val="22"/>
          <w:lang w:val="cs-CZ"/>
        </w:rPr>
        <w:t>Prodávající se zavazuje na</w:t>
      </w:r>
      <w:r w:rsidR="006E5D68" w:rsidRPr="006E5D68">
        <w:rPr>
          <w:rFonts w:asciiTheme="minorHAnsi" w:hAnsiTheme="minorHAnsi" w:cstheme="minorHAnsi"/>
          <w:szCs w:val="22"/>
          <w:lang w:val="cs-CZ"/>
        </w:rPr>
        <w:t xml:space="preserve"> každou</w:t>
      </w:r>
      <w:r w:rsidRPr="006E5D68">
        <w:rPr>
          <w:rFonts w:asciiTheme="minorHAnsi" w:hAnsiTheme="minorHAnsi" w:cstheme="minorHAnsi"/>
          <w:szCs w:val="22"/>
          <w:lang w:val="cs-CZ"/>
        </w:rPr>
        <w:t xml:space="preserve"> fakturu</w:t>
      </w:r>
      <w:r w:rsidR="00C6542F" w:rsidRPr="006E5D68">
        <w:rPr>
          <w:rFonts w:asciiTheme="minorHAnsi" w:hAnsiTheme="minorHAnsi" w:cstheme="minorHAnsi"/>
          <w:szCs w:val="22"/>
          <w:lang w:val="cs-CZ"/>
        </w:rPr>
        <w:t xml:space="preserve"> uvést</w:t>
      </w:r>
      <w:r w:rsidRPr="006E5D68">
        <w:rPr>
          <w:rFonts w:asciiTheme="minorHAnsi" w:hAnsiTheme="minorHAnsi" w:cstheme="minorHAnsi"/>
          <w:szCs w:val="22"/>
          <w:lang w:val="cs-CZ"/>
        </w:rPr>
        <w:t xml:space="preserve"> označení projektu, </w:t>
      </w:r>
      <w:r w:rsidR="00C6542F" w:rsidRPr="006E5D68">
        <w:rPr>
          <w:rFonts w:asciiTheme="minorHAnsi" w:hAnsiTheme="minorHAnsi" w:cstheme="minorHAnsi"/>
          <w:szCs w:val="22"/>
          <w:lang w:val="cs-CZ"/>
        </w:rPr>
        <w:t>z něhož je zboží hrazeno, a</w:t>
      </w:r>
      <w:r w:rsidR="006E5D68" w:rsidRPr="006E5D68">
        <w:rPr>
          <w:rFonts w:asciiTheme="minorHAnsi" w:hAnsiTheme="minorHAnsi" w:cstheme="minorHAnsi"/>
          <w:szCs w:val="22"/>
          <w:lang w:val="cs-CZ"/>
        </w:rPr>
        <w:t xml:space="preserve"> </w:t>
      </w:r>
      <w:r w:rsidR="00C6542F" w:rsidRPr="006E5D68">
        <w:rPr>
          <w:rFonts w:asciiTheme="minorHAnsi" w:hAnsiTheme="minorHAnsi" w:cstheme="minorHAnsi"/>
          <w:szCs w:val="22"/>
          <w:lang w:val="cs-CZ"/>
        </w:rPr>
        <w:t>to:</w:t>
      </w:r>
    </w:p>
    <w:p w14:paraId="7CAAAFD6" w14:textId="77777777" w:rsidR="00D574F4" w:rsidRPr="00D574F4" w:rsidRDefault="00D574F4" w:rsidP="006E5D68">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01DB11A4" w14:textId="5DDE638D" w:rsidR="00D574F4" w:rsidRDefault="00D574F4" w:rsidP="006E5D68">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lastRenderedPageBreak/>
        <w:t>reg</w:t>
      </w:r>
      <w:proofErr w:type="spellEnd"/>
      <w:r w:rsidRPr="00D574F4">
        <w:rPr>
          <w:rFonts w:cs="Arial"/>
          <w:i/>
          <w:color w:val="000000" w:themeColor="text1"/>
        </w:rPr>
        <w:t>. č. CZ.02.1.01/0.0/0.0/17_043/0010085.</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3825FFBE"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w:t>
      </w:r>
      <w:r w:rsidR="006E5D68">
        <w:rPr>
          <w:rFonts w:cs="Arial"/>
          <w:color w:val="000000" w:themeColor="text1"/>
        </w:rPr>
        <w:t xml:space="preserve">každého </w:t>
      </w:r>
      <w:r w:rsidRPr="0019419A">
        <w:rPr>
          <w:rFonts w:cs="Arial"/>
          <w:color w:val="000000" w:themeColor="text1"/>
        </w:rPr>
        <w:t xml:space="preserve">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485A2A23"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8B7566">
        <w:t>2</w:t>
      </w:r>
      <w:r w:rsidR="00EC2366">
        <w:t>4</w:t>
      </w:r>
      <w:r w:rsidR="00C632C4">
        <w:t xml:space="preserve"> měsíc</w:t>
      </w:r>
      <w:r w:rsidR="00503499">
        <w:t>ů</w:t>
      </w:r>
      <w:r w:rsidR="00724E5B" w:rsidRPr="00986520">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1945A9E8"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 xml:space="preserve">dávající se zavazuje na </w:t>
      </w:r>
      <w:r w:rsidR="00935D15">
        <w:rPr>
          <w:rFonts w:eastAsia="Times New Roman" w:cs="Arial"/>
          <w:color w:val="000000"/>
          <w:lang w:eastAsia="cs-CZ"/>
        </w:rPr>
        <w:t>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w:t>
      </w:r>
      <w:r w:rsidR="00935D15">
        <w:rPr>
          <w:rFonts w:eastAsia="Times New Roman" w:cs="Arial"/>
          <w:color w:val="000000"/>
          <w:lang w:eastAsia="cs-CZ"/>
        </w:rPr>
        <w:t xml:space="preserve">kupujícího </w:t>
      </w:r>
      <w:r w:rsidR="00D32929" w:rsidRPr="0019419A">
        <w:rPr>
          <w:rFonts w:eastAsia="Times New Roman" w:cs="Arial"/>
          <w:color w:val="000000"/>
          <w:lang w:eastAsia="cs-CZ"/>
        </w:rPr>
        <w:t xml:space="preserve">diagnostiky </w:t>
      </w:r>
      <w:r w:rsidR="00D32929">
        <w:rPr>
          <w:rFonts w:eastAsia="Times New Roman" w:cs="Arial"/>
          <w:color w:val="000000"/>
          <w:lang w:eastAsia="cs-CZ"/>
        </w:rPr>
        <w:t>zboží</w:t>
      </w:r>
      <w:r w:rsidR="00D32929" w:rsidRPr="0019419A">
        <w:rPr>
          <w:rFonts w:eastAsia="Times New Roman" w:cs="Arial"/>
          <w:color w:val="000000"/>
          <w:lang w:eastAsia="cs-CZ"/>
        </w:rPr>
        <w:t xml:space="preserve"> a komunikaci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r w:rsidR="00E13C57">
        <w:rPr>
          <w:rFonts w:eastAsia="Times New Roman" w:cs="Arial"/>
          <w:color w:val="000000"/>
          <w:lang w:eastAsia="cs-CZ"/>
        </w:rPr>
        <w:t xml:space="preserve"> Prodávající se přitom zavazuje odstranit vadu do 30 dnů od nahlášení vady.</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 xml:space="preserve">Sankce a </w:t>
      </w:r>
      <w:r w:rsidR="007F28E3" w:rsidRPr="0019419A">
        <w:rPr>
          <w:rFonts w:eastAsia="Times New Roman" w:cs="Arial"/>
          <w:b/>
          <w:bCs/>
          <w:color w:val="000000"/>
          <w:sz w:val="24"/>
          <w:lang w:eastAsia="cs-CZ"/>
        </w:rPr>
        <w:t>smluvní pokuty</w:t>
      </w:r>
    </w:p>
    <w:p w14:paraId="22DB0E8B" w14:textId="03013DFF"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w:t>
      </w:r>
      <w:r w:rsidR="00370D96">
        <w:rPr>
          <w:rFonts w:eastAsia="Times New Roman" w:cs="Arial"/>
          <w:color w:val="000000"/>
          <w:lang w:eastAsia="cs-CZ"/>
        </w:rPr>
        <w:t xml:space="preserve">, přičemž celková výše úroku z prodlení nepřesáhne 10 % celkové ceny </w:t>
      </w:r>
      <w:r w:rsidR="00370D96" w:rsidRPr="004C0F80">
        <w:rPr>
          <w:rFonts w:cs="Arial"/>
          <w:color w:val="000000" w:themeColor="text1"/>
        </w:rPr>
        <w:t>za plnění dle této smlouvy</w:t>
      </w:r>
      <w:r w:rsidR="00370D96">
        <w:rPr>
          <w:rFonts w:cs="Arial"/>
          <w:color w:val="000000" w:themeColor="text1"/>
        </w:rPr>
        <w:t xml:space="preserve"> bez DPH dle čl. IV odst. 1 této smlouvy</w:t>
      </w:r>
      <w:r w:rsidRPr="003107A2">
        <w:rPr>
          <w:rFonts w:eastAsia="Times New Roman" w:cs="Arial"/>
          <w:color w:val="000000"/>
          <w:lang w:eastAsia="cs-CZ"/>
        </w:rPr>
        <w:t xml:space="preserve">. </w:t>
      </w:r>
    </w:p>
    <w:p w14:paraId="0393ED06" w14:textId="677C4E7C"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z</w:t>
      </w:r>
      <w:r w:rsidR="00370D96">
        <w:rPr>
          <w:rFonts w:eastAsia="Times New Roman" w:cs="Arial"/>
          <w:color w:val="000000"/>
          <w:lang w:eastAsia="cs-CZ"/>
        </w:rPr>
        <w:t> </w:t>
      </w:r>
      <w:r w:rsidR="007F28E3" w:rsidRPr="003107A2">
        <w:rPr>
          <w:rFonts w:eastAsia="Times New Roman" w:cs="Arial"/>
          <w:color w:val="000000"/>
          <w:lang w:eastAsia="cs-CZ"/>
        </w:rPr>
        <w:t>ceny zboží</w:t>
      </w:r>
      <w:r w:rsidR="00370D96" w:rsidRPr="00370D96">
        <w:rPr>
          <w:rFonts w:eastAsia="Times New Roman" w:cs="Arial"/>
          <w:color w:val="000000"/>
          <w:lang w:eastAsia="cs-CZ"/>
        </w:rPr>
        <w:t xml:space="preserve"> </w:t>
      </w:r>
      <w:r w:rsidR="00370D96">
        <w:rPr>
          <w:rFonts w:eastAsia="Times New Roman" w:cs="Arial"/>
          <w:color w:val="000000"/>
          <w:lang w:eastAsia="cs-CZ"/>
        </w:rPr>
        <w:t xml:space="preserve">bez DPH, s jehož dodáním je prodávající v prodlení, podle přílohy C – soupis bezpečnostních komponentů, a to </w:t>
      </w:r>
      <w:r w:rsidR="007F28E3" w:rsidRPr="003107A2">
        <w:rPr>
          <w:rFonts w:eastAsia="Times New Roman" w:cs="Arial"/>
          <w:color w:val="000000"/>
          <w:lang w:eastAsia="cs-CZ"/>
        </w:rPr>
        <w:t xml:space="preserve">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r w:rsidR="00370D96">
        <w:rPr>
          <w:rFonts w:eastAsia="Times New Roman" w:cs="Arial"/>
          <w:color w:val="000000"/>
          <w:lang w:eastAsia="cs-CZ"/>
        </w:rPr>
        <w:t xml:space="preserve">, přičemž celková výše smluvní pokuty za prodlení nepřesáhne 10 % celkové ceny </w:t>
      </w:r>
      <w:r w:rsidR="00370D96" w:rsidRPr="004C0F80">
        <w:rPr>
          <w:rFonts w:cs="Arial"/>
          <w:color w:val="000000" w:themeColor="text1"/>
        </w:rPr>
        <w:t>za plnění dle této smlouvy</w:t>
      </w:r>
      <w:r w:rsidR="00370D96">
        <w:rPr>
          <w:rFonts w:cs="Arial"/>
          <w:color w:val="000000" w:themeColor="text1"/>
        </w:rPr>
        <w:t xml:space="preserve"> bez DPH dle čl. IV odst. 1 této smlouvy</w:t>
      </w:r>
      <w:r w:rsidR="003A7C4D" w:rsidRPr="003107A2">
        <w:rPr>
          <w:rFonts w:eastAsia="Times New Roman" w:cs="Arial"/>
          <w:color w:val="000000"/>
          <w:lang w:eastAsia="cs-CZ"/>
        </w:rPr>
        <w:t>.</w:t>
      </w:r>
    </w:p>
    <w:p w14:paraId="37CAF4FD" w14:textId="0356665C"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 je prodávající povinen uhradit kupujícímu smluvní pokutu ve výši </w:t>
      </w:r>
      <w:r w:rsidR="00E13C57">
        <w:rPr>
          <w:rFonts w:eastAsia="Times New Roman" w:cs="Arial"/>
          <w:color w:val="000000"/>
          <w:lang w:eastAsia="cs-CZ"/>
        </w:rPr>
        <w:t>1.0</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 s poskytnutím servisu.</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457CA863" w:rsidR="00AD334A" w:rsidRDefault="000C3499">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370D96">
        <w:rPr>
          <w:rFonts w:eastAsia="Times New Roman" w:cs="Arial"/>
          <w:color w:val="000000"/>
          <w:lang w:eastAsia="cs-CZ"/>
        </w:rPr>
        <w:t>3</w:t>
      </w:r>
      <w:r>
        <w:rPr>
          <w:rFonts w:eastAsia="Times New Roman" w:cs="Arial"/>
          <w:color w:val="000000"/>
          <w:lang w:eastAsia="cs-CZ"/>
        </w:rPr>
        <w:t>0 d</w:t>
      </w:r>
      <w:r w:rsidRPr="00AD334A">
        <w:rPr>
          <w:rFonts w:eastAsia="Times New Roman" w:cs="Arial"/>
          <w:color w:val="000000"/>
          <w:lang w:eastAsia="cs-CZ"/>
        </w:rPr>
        <w:t xml:space="preserve">nů </w:t>
      </w:r>
      <w:r>
        <w:rPr>
          <w:rFonts w:eastAsia="Times New Roman" w:cs="Arial"/>
          <w:color w:val="000000"/>
          <w:lang w:eastAsia="cs-CZ"/>
        </w:rPr>
        <w:t>dle</w:t>
      </w:r>
      <w:r w:rsidRPr="00AD334A">
        <w:rPr>
          <w:rFonts w:eastAsia="Times New Roman" w:cs="Arial"/>
          <w:color w:val="000000"/>
          <w:lang w:eastAsia="cs-CZ"/>
        </w:rPr>
        <w:t xml:space="preserve"> čl. III odst. </w:t>
      </w:r>
      <w:r>
        <w:rPr>
          <w:rFonts w:eastAsia="Times New Roman" w:cs="Arial"/>
          <w:color w:val="000000"/>
          <w:lang w:eastAsia="cs-CZ"/>
        </w:rPr>
        <w:t>4 této smlouvy</w:t>
      </w:r>
      <w:r w:rsidRPr="00AD334A">
        <w:rPr>
          <w:rFonts w:eastAsia="Times New Roman" w:cs="Arial"/>
          <w:color w:val="000000"/>
          <w:lang w:eastAsia="cs-CZ"/>
        </w:rPr>
        <w:t>, nebo na prodávajícího byl vyhlášen konkurz či zahájeno nucené vyrovnání</w:t>
      </w:r>
      <w:r w:rsidR="007F28E3" w:rsidRPr="00AD334A">
        <w:rPr>
          <w:rFonts w:eastAsia="Times New Roman" w:cs="Arial"/>
          <w:color w:val="000000"/>
          <w:lang w:eastAsia="cs-CZ"/>
        </w:rPr>
        <w:t>.</w:t>
      </w:r>
      <w:r w:rsidR="00370D96">
        <w:rPr>
          <w:rFonts w:eastAsia="Times New Roman" w:cs="Arial"/>
          <w:color w:val="000000"/>
          <w:lang w:eastAsia="cs-CZ"/>
        </w:rPr>
        <w:t xml:space="preserve"> Kupující je oprávněn odstoupit i pouze od té </w:t>
      </w:r>
      <w:r w:rsidR="00006654">
        <w:rPr>
          <w:rFonts w:eastAsia="Times New Roman" w:cs="Arial"/>
          <w:color w:val="000000"/>
          <w:lang w:eastAsia="cs-CZ"/>
        </w:rPr>
        <w:t xml:space="preserve">části smlouvy týkající se dodání </w:t>
      </w:r>
      <w:r w:rsidR="00370D96">
        <w:rPr>
          <w:rFonts w:eastAsia="Times New Roman" w:cs="Arial"/>
          <w:color w:val="000000"/>
          <w:lang w:eastAsia="cs-CZ"/>
        </w:rPr>
        <w:t xml:space="preserve">části zboží, se kterým je prodávající </w:t>
      </w:r>
      <w:r w:rsidR="00006654">
        <w:rPr>
          <w:rFonts w:eastAsia="Times New Roman" w:cs="Arial"/>
          <w:color w:val="000000"/>
          <w:lang w:eastAsia="cs-CZ"/>
        </w:rPr>
        <w:t>v prodlení, ve smyslu § 2004 odst. 2 zákona č. 89/2012 Sb., občanský zákoník, ve znění pozdějších předpisů.</w:t>
      </w:r>
    </w:p>
    <w:p w14:paraId="6DE4A9F5" w14:textId="73310421" w:rsidR="00142E1A" w:rsidRDefault="000C3499"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než 40 dnů v návaznosti na čl. IV </w:t>
      </w:r>
      <w:r w:rsidRPr="00DC3FF0">
        <w:t>této smlouvy</w:t>
      </w:r>
      <w:r w:rsidR="00142E1A">
        <w:rPr>
          <w:rFonts w:eastAsia="Times New Roman" w:cs="Arial"/>
          <w:color w:val="000000"/>
          <w:lang w:eastAsia="cs-CZ"/>
        </w:rPr>
        <w:t>.</w:t>
      </w:r>
    </w:p>
    <w:p w14:paraId="0C76B0F0" w14:textId="030B5598" w:rsidR="00545B5C" w:rsidRPr="009A2D1B"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 w:val="24"/>
          <w:szCs w:val="20"/>
          <w:lang w:eastAsia="cs-CZ"/>
        </w:rPr>
      </w:pPr>
      <w:bookmarkStart w:id="2" w:name="_Toc522775762"/>
      <w:r w:rsidRPr="009A2D1B">
        <w:rPr>
          <w:rFonts w:eastAsia="Times New Roman" w:cs="Arial"/>
          <w:b/>
          <w:color w:val="000000"/>
          <w:sz w:val="24"/>
          <w:szCs w:val="20"/>
          <w:lang w:eastAsia="cs-CZ"/>
        </w:rPr>
        <w:t>Vyšší moc</w:t>
      </w:r>
      <w:bookmarkEnd w:id="2"/>
    </w:p>
    <w:p w14:paraId="6D2E86EC" w14:textId="77777777" w:rsidR="009A2D1B" w:rsidRPr="00DB6E63" w:rsidRDefault="009A2D1B" w:rsidP="009A2D1B">
      <w:pPr>
        <w:pStyle w:val="textindent"/>
        <w:numPr>
          <w:ilvl w:val="0"/>
          <w:numId w:val="59"/>
        </w:numPr>
        <w:tabs>
          <w:tab w:val="clear" w:pos="1200"/>
        </w:tabs>
        <w:ind w:left="567" w:hanging="567"/>
      </w:pPr>
      <w:r w:rsidRPr="00DC3FF0">
        <w:t>Je</w:t>
      </w:r>
      <w:r w:rsidRPr="00A3772B">
        <w:noBreakHyphen/>
        <w:t>li neplnění některého závazku prodávajícího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prodávající nemá </w:t>
      </w:r>
      <w:r>
        <w:t xml:space="preserve">a nemůže mít </w:t>
      </w:r>
      <w:r w:rsidRPr="00A3772B">
        <w:t>vliv („</w:t>
      </w:r>
      <w:r>
        <w:t>v</w:t>
      </w:r>
      <w:r w:rsidRPr="00A3772B">
        <w:t>yšší moc“) a které mají</w:t>
      </w:r>
      <w:r>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r>
        <w:t>, pokud jsou splněny podmínky odst. 3.</w:t>
      </w:r>
    </w:p>
    <w:p w14:paraId="2CFB0C2A" w14:textId="77777777" w:rsidR="009A2D1B" w:rsidRDefault="009A2D1B" w:rsidP="009A2D1B">
      <w:pPr>
        <w:pStyle w:val="textindent"/>
      </w:pPr>
      <w: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51560C9B" w14:textId="360E679F" w:rsidR="009A2D1B" w:rsidRDefault="009A2D1B" w:rsidP="009A2D1B">
      <w:pPr>
        <w:pStyle w:val="textindent"/>
      </w:pPr>
      <w:r>
        <w:lastRenderedPageBreak/>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 zejména na prodloužení lhůty pro dodání zboží o dobu působení vyšší moci a jejích následků. Smluvní strany jsou oprávněny odstoupit od této smlouvy, působila</w:t>
      </w:r>
      <w:r>
        <w:noBreakHyphen/>
        <w:t>li vyšší moc v úhrnu po dobu delší 30 dnů.</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5CA6FEBA"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1CC33703"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w:t>
      </w:r>
      <w:r w:rsidR="00BB076C">
        <w:rPr>
          <w:rFonts w:eastAsia="Times New Roman" w:cs="Arial"/>
          <w:color w:val="000000"/>
          <w:lang w:eastAsia="cs-CZ"/>
        </w:rPr>
        <w:t xml:space="preserve"> či </w:t>
      </w:r>
      <w:r w:rsidR="00BB076C" w:rsidRPr="00BB076C">
        <w:rPr>
          <w:rFonts w:eastAsia="Times New Roman" w:cs="Arial"/>
          <w:color w:val="000000"/>
          <w:lang w:eastAsia="cs-CZ"/>
        </w:rPr>
        <w:t>příl</w:t>
      </w:r>
      <w:r w:rsidR="00BB076C">
        <w:rPr>
          <w:rFonts w:eastAsia="Times New Roman" w:cs="Arial"/>
          <w:color w:val="000000"/>
          <w:lang w:eastAsia="cs-CZ"/>
        </w:rPr>
        <w:t>ohou</w:t>
      </w:r>
      <w:r w:rsidR="00BB076C" w:rsidRPr="00BB076C">
        <w:rPr>
          <w:rFonts w:eastAsia="Times New Roman" w:cs="Arial"/>
          <w:color w:val="000000"/>
          <w:lang w:eastAsia="cs-CZ"/>
        </w:rPr>
        <w:t xml:space="preserve"> B této smlouvy – posouzení bezpečnosti stroj</w:t>
      </w:r>
      <w:r w:rsidR="00BB076C">
        <w:rPr>
          <w:rFonts w:eastAsia="Times New Roman" w:cs="Arial"/>
          <w:color w:val="000000"/>
          <w:lang w:eastAsia="cs-CZ"/>
        </w:rPr>
        <w:t>ů</w:t>
      </w:r>
      <w:r w:rsidR="00BB076C" w:rsidRPr="00BB076C">
        <w:rPr>
          <w:rFonts w:eastAsia="Times New Roman" w:cs="Arial"/>
          <w:color w:val="000000"/>
          <w:lang w:eastAsia="cs-CZ"/>
        </w:rPr>
        <w:t xml:space="preserve"> (skládající se z celkem z 8 částí)</w:t>
      </w:r>
      <w:r w:rsidR="00BB076C">
        <w:rPr>
          <w:rFonts w:eastAsia="Times New Roman" w:cs="Arial"/>
          <w:color w:val="000000"/>
          <w:lang w:eastAsia="cs-CZ"/>
        </w:rPr>
        <w:t>,</w:t>
      </w:r>
      <w:r w:rsidR="00353724">
        <w:rPr>
          <w:rFonts w:eastAsia="Times New Roman" w:cs="Arial"/>
          <w:color w:val="000000"/>
          <w:lang w:eastAsia="cs-CZ"/>
        </w:rPr>
        <w:t xml:space="preserve"> má přednost</w:t>
      </w:r>
      <w:r>
        <w:rPr>
          <w:rFonts w:eastAsia="Times New Roman" w:cs="Arial"/>
          <w:color w:val="000000"/>
          <w:lang w:eastAsia="cs-CZ"/>
        </w:rPr>
        <w:t xml:space="preserve"> t</w:t>
      </w:r>
      <w:r w:rsidRPr="0019419A">
        <w:rPr>
          <w:rFonts w:eastAsia="Times New Roman" w:cs="Arial"/>
          <w:color w:val="000000"/>
          <w:lang w:eastAsia="cs-CZ"/>
        </w:rPr>
        <w:t>echnická specifikace</w:t>
      </w:r>
      <w:r w:rsidR="00BB076C">
        <w:rPr>
          <w:rFonts w:eastAsia="Times New Roman" w:cs="Arial"/>
          <w:color w:val="000000"/>
          <w:lang w:eastAsia="cs-CZ"/>
        </w:rPr>
        <w:t xml:space="preserve"> či příloha B</w:t>
      </w:r>
      <w:r w:rsidRPr="0019419A">
        <w:rPr>
          <w:rFonts w:eastAsia="Times New Roman" w:cs="Arial"/>
          <w:color w:val="000000"/>
          <w:lang w:eastAsia="cs-CZ"/>
        </w:rPr>
        <w:t xml:space="preserve"> před touto smlouvou</w:t>
      </w:r>
      <w:r w:rsidR="00353724">
        <w:rPr>
          <w:rFonts w:eastAsia="Times New Roman" w:cs="Arial"/>
          <w:color w:val="000000"/>
          <w:lang w:eastAsia="cs-CZ"/>
        </w:rPr>
        <w:t>.</w:t>
      </w:r>
      <w:r w:rsidR="00BB076C">
        <w:rPr>
          <w:rFonts w:eastAsia="Times New Roman" w:cs="Arial"/>
          <w:color w:val="000000"/>
          <w:lang w:eastAsia="cs-CZ"/>
        </w:rPr>
        <w:t xml:space="preserve"> </w:t>
      </w:r>
      <w:r w:rsidR="009A2D1B" w:rsidRPr="009A2D1B">
        <w:rPr>
          <w:rFonts w:eastAsia="Times New Roman" w:cs="Arial"/>
          <w:color w:val="000000"/>
          <w:lang w:eastAsia="cs-CZ"/>
        </w:rPr>
        <w:t xml:space="preserve">Při interpretačních různic má výkladovou přednost znění výzvy k podání nabídek </w:t>
      </w:r>
      <w:r w:rsidR="009A2D1B">
        <w:rPr>
          <w:rFonts w:eastAsia="Times New Roman" w:cs="Arial"/>
          <w:color w:val="000000"/>
          <w:lang w:eastAsia="cs-CZ"/>
        </w:rPr>
        <w:t xml:space="preserve">na veřejnou zakázku </w:t>
      </w:r>
      <w:r w:rsidR="009A2D1B" w:rsidRPr="009A2D1B">
        <w:rPr>
          <w:rFonts w:eastAsia="Times New Roman" w:cs="Arial"/>
          <w:color w:val="000000"/>
          <w:lang w:eastAsia="cs-CZ"/>
        </w:rPr>
        <w:t>před smlouvou.</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11063E0D"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65972">
        <w:rPr>
          <w:rFonts w:eastAsia="Times New Roman" w:cs="Arial"/>
          <w:noProof/>
          <w:lang w:eastAsia="cs-CZ"/>
        </w:rPr>
        <w:t>počátku účinnosti této smlouvy.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w:t>
      </w:r>
      <w:r w:rsidR="0019419A" w:rsidRPr="0019419A">
        <w:lastRenderedPageBreak/>
        <w:t>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1A14B051" w14:textId="77777777" w:rsidR="00BB076C" w:rsidRPr="00BB076C" w:rsidRDefault="00496855" w:rsidP="007C1A31">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hanging="709"/>
        <w:jc w:val="both"/>
        <w:rPr>
          <w:rFonts w:eastAsia="Times New Roman" w:cs="Arial"/>
          <w:color w:val="000000"/>
          <w:lang w:eastAsia="cs-CZ"/>
        </w:rPr>
      </w:pPr>
      <w:r w:rsidRPr="00766466">
        <w:rPr>
          <w:rFonts w:eastAsia="Times New Roman" w:cs="Arial"/>
          <w:noProof/>
          <w:lang w:eastAsia="cs-CZ"/>
        </w:rPr>
        <w:t xml:space="preserve">Nedílnou součástí této smlouvy </w:t>
      </w:r>
      <w:r w:rsidR="00D751A6" w:rsidRPr="00766466">
        <w:rPr>
          <w:rFonts w:eastAsia="Times New Roman" w:cs="Arial"/>
          <w:noProof/>
          <w:lang w:eastAsia="cs-CZ"/>
        </w:rPr>
        <w:t>je je</w:t>
      </w:r>
      <w:r w:rsidR="00BB076C">
        <w:rPr>
          <w:rFonts w:eastAsia="Times New Roman" w:cs="Arial"/>
          <w:noProof/>
          <w:lang w:eastAsia="cs-CZ"/>
        </w:rPr>
        <w:t>sou tyto přílohy:</w:t>
      </w:r>
    </w:p>
    <w:p w14:paraId="5A52434E" w14:textId="42E1778D" w:rsidR="00D02DB5" w:rsidRDefault="001E5ED0"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jc w:val="both"/>
        <w:rPr>
          <w:rFonts w:eastAsia="Times New Roman" w:cs="Arial"/>
          <w:noProof/>
          <w:lang w:eastAsia="cs-CZ"/>
        </w:rPr>
      </w:pPr>
      <w:r w:rsidRPr="00766466">
        <w:rPr>
          <w:rFonts w:eastAsia="Times New Roman" w:cs="Arial"/>
          <w:noProof/>
          <w:lang w:eastAsia="cs-CZ"/>
        </w:rPr>
        <w:t xml:space="preserve">Příloha A – </w:t>
      </w:r>
      <w:r w:rsidR="00C55EAB" w:rsidRPr="00766466">
        <w:rPr>
          <w:rFonts w:eastAsia="Times New Roman" w:cs="Arial"/>
          <w:noProof/>
          <w:lang w:eastAsia="cs-CZ"/>
        </w:rPr>
        <w:t>t</w:t>
      </w:r>
      <w:r w:rsidRPr="00766466">
        <w:rPr>
          <w:rFonts w:eastAsia="Times New Roman" w:cs="Arial"/>
          <w:noProof/>
          <w:lang w:eastAsia="cs-CZ"/>
        </w:rPr>
        <w:t>echnická specifikace</w:t>
      </w:r>
      <w:r w:rsidR="00BB076C">
        <w:rPr>
          <w:rFonts w:eastAsia="Times New Roman" w:cs="Arial"/>
          <w:noProof/>
          <w:lang w:eastAsia="cs-CZ"/>
        </w:rPr>
        <w:t>,</w:t>
      </w:r>
    </w:p>
    <w:p w14:paraId="5EB435C3" w14:textId="2551A31B" w:rsid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jc w:val="both"/>
        <w:rPr>
          <w:rFonts w:eastAsia="Times New Roman" w:cs="Arial"/>
          <w:color w:val="000000"/>
          <w:lang w:eastAsia="cs-CZ"/>
        </w:rPr>
      </w:pPr>
      <w:r>
        <w:rPr>
          <w:rFonts w:eastAsia="Times New Roman" w:cs="Arial"/>
          <w:color w:val="000000"/>
          <w:lang w:eastAsia="cs-CZ"/>
        </w:rPr>
        <w:t xml:space="preserve">Příloha B – </w:t>
      </w:r>
      <w:r w:rsidRPr="00BB076C">
        <w:rPr>
          <w:rFonts w:eastAsia="Times New Roman" w:cs="Arial"/>
          <w:color w:val="000000"/>
          <w:lang w:eastAsia="cs-CZ"/>
        </w:rPr>
        <w:t>posouzení bezpečnosti stroj</w:t>
      </w:r>
      <w:r>
        <w:rPr>
          <w:rFonts w:eastAsia="Times New Roman" w:cs="Arial"/>
          <w:color w:val="000000"/>
          <w:lang w:eastAsia="cs-CZ"/>
        </w:rPr>
        <w:t>ů skládající se z těchto částí:</w:t>
      </w:r>
    </w:p>
    <w:p w14:paraId="37A6471B" w14:textId="6CDE7835"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B1 – </w:t>
      </w:r>
      <w:r w:rsidRPr="00BB076C">
        <w:rPr>
          <w:rFonts w:eastAsia="Times New Roman" w:cs="Arial"/>
          <w:color w:val="000000"/>
          <w:lang w:eastAsia="cs-CZ"/>
        </w:rPr>
        <w:t>Posouzení bezpečnosti stroje W1+W2</w:t>
      </w:r>
    </w:p>
    <w:p w14:paraId="0102A497" w14:textId="5F073398"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B2 – </w:t>
      </w:r>
      <w:r w:rsidRPr="00BB076C">
        <w:rPr>
          <w:rFonts w:eastAsia="Times New Roman" w:cs="Arial"/>
          <w:color w:val="000000"/>
          <w:lang w:eastAsia="cs-CZ"/>
        </w:rPr>
        <w:t>Posouzení bezpečnosti stroje W3</w:t>
      </w:r>
    </w:p>
    <w:p w14:paraId="5D70D6CC" w14:textId="3FFD2207"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B3 – </w:t>
      </w:r>
      <w:r w:rsidRPr="00BB076C">
        <w:rPr>
          <w:rFonts w:eastAsia="Times New Roman" w:cs="Arial"/>
          <w:color w:val="000000"/>
          <w:lang w:eastAsia="cs-CZ"/>
        </w:rPr>
        <w:t>Posouzení bezpečnosti stroje W4</w:t>
      </w:r>
    </w:p>
    <w:p w14:paraId="4CED34D0" w14:textId="7E733245"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B4 – </w:t>
      </w:r>
      <w:r w:rsidRPr="00BB076C">
        <w:rPr>
          <w:rFonts w:eastAsia="Times New Roman" w:cs="Arial"/>
          <w:color w:val="000000"/>
          <w:lang w:eastAsia="cs-CZ"/>
        </w:rPr>
        <w:t>Posouzení bezpečnosti stroje W5</w:t>
      </w:r>
    </w:p>
    <w:p w14:paraId="430FF9A9" w14:textId="092624DB"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B5 – </w:t>
      </w:r>
      <w:r w:rsidRPr="00BB076C">
        <w:rPr>
          <w:rFonts w:eastAsia="Times New Roman" w:cs="Arial"/>
          <w:color w:val="000000"/>
          <w:lang w:eastAsia="cs-CZ"/>
        </w:rPr>
        <w:t>Posouzení bezpečnosti stroje W6</w:t>
      </w:r>
    </w:p>
    <w:p w14:paraId="56E9AA06" w14:textId="6F93E32C"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B6 – </w:t>
      </w:r>
      <w:r w:rsidRPr="00BB076C">
        <w:rPr>
          <w:rFonts w:eastAsia="Times New Roman" w:cs="Arial"/>
          <w:color w:val="000000"/>
          <w:lang w:eastAsia="cs-CZ"/>
        </w:rPr>
        <w:t>Posouzení bezpečnosti stroje W8</w:t>
      </w:r>
    </w:p>
    <w:p w14:paraId="5D2C9C04" w14:textId="7E966BB4" w:rsidR="00BB076C" w:rsidRP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B7 – </w:t>
      </w:r>
      <w:r w:rsidRPr="00BB076C">
        <w:rPr>
          <w:rFonts w:eastAsia="Times New Roman" w:cs="Arial"/>
          <w:color w:val="000000"/>
          <w:lang w:eastAsia="cs-CZ"/>
        </w:rPr>
        <w:t>Posouzení bezpečnosti stroje W9</w:t>
      </w:r>
    </w:p>
    <w:p w14:paraId="6FA3ABB8" w14:textId="19454615" w:rsidR="00BB076C" w:rsidRDefault="00BB076C"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200"/>
        <w:jc w:val="both"/>
        <w:rPr>
          <w:rFonts w:eastAsia="Times New Roman" w:cs="Arial"/>
          <w:color w:val="000000"/>
          <w:lang w:eastAsia="cs-CZ"/>
        </w:rPr>
      </w:pPr>
      <w:r>
        <w:rPr>
          <w:rFonts w:eastAsia="Times New Roman" w:cs="Arial"/>
          <w:color w:val="000000"/>
          <w:lang w:eastAsia="cs-CZ"/>
        </w:rPr>
        <w:t xml:space="preserve">Příloha B8 – </w:t>
      </w:r>
      <w:r w:rsidRPr="00BB076C">
        <w:rPr>
          <w:rFonts w:eastAsia="Times New Roman" w:cs="Arial"/>
          <w:color w:val="000000"/>
          <w:lang w:eastAsia="cs-CZ"/>
        </w:rPr>
        <w:t>Posouzení bezpečnosti stroje W10</w:t>
      </w:r>
    </w:p>
    <w:p w14:paraId="5C8720C8" w14:textId="3B334126" w:rsidR="00BB076C" w:rsidRDefault="00F23CB1" w:rsidP="00BB076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jc w:val="both"/>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bookmarkStart w:id="3" w:name="_GoBack"/>
      <w:bookmarkEnd w:id="3"/>
      <w:r w:rsidR="00BB076C">
        <w:rPr>
          <w:rFonts w:eastAsia="Times New Roman" w:cs="Arial"/>
          <w:color w:val="000000"/>
          <w:lang w:eastAsia="cs-CZ"/>
        </w:rPr>
        <w:t>Příloha C – soupis bezpečnostních komponentů</w:t>
      </w:r>
    </w:p>
    <w:p w14:paraId="562225B5" w14:textId="77777777" w:rsidR="00766466" w:rsidRPr="00766466" w:rsidRDefault="00766466" w:rsidP="00766466">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DA4E4E9" w:rsidR="001E5ED0"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23D8FDC4" w14:textId="5DE566D1" w:rsidR="00D376CA" w:rsidRPr="002F1FE4" w:rsidRDefault="0076646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r w:rsidRPr="002F1FE4">
        <w:rPr>
          <w:rFonts w:eastAsia="Times New Roman" w:cs="Arial"/>
          <w:color w:val="000000"/>
          <w:lang w:eastAsia="cs-CZ"/>
        </w:rPr>
        <w:tab/>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7B0DD1B4" w14:textId="2AA06AF6" w:rsidR="002F1FE4" w:rsidRPr="00D143E0" w:rsidRDefault="002F1FE4" w:rsidP="002F1FE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rPr>
          <w:rFonts w:cstheme="minorHAnsi"/>
          <w:sz w:val="16"/>
          <w:szCs w:val="18"/>
        </w:rPr>
      </w:pPr>
      <w:r>
        <w:rPr>
          <w:rFonts w:eastAsia="Times New Roman" w:cs="Arial"/>
          <w:color w:val="000000"/>
          <w:lang w:eastAsia="cs-CZ"/>
        </w:rPr>
        <w:br w:type="column"/>
      </w:r>
      <w:r w:rsidRPr="000B2627">
        <w:rPr>
          <w:rFonts w:cstheme="minorHAnsi"/>
          <w:b/>
          <w:sz w:val="28"/>
          <w:szCs w:val="32"/>
        </w:rPr>
        <w:lastRenderedPageBreak/>
        <w:t xml:space="preserve">Příloha č. </w:t>
      </w:r>
      <w:r>
        <w:rPr>
          <w:rFonts w:cstheme="minorHAnsi"/>
          <w:b/>
          <w:sz w:val="28"/>
          <w:szCs w:val="32"/>
        </w:rPr>
        <w:t xml:space="preserve">A – </w:t>
      </w:r>
      <w:r w:rsidRPr="000B2627">
        <w:rPr>
          <w:rFonts w:cstheme="minorHAnsi"/>
          <w:b/>
          <w:sz w:val="28"/>
          <w:szCs w:val="32"/>
        </w:rPr>
        <w:t>Technická specifikace</w:t>
      </w:r>
    </w:p>
    <w:tbl>
      <w:tblPr>
        <w:tblStyle w:val="Mkatabulky"/>
        <w:tblW w:w="9613" w:type="dxa"/>
        <w:jc w:val="center"/>
        <w:tblCellMar>
          <w:bottom w:w="57" w:type="dxa"/>
        </w:tblCellMar>
        <w:tblLook w:val="04A0" w:firstRow="1" w:lastRow="0" w:firstColumn="1" w:lastColumn="0" w:noHBand="0" w:noVBand="1"/>
      </w:tblPr>
      <w:tblGrid>
        <w:gridCol w:w="3877"/>
        <w:gridCol w:w="5736"/>
      </w:tblGrid>
      <w:tr w:rsidR="002F1FE4" w:rsidRPr="00CC61B7" w14:paraId="499AE79E" w14:textId="77777777" w:rsidTr="00B35618">
        <w:trPr>
          <w:trHeight w:val="509"/>
          <w:jc w:val="center"/>
        </w:trPr>
        <w:tc>
          <w:tcPr>
            <w:tcW w:w="3877" w:type="dxa"/>
            <w:shd w:val="clear" w:color="auto" w:fill="E7E6E6" w:themeFill="background2"/>
            <w:vAlign w:val="center"/>
          </w:tcPr>
          <w:p w14:paraId="5C32E58B" w14:textId="77777777" w:rsidR="002F1FE4" w:rsidRPr="002F1FE4" w:rsidRDefault="002F1FE4" w:rsidP="00B35618">
            <w:pPr>
              <w:pStyle w:val="Standard"/>
              <w:spacing w:after="120"/>
              <w:rPr>
                <w:rFonts w:asciiTheme="majorHAnsi" w:hAnsiTheme="majorHAnsi" w:cstheme="majorHAnsi"/>
                <w:b/>
                <w:sz w:val="20"/>
                <w:szCs w:val="20"/>
              </w:rPr>
            </w:pPr>
            <w:r w:rsidRPr="002F1FE4">
              <w:rPr>
                <w:rFonts w:asciiTheme="majorHAnsi" w:hAnsiTheme="majorHAnsi" w:cstheme="majorHAnsi"/>
                <w:b/>
                <w:sz w:val="20"/>
                <w:szCs w:val="20"/>
              </w:rPr>
              <w:t>Název veřejné zakázky</w:t>
            </w:r>
          </w:p>
        </w:tc>
        <w:tc>
          <w:tcPr>
            <w:tcW w:w="5736" w:type="dxa"/>
            <w:vAlign w:val="center"/>
          </w:tcPr>
          <w:p w14:paraId="279CE8C7" w14:textId="77777777" w:rsidR="002F1FE4" w:rsidRPr="002F1FE4" w:rsidRDefault="002F1FE4" w:rsidP="00B35618">
            <w:pPr>
              <w:pStyle w:val="Standard"/>
              <w:spacing w:after="120"/>
              <w:rPr>
                <w:rFonts w:asciiTheme="majorHAnsi" w:hAnsiTheme="majorHAnsi" w:cstheme="majorHAnsi"/>
                <w:b/>
                <w:sz w:val="20"/>
                <w:szCs w:val="20"/>
              </w:rPr>
            </w:pPr>
            <w:r w:rsidRPr="002F1FE4">
              <w:rPr>
                <w:rFonts w:asciiTheme="majorHAnsi" w:hAnsiTheme="majorHAnsi" w:cstheme="majorHAnsi"/>
                <w:b/>
                <w:sz w:val="20"/>
                <w:szCs w:val="20"/>
              </w:rPr>
              <w:t>ČVUT-CIIRC: Bezpečnostní komponenty</w:t>
            </w:r>
          </w:p>
        </w:tc>
      </w:tr>
      <w:tr w:rsidR="002F1FE4" w:rsidRPr="00CC61B7" w14:paraId="0262CDD6" w14:textId="77777777" w:rsidTr="00B35618">
        <w:trPr>
          <w:trHeight w:val="831"/>
          <w:jc w:val="center"/>
        </w:trPr>
        <w:tc>
          <w:tcPr>
            <w:tcW w:w="3877" w:type="dxa"/>
            <w:tcBorders>
              <w:bottom w:val="single" w:sz="4" w:space="0" w:color="auto"/>
            </w:tcBorders>
            <w:shd w:val="clear" w:color="auto" w:fill="E7E6E6" w:themeFill="background2"/>
            <w:vAlign w:val="center"/>
          </w:tcPr>
          <w:p w14:paraId="56B4839F" w14:textId="77777777" w:rsidR="002F1FE4" w:rsidRPr="002F1FE4" w:rsidRDefault="002F1FE4" w:rsidP="00B35618">
            <w:pPr>
              <w:pStyle w:val="Standard"/>
              <w:spacing w:after="120"/>
              <w:contextualSpacing/>
              <w:rPr>
                <w:rFonts w:asciiTheme="majorHAnsi" w:hAnsiTheme="majorHAnsi" w:cstheme="majorHAnsi"/>
                <w:b/>
                <w:sz w:val="20"/>
                <w:szCs w:val="20"/>
              </w:rPr>
            </w:pPr>
            <w:r w:rsidRPr="002F1FE4">
              <w:rPr>
                <w:rFonts w:asciiTheme="majorHAnsi" w:hAnsiTheme="majorHAnsi" w:cstheme="majorHAnsi"/>
                <w:b/>
                <w:sz w:val="20"/>
                <w:szCs w:val="20"/>
              </w:rPr>
              <w:t>Stručný popis předmětu veřejné zakázky (dále jako „vybavení“ nebo „zařízení“)</w:t>
            </w:r>
          </w:p>
          <w:p w14:paraId="662A41D4" w14:textId="77777777" w:rsidR="002F1FE4" w:rsidRPr="002F1FE4" w:rsidRDefault="002F1FE4" w:rsidP="00B35618">
            <w:pPr>
              <w:pStyle w:val="Standard"/>
              <w:spacing w:after="120"/>
              <w:contextualSpacing/>
              <w:rPr>
                <w:rFonts w:asciiTheme="majorHAnsi" w:hAnsiTheme="majorHAnsi" w:cstheme="majorHAnsi"/>
                <w:sz w:val="20"/>
                <w:szCs w:val="20"/>
              </w:rPr>
            </w:pPr>
          </w:p>
        </w:tc>
        <w:tc>
          <w:tcPr>
            <w:tcW w:w="5736" w:type="dxa"/>
            <w:tcBorders>
              <w:bottom w:val="single" w:sz="4" w:space="0" w:color="auto"/>
            </w:tcBorders>
            <w:vAlign w:val="center"/>
          </w:tcPr>
          <w:p w14:paraId="7E2C3E66" w14:textId="77777777" w:rsidR="002F1FE4" w:rsidRPr="002F1FE4" w:rsidRDefault="002F1FE4" w:rsidP="00B35618">
            <w:pPr>
              <w:autoSpaceDE w:val="0"/>
              <w:autoSpaceDN w:val="0"/>
              <w:adjustRightInd w:val="0"/>
              <w:jc w:val="both"/>
              <w:rPr>
                <w:rFonts w:asciiTheme="majorHAnsi" w:eastAsiaTheme="minorHAnsi" w:hAnsiTheme="majorHAnsi" w:cstheme="majorHAnsi"/>
                <w:bCs/>
                <w:lang w:eastAsia="en-US"/>
              </w:rPr>
            </w:pPr>
            <w:r w:rsidRPr="002F1FE4">
              <w:rPr>
                <w:rFonts w:asciiTheme="majorHAnsi" w:hAnsiTheme="majorHAnsi" w:cstheme="majorHAnsi"/>
                <w:kern w:val="3"/>
              </w:rPr>
              <w:t xml:space="preserve">Předmětem veřejné zakázky je sada komponent pro zajištění bezpečnosti robotických pracovišť v </w:t>
            </w:r>
            <w:proofErr w:type="spellStart"/>
            <w:r w:rsidRPr="002F1FE4">
              <w:rPr>
                <w:rFonts w:asciiTheme="majorHAnsi" w:hAnsiTheme="majorHAnsi" w:cstheme="majorHAnsi"/>
                <w:kern w:val="3"/>
              </w:rPr>
              <w:t>Testbedu</w:t>
            </w:r>
            <w:proofErr w:type="spellEnd"/>
            <w:r w:rsidRPr="002F1FE4">
              <w:rPr>
                <w:rFonts w:asciiTheme="majorHAnsi" w:hAnsiTheme="majorHAnsi" w:cstheme="majorHAnsi"/>
                <w:kern w:val="3"/>
              </w:rPr>
              <w:t xml:space="preserve">. Přesná specifikace komponent vychází z posouzení rizik a návrhu bezpečnostních opatření (bezpečnostní studie). Roboti jsou chápáni jako součást rozsáhlejších systémů (např. propojení s dopravníkem). Nejde tedy jenom o samotné bezpečnostní skenery, ale také o další komponenty jako bezpečnostní optické závory, blokovací zámky, potvrzovací tlačítka atd. Samostatnou částí je zajištění bezpečnostní komunikace autonomních vozítek (robotů) při příjezdu k lince nebo k robotu, se kterým si mají vyměňovat materiál. Tato oblast zatím není v průmyslu ani v bezpečnostní normách komplexně a jednoznačně řešena. Pro </w:t>
            </w:r>
            <w:proofErr w:type="spellStart"/>
            <w:r w:rsidRPr="002F1FE4">
              <w:rPr>
                <w:rFonts w:asciiTheme="majorHAnsi" w:hAnsiTheme="majorHAnsi" w:cstheme="majorHAnsi"/>
                <w:kern w:val="3"/>
              </w:rPr>
              <w:t>Testbed</w:t>
            </w:r>
            <w:proofErr w:type="spellEnd"/>
            <w:r w:rsidRPr="002F1FE4">
              <w:rPr>
                <w:rFonts w:asciiTheme="majorHAnsi" w:hAnsiTheme="majorHAnsi" w:cstheme="majorHAnsi"/>
                <w:kern w:val="3"/>
              </w:rPr>
              <w:t xml:space="preserve"> navrhujeme řešení, které je jedinečné a které umožňuje zkoumat různé scénáře a situace, ke kterým může při interakci autonomních vozidel s tradičními výrobními prostředky, a navíc ještě za přítomnosti osob docházet.</w:t>
            </w:r>
          </w:p>
        </w:tc>
      </w:tr>
      <w:tr w:rsidR="002F1FE4" w:rsidRPr="00CC61B7" w14:paraId="22C05252" w14:textId="77777777" w:rsidTr="00B35618">
        <w:trPr>
          <w:trHeight w:val="1580"/>
          <w:jc w:val="center"/>
        </w:trPr>
        <w:tc>
          <w:tcPr>
            <w:tcW w:w="3877" w:type="dxa"/>
            <w:shd w:val="clear" w:color="auto" w:fill="E7E6E6" w:themeFill="background2"/>
            <w:vAlign w:val="center"/>
          </w:tcPr>
          <w:p w14:paraId="237F4B1C" w14:textId="77777777" w:rsidR="002F1FE4" w:rsidRPr="002F1FE4" w:rsidRDefault="002F1FE4" w:rsidP="00B35618">
            <w:pPr>
              <w:pStyle w:val="Standard"/>
              <w:spacing w:after="120"/>
              <w:contextualSpacing/>
              <w:rPr>
                <w:rFonts w:asciiTheme="majorHAnsi" w:hAnsiTheme="majorHAnsi" w:cstheme="majorHAnsi"/>
                <w:b/>
                <w:sz w:val="20"/>
                <w:szCs w:val="20"/>
              </w:rPr>
            </w:pPr>
            <w:r w:rsidRPr="002F1FE4">
              <w:rPr>
                <w:rFonts w:asciiTheme="majorHAnsi" w:hAnsiTheme="majorHAnsi" w:cstheme="majorHAnsi"/>
                <w:b/>
                <w:sz w:val="20"/>
                <w:szCs w:val="20"/>
              </w:rPr>
              <w:t>Účel požadovaného vybavení (zařízení)</w:t>
            </w:r>
          </w:p>
          <w:p w14:paraId="657125C6" w14:textId="77777777" w:rsidR="002F1FE4" w:rsidRPr="002F1FE4" w:rsidRDefault="002F1FE4" w:rsidP="00B35618">
            <w:pPr>
              <w:pStyle w:val="Standard"/>
              <w:spacing w:after="120"/>
              <w:contextualSpacing/>
              <w:rPr>
                <w:rFonts w:asciiTheme="majorHAnsi" w:hAnsiTheme="majorHAnsi" w:cstheme="majorHAnsi"/>
                <w:sz w:val="20"/>
                <w:szCs w:val="20"/>
              </w:rPr>
            </w:pPr>
          </w:p>
        </w:tc>
        <w:tc>
          <w:tcPr>
            <w:tcW w:w="5736" w:type="dxa"/>
            <w:vAlign w:val="center"/>
          </w:tcPr>
          <w:p w14:paraId="40C2FB0A" w14:textId="77777777" w:rsidR="002F1FE4" w:rsidRPr="002F1FE4" w:rsidRDefault="002F1FE4" w:rsidP="00B35618">
            <w:pPr>
              <w:spacing w:after="120"/>
              <w:jc w:val="both"/>
              <w:rPr>
                <w:rFonts w:asciiTheme="majorHAnsi" w:hAnsiTheme="majorHAnsi" w:cstheme="majorHAnsi"/>
                <w:kern w:val="3"/>
              </w:rPr>
            </w:pPr>
            <w:r w:rsidRPr="002F1FE4">
              <w:rPr>
                <w:rFonts w:asciiTheme="majorHAnsi" w:hAnsiTheme="majorHAnsi" w:cstheme="majorHAnsi"/>
                <w:kern w:val="3"/>
              </w:rPr>
              <w:t xml:space="preserve">Pořizované vybavení slouží k zajištění funkční bezpečnosti strojů v </w:t>
            </w:r>
            <w:proofErr w:type="spellStart"/>
            <w:r w:rsidRPr="002F1FE4">
              <w:rPr>
                <w:rFonts w:asciiTheme="majorHAnsi" w:hAnsiTheme="majorHAnsi" w:cstheme="majorHAnsi"/>
                <w:kern w:val="3"/>
              </w:rPr>
              <w:t>Testbedu</w:t>
            </w:r>
            <w:proofErr w:type="spellEnd"/>
            <w:r w:rsidRPr="002F1FE4">
              <w:rPr>
                <w:rFonts w:asciiTheme="majorHAnsi" w:hAnsiTheme="majorHAnsi" w:cstheme="majorHAnsi"/>
                <w:kern w:val="3"/>
              </w:rPr>
              <w:t xml:space="preserve"> za různých okolností, které zde mohou nastat. Správné zpracování bezpečnosti robotických a dalších strojních pracovišť je nutné s ohledem na bezpečnost a ochranu zdraví při práci. Navíc s ohledem na pořádání akcí pro veřejnost, které v </w:t>
            </w:r>
            <w:proofErr w:type="spellStart"/>
            <w:r w:rsidRPr="002F1FE4">
              <w:rPr>
                <w:rFonts w:asciiTheme="majorHAnsi" w:hAnsiTheme="majorHAnsi" w:cstheme="majorHAnsi"/>
                <w:kern w:val="3"/>
              </w:rPr>
              <w:t>Testbedu</w:t>
            </w:r>
            <w:proofErr w:type="spellEnd"/>
            <w:r w:rsidRPr="002F1FE4">
              <w:rPr>
                <w:rFonts w:asciiTheme="majorHAnsi" w:hAnsiTheme="majorHAnsi" w:cstheme="majorHAnsi"/>
                <w:kern w:val="3"/>
              </w:rPr>
              <w:t xml:space="preserve"> probíhají, je dobře řešený systém bezpečnosti ještě důležitější. Kromě tradiční bezpečnosti je samostatným tématem bezpečnost autonomních vozítek a obzvláště jejich napojení na stacionární robotické linky. V těchto případech je nutné speciálně se zabývat možností současného pohybu osob a autonomních vozítek v pracovním prostoru </w:t>
            </w:r>
          </w:p>
          <w:p w14:paraId="13258DDF" w14:textId="77777777" w:rsidR="002F1FE4" w:rsidRPr="002F1FE4" w:rsidRDefault="002F1FE4" w:rsidP="00B35618">
            <w:pPr>
              <w:spacing w:after="120"/>
              <w:jc w:val="both"/>
              <w:rPr>
                <w:rFonts w:asciiTheme="majorHAnsi" w:hAnsiTheme="majorHAnsi" w:cstheme="majorHAnsi"/>
              </w:rPr>
            </w:pPr>
            <w:r w:rsidRPr="002F1FE4">
              <w:rPr>
                <w:rFonts w:asciiTheme="majorHAnsi" w:hAnsiTheme="majorHAnsi" w:cstheme="majorHAnsi"/>
                <w:kern w:val="3"/>
              </w:rPr>
              <w:t xml:space="preserve">Přesný soupis komponent bude nabídnut vybraným dodavatelem na základě detailně zpracované bezpečnostní studie. Pořizované vybavení je nutné, aby bylo možné provozovat stroje v </w:t>
            </w:r>
            <w:proofErr w:type="spellStart"/>
            <w:r w:rsidRPr="002F1FE4">
              <w:rPr>
                <w:rFonts w:asciiTheme="majorHAnsi" w:hAnsiTheme="majorHAnsi" w:cstheme="majorHAnsi"/>
                <w:kern w:val="3"/>
              </w:rPr>
              <w:t>Testbedu</w:t>
            </w:r>
            <w:proofErr w:type="spellEnd"/>
            <w:r w:rsidRPr="002F1FE4">
              <w:rPr>
                <w:rFonts w:asciiTheme="majorHAnsi" w:hAnsiTheme="majorHAnsi" w:cstheme="majorHAnsi"/>
                <w:kern w:val="3"/>
              </w:rPr>
              <w:t xml:space="preserve"> v souladu s předpisy pro bezpečnost práce.</w:t>
            </w:r>
          </w:p>
        </w:tc>
      </w:tr>
    </w:tbl>
    <w:p w14:paraId="4722D101" w14:textId="77777777" w:rsidR="002F1FE4" w:rsidRDefault="002F1FE4" w:rsidP="002F1FE4">
      <w:pPr>
        <w:pStyle w:val="Standard"/>
        <w:rPr>
          <w:rFonts w:asciiTheme="minorHAnsi" w:hAnsiTheme="minorHAnsi" w:cstheme="minorHAnsi"/>
          <w:b/>
          <w:sz w:val="20"/>
          <w:szCs w:val="20"/>
        </w:rPr>
      </w:pPr>
    </w:p>
    <w:p w14:paraId="1DB8FC91" w14:textId="77777777" w:rsidR="002F1FE4" w:rsidRDefault="002F1FE4" w:rsidP="002F1FE4">
      <w:pPr>
        <w:rPr>
          <w:rFonts w:cstheme="minorHAnsi"/>
          <w:b/>
          <w:color w:val="00000A"/>
          <w:kern w:val="3"/>
        </w:rPr>
      </w:pPr>
      <w:r>
        <w:rPr>
          <w:rFonts w:cstheme="minorHAnsi"/>
          <w:b/>
        </w:rPr>
        <w:br w:type="page"/>
      </w:r>
    </w:p>
    <w:p w14:paraId="5CBDFB0D" w14:textId="77777777" w:rsidR="002F1FE4" w:rsidRPr="00CC61B7" w:rsidRDefault="002F1FE4" w:rsidP="002F1FE4">
      <w:pPr>
        <w:pStyle w:val="Standard"/>
        <w:spacing w:after="120"/>
        <w:jc w:val="center"/>
        <w:rPr>
          <w:rFonts w:asciiTheme="minorHAnsi" w:hAnsiTheme="minorHAnsi" w:cstheme="minorHAnsi"/>
          <w:b/>
          <w:sz w:val="20"/>
          <w:szCs w:val="20"/>
        </w:rPr>
      </w:pPr>
      <w:r w:rsidRPr="00CC61B7">
        <w:rPr>
          <w:rFonts w:asciiTheme="minorHAnsi" w:hAnsiTheme="minorHAnsi" w:cstheme="minorHAnsi"/>
          <w:b/>
          <w:sz w:val="22"/>
          <w:szCs w:val="22"/>
        </w:rPr>
        <w:lastRenderedPageBreak/>
        <w:t>Technické parametry vybavení</w:t>
      </w:r>
    </w:p>
    <w:tbl>
      <w:tblPr>
        <w:tblStyle w:val="Mkatabulky"/>
        <w:tblW w:w="9463" w:type="dxa"/>
        <w:tblCellMar>
          <w:bottom w:w="57" w:type="dxa"/>
        </w:tblCellMar>
        <w:tblLook w:val="04A0" w:firstRow="1" w:lastRow="0" w:firstColumn="1" w:lastColumn="0" w:noHBand="0" w:noVBand="1"/>
      </w:tblPr>
      <w:tblGrid>
        <w:gridCol w:w="4977"/>
        <w:gridCol w:w="1821"/>
        <w:gridCol w:w="2665"/>
      </w:tblGrid>
      <w:tr w:rsidR="002F1FE4" w:rsidRPr="002F1FE4" w14:paraId="170031EA" w14:textId="77777777" w:rsidTr="00B35618">
        <w:tc>
          <w:tcPr>
            <w:tcW w:w="4977" w:type="dxa"/>
            <w:shd w:val="clear" w:color="auto" w:fill="E7E6E6" w:themeFill="background2"/>
          </w:tcPr>
          <w:p w14:paraId="7F54FA49" w14:textId="77777777" w:rsidR="002F1FE4" w:rsidRPr="002F1FE4" w:rsidRDefault="002F1FE4" w:rsidP="00B35618">
            <w:pPr>
              <w:pStyle w:val="Standard"/>
              <w:contextualSpacing/>
              <w:jc w:val="center"/>
              <w:rPr>
                <w:rFonts w:asciiTheme="minorHAnsi" w:hAnsiTheme="minorHAnsi" w:cstheme="minorHAnsi"/>
                <w:b/>
                <w:sz w:val="20"/>
                <w:szCs w:val="20"/>
              </w:rPr>
            </w:pPr>
            <w:r w:rsidRPr="002F1FE4">
              <w:rPr>
                <w:rFonts w:asciiTheme="minorHAnsi" w:hAnsiTheme="minorHAnsi" w:cstheme="minorHAnsi"/>
                <w:b/>
                <w:sz w:val="20"/>
                <w:szCs w:val="20"/>
              </w:rPr>
              <w:t>Popis parametru:</w:t>
            </w:r>
          </w:p>
        </w:tc>
        <w:tc>
          <w:tcPr>
            <w:tcW w:w="1821" w:type="dxa"/>
            <w:shd w:val="clear" w:color="auto" w:fill="E7E6E6" w:themeFill="background2"/>
          </w:tcPr>
          <w:p w14:paraId="7A12B72E" w14:textId="77777777" w:rsidR="002F1FE4" w:rsidRPr="002F1FE4" w:rsidRDefault="002F1FE4" w:rsidP="00B35618">
            <w:pPr>
              <w:pStyle w:val="Standard"/>
              <w:contextualSpacing/>
              <w:jc w:val="center"/>
              <w:rPr>
                <w:rFonts w:asciiTheme="minorHAnsi" w:hAnsiTheme="minorHAnsi" w:cstheme="minorHAnsi"/>
                <w:b/>
                <w:sz w:val="20"/>
                <w:szCs w:val="20"/>
              </w:rPr>
            </w:pPr>
            <w:r w:rsidRPr="002F1FE4">
              <w:rPr>
                <w:rFonts w:asciiTheme="minorHAnsi" w:hAnsiTheme="minorHAnsi" w:cstheme="minorHAnsi"/>
                <w:b/>
                <w:sz w:val="20"/>
                <w:szCs w:val="20"/>
              </w:rPr>
              <w:t>Požadovaná hodnota:</w:t>
            </w:r>
          </w:p>
        </w:tc>
        <w:tc>
          <w:tcPr>
            <w:tcW w:w="2665" w:type="dxa"/>
            <w:shd w:val="clear" w:color="auto" w:fill="E7E6E6" w:themeFill="background2"/>
          </w:tcPr>
          <w:p w14:paraId="3B0A58DF" w14:textId="77777777" w:rsidR="002F1FE4" w:rsidRPr="002F1FE4" w:rsidRDefault="002F1FE4" w:rsidP="00B35618">
            <w:pPr>
              <w:pStyle w:val="Standard"/>
              <w:contextualSpacing/>
              <w:jc w:val="center"/>
              <w:rPr>
                <w:rFonts w:asciiTheme="minorHAnsi" w:hAnsiTheme="minorHAnsi" w:cstheme="minorHAnsi"/>
                <w:b/>
                <w:sz w:val="20"/>
                <w:szCs w:val="20"/>
              </w:rPr>
            </w:pPr>
            <w:r w:rsidRPr="002F1FE4">
              <w:rPr>
                <w:rFonts w:asciiTheme="minorHAnsi" w:hAnsiTheme="minorHAnsi" w:cstheme="minorHAnsi"/>
                <w:b/>
                <w:sz w:val="20"/>
                <w:szCs w:val="20"/>
              </w:rPr>
              <w:t>Účastníkem nabízená hodnota</w:t>
            </w:r>
          </w:p>
        </w:tc>
      </w:tr>
      <w:tr w:rsidR="002F1FE4" w:rsidRPr="002F1FE4" w14:paraId="3089BEAC" w14:textId="77777777" w:rsidTr="002F1FE4">
        <w:tc>
          <w:tcPr>
            <w:tcW w:w="4977" w:type="dxa"/>
          </w:tcPr>
          <w:p w14:paraId="7D879BBF"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Robustnost a odolnost optických bezpečnostní senzorů vůči okolním vlivům</w:t>
            </w:r>
          </w:p>
        </w:tc>
        <w:tc>
          <w:tcPr>
            <w:tcW w:w="1821" w:type="dxa"/>
          </w:tcPr>
          <w:p w14:paraId="566EE200"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eop"/>
                <w:rFonts w:asciiTheme="minorHAnsi" w:hAnsiTheme="minorHAnsi" w:cstheme="minorHAnsi"/>
                <w:sz w:val="20"/>
                <w:szCs w:val="20"/>
              </w:rPr>
              <w:t>ANO </w:t>
            </w:r>
          </w:p>
        </w:tc>
        <w:tc>
          <w:tcPr>
            <w:tcW w:w="2665" w:type="dxa"/>
            <w:shd w:val="clear" w:color="auto" w:fill="auto"/>
          </w:tcPr>
          <w:p w14:paraId="76E0FE53"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r w:rsidR="002F1FE4" w:rsidRPr="002F1FE4" w14:paraId="1056CE5C" w14:textId="77777777" w:rsidTr="002F1FE4">
        <w:tc>
          <w:tcPr>
            <w:tcW w:w="4977" w:type="dxa"/>
          </w:tcPr>
          <w:p w14:paraId="2F64A487"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Možnost přenosu bezpečnostních (</w:t>
            </w:r>
            <w:proofErr w:type="spellStart"/>
            <w:r w:rsidRPr="002F1FE4">
              <w:rPr>
                <w:rFonts w:asciiTheme="minorHAnsi" w:hAnsiTheme="minorHAnsi" w:cstheme="minorHAnsi"/>
                <w:bCs/>
                <w:sz w:val="20"/>
                <w:szCs w:val="20"/>
              </w:rPr>
              <w:t>safety</w:t>
            </w:r>
            <w:proofErr w:type="spellEnd"/>
            <w:r w:rsidRPr="002F1FE4">
              <w:rPr>
                <w:rFonts w:asciiTheme="minorHAnsi" w:hAnsiTheme="minorHAnsi" w:cstheme="minorHAnsi"/>
                <w:bCs/>
                <w:sz w:val="20"/>
                <w:szCs w:val="20"/>
              </w:rPr>
              <w:t>) dat mezi mobilními roboty a bezpečnostním kontrolérem na statické robotické lince bezdrátovými technologiemi</w:t>
            </w:r>
          </w:p>
        </w:tc>
        <w:tc>
          <w:tcPr>
            <w:tcW w:w="1821" w:type="dxa"/>
          </w:tcPr>
          <w:p w14:paraId="430892EE"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eop"/>
                <w:rFonts w:asciiTheme="minorHAnsi" w:hAnsiTheme="minorHAnsi" w:cstheme="minorHAnsi"/>
                <w:sz w:val="20"/>
                <w:szCs w:val="20"/>
              </w:rPr>
              <w:t>ANO</w:t>
            </w:r>
          </w:p>
        </w:tc>
        <w:tc>
          <w:tcPr>
            <w:tcW w:w="2665" w:type="dxa"/>
            <w:shd w:val="clear" w:color="auto" w:fill="auto"/>
          </w:tcPr>
          <w:p w14:paraId="3AF97DAB"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r w:rsidR="002F1FE4" w:rsidRPr="002F1FE4" w14:paraId="3792F8E1" w14:textId="77777777" w:rsidTr="002F1FE4">
        <w:tc>
          <w:tcPr>
            <w:tcW w:w="4977" w:type="dxa"/>
          </w:tcPr>
          <w:p w14:paraId="6D374C9A"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 xml:space="preserve">Integrace bezpečnostního PLC pro realizaci bezdrátové komunikace a napojení do nadřazeného systému přes </w:t>
            </w:r>
            <w:proofErr w:type="spellStart"/>
            <w:r w:rsidRPr="002F1FE4">
              <w:rPr>
                <w:rFonts w:asciiTheme="minorHAnsi" w:hAnsiTheme="minorHAnsi" w:cstheme="minorHAnsi"/>
                <w:bCs/>
                <w:sz w:val="20"/>
                <w:szCs w:val="20"/>
              </w:rPr>
              <w:t>Profinet</w:t>
            </w:r>
            <w:proofErr w:type="spellEnd"/>
          </w:p>
        </w:tc>
        <w:tc>
          <w:tcPr>
            <w:tcW w:w="1821" w:type="dxa"/>
          </w:tcPr>
          <w:p w14:paraId="7D829E16"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normaltextrun"/>
                <w:rFonts w:ascii="Calibri" w:hAnsi="Calibri" w:cs="Calibri"/>
                <w:sz w:val="20"/>
                <w:szCs w:val="20"/>
              </w:rPr>
              <w:t>ANO</w:t>
            </w:r>
          </w:p>
        </w:tc>
        <w:tc>
          <w:tcPr>
            <w:tcW w:w="2665" w:type="dxa"/>
            <w:shd w:val="clear" w:color="auto" w:fill="auto"/>
          </w:tcPr>
          <w:p w14:paraId="16F7B2CC"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r w:rsidR="002F1FE4" w:rsidRPr="002F1FE4" w14:paraId="215793EB" w14:textId="77777777" w:rsidTr="002F1FE4">
        <w:tc>
          <w:tcPr>
            <w:tcW w:w="4977" w:type="dxa"/>
          </w:tcPr>
          <w:p w14:paraId="1C628F21"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Detekce specifické kontury skenerem v okolním prostředí pro bezpečné přepnutí polí skeneru</w:t>
            </w:r>
          </w:p>
        </w:tc>
        <w:tc>
          <w:tcPr>
            <w:tcW w:w="1821" w:type="dxa"/>
          </w:tcPr>
          <w:p w14:paraId="0C19B218"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normaltextrun"/>
                <w:rFonts w:asciiTheme="minorHAnsi" w:hAnsiTheme="minorHAnsi" w:cstheme="minorHAnsi"/>
                <w:sz w:val="20"/>
                <w:szCs w:val="20"/>
              </w:rPr>
              <w:t>ANO</w:t>
            </w:r>
            <w:r w:rsidRPr="002F1FE4">
              <w:rPr>
                <w:rStyle w:val="eop"/>
                <w:rFonts w:asciiTheme="minorHAnsi" w:hAnsiTheme="minorHAnsi" w:cstheme="minorHAnsi"/>
                <w:sz w:val="20"/>
                <w:szCs w:val="20"/>
              </w:rPr>
              <w:t> </w:t>
            </w:r>
          </w:p>
        </w:tc>
        <w:tc>
          <w:tcPr>
            <w:tcW w:w="2665" w:type="dxa"/>
            <w:shd w:val="clear" w:color="auto" w:fill="auto"/>
          </w:tcPr>
          <w:p w14:paraId="50D1F2AC"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r w:rsidR="002F1FE4" w:rsidRPr="002F1FE4" w14:paraId="1DBF50B2" w14:textId="77777777" w:rsidTr="002F1FE4">
        <w:tc>
          <w:tcPr>
            <w:tcW w:w="4977" w:type="dxa"/>
          </w:tcPr>
          <w:p w14:paraId="37D25345"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Možnost potvrzení opuštění prostoru pomoci RFID technologie</w:t>
            </w:r>
          </w:p>
        </w:tc>
        <w:tc>
          <w:tcPr>
            <w:tcW w:w="1821" w:type="dxa"/>
          </w:tcPr>
          <w:p w14:paraId="1AD1610D"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normaltextrun"/>
                <w:rFonts w:ascii="Calibri" w:hAnsi="Calibri" w:cs="Calibri"/>
                <w:sz w:val="20"/>
                <w:szCs w:val="20"/>
              </w:rPr>
              <w:t>ANO</w:t>
            </w:r>
          </w:p>
        </w:tc>
        <w:tc>
          <w:tcPr>
            <w:tcW w:w="2665" w:type="dxa"/>
            <w:shd w:val="clear" w:color="auto" w:fill="auto"/>
          </w:tcPr>
          <w:p w14:paraId="6D84E12C"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r w:rsidR="002F1FE4" w:rsidRPr="002F1FE4" w14:paraId="186900F3" w14:textId="77777777" w:rsidTr="002F1FE4">
        <w:tc>
          <w:tcPr>
            <w:tcW w:w="4977" w:type="dxa"/>
          </w:tcPr>
          <w:p w14:paraId="4F876BF1" w14:textId="77777777" w:rsidR="002F1FE4" w:rsidRPr="002F1FE4" w:rsidRDefault="002F1FE4" w:rsidP="00B35618">
            <w:pPr>
              <w:pStyle w:val="Standard"/>
              <w:spacing w:before="60" w:after="60"/>
              <w:contextualSpacing/>
              <w:jc w:val="both"/>
              <w:rPr>
                <w:rFonts w:asciiTheme="minorHAnsi" w:hAnsiTheme="minorHAnsi" w:cstheme="minorHAnsi"/>
                <w:bCs/>
                <w:sz w:val="20"/>
                <w:szCs w:val="20"/>
              </w:rPr>
            </w:pPr>
            <w:r w:rsidRPr="002F1FE4">
              <w:rPr>
                <w:rFonts w:asciiTheme="minorHAnsi" w:hAnsiTheme="minorHAnsi" w:cstheme="minorHAnsi"/>
                <w:bCs/>
                <w:sz w:val="20"/>
                <w:szCs w:val="20"/>
              </w:rPr>
              <w:t xml:space="preserve">Připojení bezpečnostních laserových skenerů přes komunikaci </w:t>
            </w:r>
            <w:proofErr w:type="spellStart"/>
            <w:r w:rsidRPr="002F1FE4">
              <w:rPr>
                <w:rFonts w:asciiTheme="minorHAnsi" w:hAnsiTheme="minorHAnsi" w:cstheme="minorHAnsi"/>
                <w:bCs/>
                <w:sz w:val="20"/>
                <w:szCs w:val="20"/>
              </w:rPr>
              <w:t>Profinet</w:t>
            </w:r>
            <w:proofErr w:type="spellEnd"/>
          </w:p>
        </w:tc>
        <w:tc>
          <w:tcPr>
            <w:tcW w:w="1821" w:type="dxa"/>
          </w:tcPr>
          <w:p w14:paraId="1944EDFF"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Style w:val="normaltextrun"/>
                <w:rFonts w:ascii="Calibri" w:hAnsi="Calibri" w:cs="Calibri"/>
                <w:sz w:val="20"/>
                <w:szCs w:val="20"/>
              </w:rPr>
              <w:t>ANO</w:t>
            </w:r>
          </w:p>
        </w:tc>
        <w:tc>
          <w:tcPr>
            <w:tcW w:w="2665" w:type="dxa"/>
            <w:shd w:val="clear" w:color="auto" w:fill="auto"/>
          </w:tcPr>
          <w:p w14:paraId="046B0344" w14:textId="77777777" w:rsidR="002F1FE4" w:rsidRPr="002F1FE4" w:rsidRDefault="002F1FE4" w:rsidP="00B35618">
            <w:pPr>
              <w:pStyle w:val="Standard"/>
              <w:spacing w:before="60" w:after="60"/>
              <w:contextualSpacing/>
              <w:jc w:val="center"/>
              <w:rPr>
                <w:rFonts w:asciiTheme="minorHAnsi" w:hAnsiTheme="minorHAnsi" w:cstheme="minorHAnsi"/>
                <w:sz w:val="20"/>
                <w:szCs w:val="20"/>
              </w:rPr>
            </w:pPr>
            <w:r w:rsidRPr="002F1FE4">
              <w:rPr>
                <w:rFonts w:asciiTheme="minorHAnsi" w:hAnsiTheme="minorHAnsi" w:cstheme="minorHAnsi"/>
                <w:sz w:val="20"/>
                <w:szCs w:val="20"/>
              </w:rPr>
              <w:t>ANO</w:t>
            </w:r>
          </w:p>
        </w:tc>
      </w:tr>
    </w:tbl>
    <w:p w14:paraId="0F563B6E" w14:textId="77777777" w:rsidR="002F1FE4" w:rsidRPr="002F1FE4" w:rsidRDefault="002F1FE4" w:rsidP="002F1FE4"/>
    <w:p w14:paraId="7A329392" w14:textId="77777777" w:rsidR="002F1FE4" w:rsidRPr="00CC61B7" w:rsidRDefault="002F1FE4" w:rsidP="002F1FE4">
      <w:pPr>
        <w:spacing w:before="120" w:after="120"/>
        <w:rPr>
          <w:rFonts w:cstheme="minorHAnsi"/>
          <w:sz w:val="20"/>
          <w:szCs w:val="20"/>
        </w:rPr>
      </w:pPr>
      <w:r w:rsidRPr="002F1FE4">
        <w:rPr>
          <w:rFonts w:cstheme="minorHAnsi"/>
          <w:sz w:val="20"/>
          <w:szCs w:val="20"/>
        </w:rPr>
        <w:t>Dodavatel podáním nabídky prohlašuje, že nabízené plnění má výše uvedené vlastnosti.</w:t>
      </w:r>
    </w:p>
    <w:p w14:paraId="0154331E" w14:textId="77777777" w:rsidR="002F1FE4" w:rsidRPr="000B2627" w:rsidRDefault="002F1FE4" w:rsidP="002F1FE4">
      <w:pPr>
        <w:pStyle w:val="Standard"/>
        <w:rPr>
          <w:rFonts w:asciiTheme="minorHAnsi" w:hAnsiTheme="minorHAnsi" w:cstheme="minorHAnsi"/>
          <w:sz w:val="18"/>
          <w:szCs w:val="22"/>
        </w:rPr>
      </w:pPr>
    </w:p>
    <w:p w14:paraId="59B94FC6" w14:textId="17964626" w:rsidR="00D622DF" w:rsidRDefault="00D622DF">
      <w:pPr>
        <w:rPr>
          <w:rFonts w:eastAsia="Times New Roman" w:cs="Arial"/>
          <w:color w:val="000000"/>
          <w:lang w:eastAsia="cs-CZ"/>
        </w:rPr>
      </w:pPr>
    </w:p>
    <w:sectPr w:rsidR="00D622DF"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3002B" w14:textId="77777777" w:rsidR="001B65E7" w:rsidRDefault="001B65E7" w:rsidP="00832D0D">
      <w:pPr>
        <w:spacing w:after="0" w:line="240" w:lineRule="auto"/>
      </w:pPr>
      <w:r>
        <w:separator/>
      </w:r>
    </w:p>
  </w:endnote>
  <w:endnote w:type="continuationSeparator" w:id="0">
    <w:p w14:paraId="739F8771" w14:textId="77777777" w:rsidR="001B65E7" w:rsidRDefault="001B65E7"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D4B2C" w14:textId="77777777" w:rsidR="001B65E7" w:rsidRDefault="001B65E7" w:rsidP="00832D0D">
      <w:pPr>
        <w:spacing w:after="0" w:line="240" w:lineRule="auto"/>
      </w:pPr>
      <w:r>
        <w:separator/>
      </w:r>
    </w:p>
  </w:footnote>
  <w:footnote w:type="continuationSeparator" w:id="0">
    <w:p w14:paraId="739D8DD8" w14:textId="77777777" w:rsidR="001B65E7" w:rsidRDefault="001B65E7"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32F75"/>
    <w:multiLevelType w:val="hybridMultilevel"/>
    <w:tmpl w:val="ADAC1D00"/>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9"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30D6F10"/>
    <w:multiLevelType w:val="hybridMultilevel"/>
    <w:tmpl w:val="02F861EC"/>
    <w:lvl w:ilvl="0" w:tplc="0405000F">
      <w:start w:val="1"/>
      <w:numFmt w:val="decimal"/>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6"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2"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7"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8"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9"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3"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8"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7"/>
  </w:num>
  <w:num w:numId="2">
    <w:abstractNumId w:val="27"/>
  </w:num>
  <w:num w:numId="3">
    <w:abstractNumId w:val="28"/>
  </w:num>
  <w:num w:numId="4">
    <w:abstractNumId w:val="8"/>
  </w:num>
  <w:num w:numId="5">
    <w:abstractNumId w:val="8"/>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5"/>
  </w:num>
  <w:num w:numId="8">
    <w:abstractNumId w:val="3"/>
  </w:num>
  <w:num w:numId="9">
    <w:abstractNumId w:val="16"/>
  </w:num>
  <w:num w:numId="10">
    <w:abstractNumId w:val="21"/>
  </w:num>
  <w:num w:numId="11">
    <w:abstractNumId w:val="40"/>
  </w:num>
  <w:num w:numId="12">
    <w:abstractNumId w:val="42"/>
  </w:num>
  <w:num w:numId="13">
    <w:abstractNumId w:val="36"/>
  </w:num>
  <w:num w:numId="14">
    <w:abstractNumId w:val="34"/>
  </w:num>
  <w:num w:numId="15">
    <w:abstractNumId w:val="10"/>
  </w:num>
  <w:num w:numId="16">
    <w:abstractNumId w:val="5"/>
  </w:num>
  <w:num w:numId="17">
    <w:abstractNumId w:val="26"/>
  </w:num>
  <w:num w:numId="18">
    <w:abstractNumId w:val="19"/>
  </w:num>
  <w:num w:numId="19">
    <w:abstractNumId w:val="45"/>
  </w:num>
  <w:num w:numId="20">
    <w:abstractNumId w:val="52"/>
  </w:num>
  <w:num w:numId="21">
    <w:abstractNumId w:val="18"/>
  </w:num>
  <w:num w:numId="22">
    <w:abstractNumId w:val="39"/>
  </w:num>
  <w:num w:numId="23">
    <w:abstractNumId w:val="12"/>
  </w:num>
  <w:num w:numId="24">
    <w:abstractNumId w:val="13"/>
  </w:num>
  <w:num w:numId="25">
    <w:abstractNumId w:val="30"/>
  </w:num>
  <w:num w:numId="26">
    <w:abstractNumId w:val="20"/>
  </w:num>
  <w:num w:numId="27">
    <w:abstractNumId w:val="31"/>
  </w:num>
  <w:num w:numId="28">
    <w:abstractNumId w:val="44"/>
  </w:num>
  <w:num w:numId="29">
    <w:abstractNumId w:val="49"/>
  </w:num>
  <w:num w:numId="30">
    <w:abstractNumId w:val="51"/>
  </w:num>
  <w:num w:numId="31">
    <w:abstractNumId w:val="46"/>
  </w:num>
  <w:num w:numId="32">
    <w:abstractNumId w:val="17"/>
  </w:num>
  <w:num w:numId="33">
    <w:abstractNumId w:val="43"/>
  </w:num>
  <w:num w:numId="34">
    <w:abstractNumId w:val="22"/>
  </w:num>
  <w:num w:numId="35">
    <w:abstractNumId w:val="24"/>
  </w:num>
  <w:num w:numId="36">
    <w:abstractNumId w:val="2"/>
  </w:num>
  <w:num w:numId="37">
    <w:abstractNumId w:val="11"/>
  </w:num>
  <w:num w:numId="38">
    <w:abstractNumId w:val="29"/>
  </w:num>
  <w:num w:numId="39">
    <w:abstractNumId w:val="35"/>
  </w:num>
  <w:num w:numId="40">
    <w:abstractNumId w:val="33"/>
  </w:num>
  <w:num w:numId="41">
    <w:abstractNumId w:val="50"/>
  </w:num>
  <w:num w:numId="42">
    <w:abstractNumId w:val="48"/>
  </w:num>
  <w:num w:numId="43">
    <w:abstractNumId w:val="6"/>
  </w:num>
  <w:num w:numId="44">
    <w:abstractNumId w:val="1"/>
  </w:num>
  <w:num w:numId="45">
    <w:abstractNumId w:val="41"/>
  </w:num>
  <w:num w:numId="46">
    <w:abstractNumId w:val="23"/>
  </w:num>
  <w:num w:numId="47">
    <w:abstractNumId w:val="54"/>
  </w:num>
  <w:num w:numId="48">
    <w:abstractNumId w:val="32"/>
  </w:num>
  <w:num w:numId="49">
    <w:abstractNumId w:val="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1"/>
    <w:lvlOverride w:ilvl="0">
      <w:startOverride w:val="1"/>
    </w:lvlOverride>
  </w:num>
  <w:num w:numId="54">
    <w:abstractNumId w:val="14"/>
  </w:num>
  <w:num w:numId="55">
    <w:abstractNumId w:val="53"/>
  </w:num>
  <w:num w:numId="56">
    <w:abstractNumId w:val="55"/>
  </w:num>
  <w:num w:numId="57">
    <w:abstractNumId w:val="38"/>
  </w:num>
  <w:num w:numId="58">
    <w:abstractNumId w:val="15"/>
  </w:num>
  <w:num w:numId="59">
    <w:abstractNumId w:val="31"/>
    <w:lvlOverride w:ilvl="0">
      <w:startOverride w:val="1"/>
    </w:lvlOverride>
  </w:num>
  <w:num w:numId="60">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6654"/>
    <w:rsid w:val="000144E7"/>
    <w:rsid w:val="0001617C"/>
    <w:rsid w:val="00025D2B"/>
    <w:rsid w:val="00026CEF"/>
    <w:rsid w:val="0003234E"/>
    <w:rsid w:val="00032390"/>
    <w:rsid w:val="00033C22"/>
    <w:rsid w:val="00033DFF"/>
    <w:rsid w:val="0003792A"/>
    <w:rsid w:val="00042403"/>
    <w:rsid w:val="000424D9"/>
    <w:rsid w:val="000443F9"/>
    <w:rsid w:val="000450AB"/>
    <w:rsid w:val="00045995"/>
    <w:rsid w:val="000500D2"/>
    <w:rsid w:val="00051CE9"/>
    <w:rsid w:val="00065170"/>
    <w:rsid w:val="00066D94"/>
    <w:rsid w:val="00066F32"/>
    <w:rsid w:val="00067EF1"/>
    <w:rsid w:val="00070352"/>
    <w:rsid w:val="00070C24"/>
    <w:rsid w:val="00072B23"/>
    <w:rsid w:val="0007364F"/>
    <w:rsid w:val="00091163"/>
    <w:rsid w:val="00091855"/>
    <w:rsid w:val="00092CA5"/>
    <w:rsid w:val="00093C53"/>
    <w:rsid w:val="000A760F"/>
    <w:rsid w:val="000B15A8"/>
    <w:rsid w:val="000B24E8"/>
    <w:rsid w:val="000C1A2F"/>
    <w:rsid w:val="000C2868"/>
    <w:rsid w:val="000C3499"/>
    <w:rsid w:val="000C3F20"/>
    <w:rsid w:val="000D5225"/>
    <w:rsid w:val="000E1106"/>
    <w:rsid w:val="000F5C89"/>
    <w:rsid w:val="000F61B5"/>
    <w:rsid w:val="000F6F55"/>
    <w:rsid w:val="00102730"/>
    <w:rsid w:val="001062E8"/>
    <w:rsid w:val="0012098E"/>
    <w:rsid w:val="00134DCF"/>
    <w:rsid w:val="00136F8C"/>
    <w:rsid w:val="0013744B"/>
    <w:rsid w:val="00140FA3"/>
    <w:rsid w:val="00142E1A"/>
    <w:rsid w:val="00144E7E"/>
    <w:rsid w:val="00152CF2"/>
    <w:rsid w:val="0015528C"/>
    <w:rsid w:val="001569EC"/>
    <w:rsid w:val="00163748"/>
    <w:rsid w:val="00166A73"/>
    <w:rsid w:val="00166AA8"/>
    <w:rsid w:val="00167D44"/>
    <w:rsid w:val="00171D67"/>
    <w:rsid w:val="00184837"/>
    <w:rsid w:val="00184910"/>
    <w:rsid w:val="001858AB"/>
    <w:rsid w:val="0019419A"/>
    <w:rsid w:val="001A0D3C"/>
    <w:rsid w:val="001A1F61"/>
    <w:rsid w:val="001A47EF"/>
    <w:rsid w:val="001A77FE"/>
    <w:rsid w:val="001B0954"/>
    <w:rsid w:val="001B1323"/>
    <w:rsid w:val="001B65E7"/>
    <w:rsid w:val="001C056F"/>
    <w:rsid w:val="001C082C"/>
    <w:rsid w:val="001C4CFA"/>
    <w:rsid w:val="001C7D91"/>
    <w:rsid w:val="001D3752"/>
    <w:rsid w:val="001D6972"/>
    <w:rsid w:val="001E3F75"/>
    <w:rsid w:val="001E4316"/>
    <w:rsid w:val="001E5ED0"/>
    <w:rsid w:val="001E7DA2"/>
    <w:rsid w:val="001F2330"/>
    <w:rsid w:val="00203BF2"/>
    <w:rsid w:val="00204AF8"/>
    <w:rsid w:val="00205F36"/>
    <w:rsid w:val="00211592"/>
    <w:rsid w:val="002217F8"/>
    <w:rsid w:val="002226E9"/>
    <w:rsid w:val="00224717"/>
    <w:rsid w:val="002305D5"/>
    <w:rsid w:val="00232BE5"/>
    <w:rsid w:val="002331EF"/>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15CC"/>
    <w:rsid w:val="00283617"/>
    <w:rsid w:val="00284CD4"/>
    <w:rsid w:val="0028563F"/>
    <w:rsid w:val="00285FD9"/>
    <w:rsid w:val="00292615"/>
    <w:rsid w:val="0029375C"/>
    <w:rsid w:val="002944E4"/>
    <w:rsid w:val="0029578C"/>
    <w:rsid w:val="002A21F9"/>
    <w:rsid w:val="002B0169"/>
    <w:rsid w:val="002B52FA"/>
    <w:rsid w:val="002D0BFB"/>
    <w:rsid w:val="002D245B"/>
    <w:rsid w:val="002D2C1A"/>
    <w:rsid w:val="002D3247"/>
    <w:rsid w:val="002E06FB"/>
    <w:rsid w:val="002E12A6"/>
    <w:rsid w:val="002E1BCB"/>
    <w:rsid w:val="002E30A3"/>
    <w:rsid w:val="002E3666"/>
    <w:rsid w:val="002E44C5"/>
    <w:rsid w:val="002E44F0"/>
    <w:rsid w:val="002E562F"/>
    <w:rsid w:val="002E7C07"/>
    <w:rsid w:val="002F1FE4"/>
    <w:rsid w:val="002F32A0"/>
    <w:rsid w:val="002F6523"/>
    <w:rsid w:val="0030183C"/>
    <w:rsid w:val="0030284E"/>
    <w:rsid w:val="003049BF"/>
    <w:rsid w:val="00305B62"/>
    <w:rsid w:val="003072C5"/>
    <w:rsid w:val="003107A2"/>
    <w:rsid w:val="00310940"/>
    <w:rsid w:val="00313135"/>
    <w:rsid w:val="00317A8D"/>
    <w:rsid w:val="00320529"/>
    <w:rsid w:val="00320A6E"/>
    <w:rsid w:val="0032402E"/>
    <w:rsid w:val="00327C0E"/>
    <w:rsid w:val="0033463E"/>
    <w:rsid w:val="00337E33"/>
    <w:rsid w:val="003510A9"/>
    <w:rsid w:val="00352F7D"/>
    <w:rsid w:val="00353724"/>
    <w:rsid w:val="003546D3"/>
    <w:rsid w:val="00357D94"/>
    <w:rsid w:val="00362E41"/>
    <w:rsid w:val="00364BEA"/>
    <w:rsid w:val="003702B1"/>
    <w:rsid w:val="00370D96"/>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C6DB1"/>
    <w:rsid w:val="003C721C"/>
    <w:rsid w:val="003D0243"/>
    <w:rsid w:val="003D6027"/>
    <w:rsid w:val="003D62D4"/>
    <w:rsid w:val="003E106C"/>
    <w:rsid w:val="003F297F"/>
    <w:rsid w:val="003F781B"/>
    <w:rsid w:val="00402356"/>
    <w:rsid w:val="0040369D"/>
    <w:rsid w:val="004049DB"/>
    <w:rsid w:val="00406509"/>
    <w:rsid w:val="0042768D"/>
    <w:rsid w:val="0043744F"/>
    <w:rsid w:val="00441C6E"/>
    <w:rsid w:val="0044521B"/>
    <w:rsid w:val="0044704C"/>
    <w:rsid w:val="00452A0F"/>
    <w:rsid w:val="00460E78"/>
    <w:rsid w:val="004623FF"/>
    <w:rsid w:val="00465624"/>
    <w:rsid w:val="00465972"/>
    <w:rsid w:val="00467F96"/>
    <w:rsid w:val="00471B39"/>
    <w:rsid w:val="00473994"/>
    <w:rsid w:val="004757B3"/>
    <w:rsid w:val="00484546"/>
    <w:rsid w:val="00484F6E"/>
    <w:rsid w:val="00491896"/>
    <w:rsid w:val="0049322C"/>
    <w:rsid w:val="004946B0"/>
    <w:rsid w:val="00496855"/>
    <w:rsid w:val="004978A0"/>
    <w:rsid w:val="004A05BD"/>
    <w:rsid w:val="004A4298"/>
    <w:rsid w:val="004B753A"/>
    <w:rsid w:val="004B7C8B"/>
    <w:rsid w:val="004C0F80"/>
    <w:rsid w:val="004C450B"/>
    <w:rsid w:val="004D20CF"/>
    <w:rsid w:val="004D3017"/>
    <w:rsid w:val="004D41EF"/>
    <w:rsid w:val="004D4F47"/>
    <w:rsid w:val="004D55A2"/>
    <w:rsid w:val="004E3A8F"/>
    <w:rsid w:val="004F24AC"/>
    <w:rsid w:val="005016A7"/>
    <w:rsid w:val="00502350"/>
    <w:rsid w:val="00502792"/>
    <w:rsid w:val="00503499"/>
    <w:rsid w:val="00510818"/>
    <w:rsid w:val="005154DA"/>
    <w:rsid w:val="00516C6E"/>
    <w:rsid w:val="00521615"/>
    <w:rsid w:val="00522DAA"/>
    <w:rsid w:val="00540F37"/>
    <w:rsid w:val="00545B5C"/>
    <w:rsid w:val="005467F0"/>
    <w:rsid w:val="00550798"/>
    <w:rsid w:val="0055729C"/>
    <w:rsid w:val="0056119F"/>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F09E5"/>
    <w:rsid w:val="005F1D61"/>
    <w:rsid w:val="005F437A"/>
    <w:rsid w:val="005F4627"/>
    <w:rsid w:val="005F797E"/>
    <w:rsid w:val="00606B39"/>
    <w:rsid w:val="0061048E"/>
    <w:rsid w:val="00610FDE"/>
    <w:rsid w:val="00611C6C"/>
    <w:rsid w:val="006174D7"/>
    <w:rsid w:val="006220EC"/>
    <w:rsid w:val="006248E3"/>
    <w:rsid w:val="00624933"/>
    <w:rsid w:val="00627F17"/>
    <w:rsid w:val="00631840"/>
    <w:rsid w:val="00637433"/>
    <w:rsid w:val="00637FB0"/>
    <w:rsid w:val="00640CD6"/>
    <w:rsid w:val="00645A6D"/>
    <w:rsid w:val="00646B95"/>
    <w:rsid w:val="00661C7B"/>
    <w:rsid w:val="00663919"/>
    <w:rsid w:val="00670657"/>
    <w:rsid w:val="006819CA"/>
    <w:rsid w:val="00682208"/>
    <w:rsid w:val="006836E2"/>
    <w:rsid w:val="00683F52"/>
    <w:rsid w:val="00692FE1"/>
    <w:rsid w:val="006949EB"/>
    <w:rsid w:val="00697FEE"/>
    <w:rsid w:val="006A05AC"/>
    <w:rsid w:val="006A2833"/>
    <w:rsid w:val="006A2AC3"/>
    <w:rsid w:val="006B1929"/>
    <w:rsid w:val="006B48D3"/>
    <w:rsid w:val="006B6891"/>
    <w:rsid w:val="006B7623"/>
    <w:rsid w:val="006C169B"/>
    <w:rsid w:val="006C6004"/>
    <w:rsid w:val="006C636C"/>
    <w:rsid w:val="006D293F"/>
    <w:rsid w:val="006D4325"/>
    <w:rsid w:val="006D6F49"/>
    <w:rsid w:val="006E0C86"/>
    <w:rsid w:val="006E469B"/>
    <w:rsid w:val="006E5D68"/>
    <w:rsid w:val="006E7526"/>
    <w:rsid w:val="006F0A78"/>
    <w:rsid w:val="006F3943"/>
    <w:rsid w:val="006F3AC3"/>
    <w:rsid w:val="006F5FBB"/>
    <w:rsid w:val="00701E9B"/>
    <w:rsid w:val="007035CD"/>
    <w:rsid w:val="00706E29"/>
    <w:rsid w:val="00713711"/>
    <w:rsid w:val="0071714B"/>
    <w:rsid w:val="00720297"/>
    <w:rsid w:val="00724E5B"/>
    <w:rsid w:val="00740758"/>
    <w:rsid w:val="007452E3"/>
    <w:rsid w:val="00752DE9"/>
    <w:rsid w:val="007607C7"/>
    <w:rsid w:val="00760CD3"/>
    <w:rsid w:val="0076392E"/>
    <w:rsid w:val="00766466"/>
    <w:rsid w:val="00786C38"/>
    <w:rsid w:val="00795DD7"/>
    <w:rsid w:val="00797295"/>
    <w:rsid w:val="007B11A2"/>
    <w:rsid w:val="007C1A31"/>
    <w:rsid w:val="007C4F13"/>
    <w:rsid w:val="007C5FC1"/>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F4F"/>
    <w:rsid w:val="00811978"/>
    <w:rsid w:val="00811CB6"/>
    <w:rsid w:val="008202DA"/>
    <w:rsid w:val="00820CFC"/>
    <w:rsid w:val="00824617"/>
    <w:rsid w:val="0083129B"/>
    <w:rsid w:val="00832D0D"/>
    <w:rsid w:val="00836D47"/>
    <w:rsid w:val="008401CB"/>
    <w:rsid w:val="008441B7"/>
    <w:rsid w:val="0084730E"/>
    <w:rsid w:val="00850AF7"/>
    <w:rsid w:val="0085142B"/>
    <w:rsid w:val="0085166A"/>
    <w:rsid w:val="00852735"/>
    <w:rsid w:val="0085596C"/>
    <w:rsid w:val="00857285"/>
    <w:rsid w:val="00864E2C"/>
    <w:rsid w:val="00866FD9"/>
    <w:rsid w:val="0087124F"/>
    <w:rsid w:val="00872E65"/>
    <w:rsid w:val="008951C4"/>
    <w:rsid w:val="008B0295"/>
    <w:rsid w:val="008B14CA"/>
    <w:rsid w:val="008B3DAB"/>
    <w:rsid w:val="008B60FE"/>
    <w:rsid w:val="008B7566"/>
    <w:rsid w:val="008B7A13"/>
    <w:rsid w:val="008B7D92"/>
    <w:rsid w:val="008C2CF2"/>
    <w:rsid w:val="008C306E"/>
    <w:rsid w:val="008C3175"/>
    <w:rsid w:val="008C75C0"/>
    <w:rsid w:val="008D45A6"/>
    <w:rsid w:val="008D462A"/>
    <w:rsid w:val="008E18FD"/>
    <w:rsid w:val="008E4E7E"/>
    <w:rsid w:val="00901627"/>
    <w:rsid w:val="00901716"/>
    <w:rsid w:val="00903BDF"/>
    <w:rsid w:val="00903C56"/>
    <w:rsid w:val="00906F1E"/>
    <w:rsid w:val="00916B0F"/>
    <w:rsid w:val="00923362"/>
    <w:rsid w:val="009268CF"/>
    <w:rsid w:val="009269D5"/>
    <w:rsid w:val="00931D05"/>
    <w:rsid w:val="00932604"/>
    <w:rsid w:val="00933216"/>
    <w:rsid w:val="0093552E"/>
    <w:rsid w:val="00935D15"/>
    <w:rsid w:val="00940A18"/>
    <w:rsid w:val="009515F3"/>
    <w:rsid w:val="00952711"/>
    <w:rsid w:val="00962059"/>
    <w:rsid w:val="0096624E"/>
    <w:rsid w:val="00967AD7"/>
    <w:rsid w:val="00976026"/>
    <w:rsid w:val="00985403"/>
    <w:rsid w:val="00986520"/>
    <w:rsid w:val="009879E2"/>
    <w:rsid w:val="00993707"/>
    <w:rsid w:val="00994559"/>
    <w:rsid w:val="00996F9A"/>
    <w:rsid w:val="009A0705"/>
    <w:rsid w:val="009A24A0"/>
    <w:rsid w:val="009A27F1"/>
    <w:rsid w:val="009A280F"/>
    <w:rsid w:val="009A2D1B"/>
    <w:rsid w:val="009A312F"/>
    <w:rsid w:val="009A313D"/>
    <w:rsid w:val="009A37AD"/>
    <w:rsid w:val="009C4C31"/>
    <w:rsid w:val="009E338D"/>
    <w:rsid w:val="009E7D5E"/>
    <w:rsid w:val="009F0997"/>
    <w:rsid w:val="009F29A3"/>
    <w:rsid w:val="009F6EC9"/>
    <w:rsid w:val="00A057A1"/>
    <w:rsid w:val="00A0760F"/>
    <w:rsid w:val="00A22409"/>
    <w:rsid w:val="00A22976"/>
    <w:rsid w:val="00A23999"/>
    <w:rsid w:val="00A25429"/>
    <w:rsid w:val="00A27202"/>
    <w:rsid w:val="00A309D6"/>
    <w:rsid w:val="00A33F54"/>
    <w:rsid w:val="00A36072"/>
    <w:rsid w:val="00A3695F"/>
    <w:rsid w:val="00A3697F"/>
    <w:rsid w:val="00A3772B"/>
    <w:rsid w:val="00A37A9A"/>
    <w:rsid w:val="00A37B2C"/>
    <w:rsid w:val="00A45283"/>
    <w:rsid w:val="00A50215"/>
    <w:rsid w:val="00A534AA"/>
    <w:rsid w:val="00A5743E"/>
    <w:rsid w:val="00A63AE7"/>
    <w:rsid w:val="00A64FA9"/>
    <w:rsid w:val="00A66870"/>
    <w:rsid w:val="00A720F9"/>
    <w:rsid w:val="00A74D05"/>
    <w:rsid w:val="00A8335F"/>
    <w:rsid w:val="00A84E7A"/>
    <w:rsid w:val="00A945EA"/>
    <w:rsid w:val="00A967E8"/>
    <w:rsid w:val="00A96EC1"/>
    <w:rsid w:val="00AA26F7"/>
    <w:rsid w:val="00AA6528"/>
    <w:rsid w:val="00AA7094"/>
    <w:rsid w:val="00AA747C"/>
    <w:rsid w:val="00AB2C7C"/>
    <w:rsid w:val="00AD2B66"/>
    <w:rsid w:val="00AD334A"/>
    <w:rsid w:val="00AD5F08"/>
    <w:rsid w:val="00AE0141"/>
    <w:rsid w:val="00AE5383"/>
    <w:rsid w:val="00AF5EBE"/>
    <w:rsid w:val="00B011D1"/>
    <w:rsid w:val="00B075A6"/>
    <w:rsid w:val="00B104DF"/>
    <w:rsid w:val="00B14966"/>
    <w:rsid w:val="00B14D84"/>
    <w:rsid w:val="00B16213"/>
    <w:rsid w:val="00B213EB"/>
    <w:rsid w:val="00B21FBC"/>
    <w:rsid w:val="00B43A85"/>
    <w:rsid w:val="00B44A61"/>
    <w:rsid w:val="00B609C0"/>
    <w:rsid w:val="00B62FBC"/>
    <w:rsid w:val="00B63C92"/>
    <w:rsid w:val="00B74C1A"/>
    <w:rsid w:val="00B80F63"/>
    <w:rsid w:val="00B86BEB"/>
    <w:rsid w:val="00BA1236"/>
    <w:rsid w:val="00BA1452"/>
    <w:rsid w:val="00BA1E96"/>
    <w:rsid w:val="00BA33E6"/>
    <w:rsid w:val="00BA4457"/>
    <w:rsid w:val="00BA4E47"/>
    <w:rsid w:val="00BB076C"/>
    <w:rsid w:val="00BB277E"/>
    <w:rsid w:val="00BB5F5F"/>
    <w:rsid w:val="00BC0679"/>
    <w:rsid w:val="00BC6128"/>
    <w:rsid w:val="00BE1D2F"/>
    <w:rsid w:val="00BE7AE5"/>
    <w:rsid w:val="00BF2E8A"/>
    <w:rsid w:val="00BF32F3"/>
    <w:rsid w:val="00BF3549"/>
    <w:rsid w:val="00BF5108"/>
    <w:rsid w:val="00C021B6"/>
    <w:rsid w:val="00C026FC"/>
    <w:rsid w:val="00C1076F"/>
    <w:rsid w:val="00C12F26"/>
    <w:rsid w:val="00C15599"/>
    <w:rsid w:val="00C16786"/>
    <w:rsid w:val="00C17037"/>
    <w:rsid w:val="00C17D49"/>
    <w:rsid w:val="00C22EA4"/>
    <w:rsid w:val="00C239BA"/>
    <w:rsid w:val="00C262E7"/>
    <w:rsid w:val="00C4284F"/>
    <w:rsid w:val="00C43CD6"/>
    <w:rsid w:val="00C46C71"/>
    <w:rsid w:val="00C54247"/>
    <w:rsid w:val="00C548AF"/>
    <w:rsid w:val="00C55EAB"/>
    <w:rsid w:val="00C632C4"/>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5FEE"/>
    <w:rsid w:val="00CE1D19"/>
    <w:rsid w:val="00CE248F"/>
    <w:rsid w:val="00CE4929"/>
    <w:rsid w:val="00CE59A0"/>
    <w:rsid w:val="00CF2EEB"/>
    <w:rsid w:val="00CF38DE"/>
    <w:rsid w:val="00D01E73"/>
    <w:rsid w:val="00D025DC"/>
    <w:rsid w:val="00D02DB5"/>
    <w:rsid w:val="00D033C4"/>
    <w:rsid w:val="00D1169F"/>
    <w:rsid w:val="00D12D2A"/>
    <w:rsid w:val="00D1751A"/>
    <w:rsid w:val="00D22D01"/>
    <w:rsid w:val="00D24521"/>
    <w:rsid w:val="00D32929"/>
    <w:rsid w:val="00D33315"/>
    <w:rsid w:val="00D342EA"/>
    <w:rsid w:val="00D348A6"/>
    <w:rsid w:val="00D3512F"/>
    <w:rsid w:val="00D35414"/>
    <w:rsid w:val="00D376CA"/>
    <w:rsid w:val="00D45BF8"/>
    <w:rsid w:val="00D50899"/>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63BD"/>
    <w:rsid w:val="00DA3F1F"/>
    <w:rsid w:val="00DA6D69"/>
    <w:rsid w:val="00DB61B2"/>
    <w:rsid w:val="00DC3FF0"/>
    <w:rsid w:val="00DD2DA0"/>
    <w:rsid w:val="00DD7175"/>
    <w:rsid w:val="00DE20C0"/>
    <w:rsid w:val="00DE5887"/>
    <w:rsid w:val="00DF5E2C"/>
    <w:rsid w:val="00DF6642"/>
    <w:rsid w:val="00E021E2"/>
    <w:rsid w:val="00E11B4D"/>
    <w:rsid w:val="00E13C57"/>
    <w:rsid w:val="00E15AD8"/>
    <w:rsid w:val="00E15DAF"/>
    <w:rsid w:val="00E176C1"/>
    <w:rsid w:val="00E24327"/>
    <w:rsid w:val="00E26B33"/>
    <w:rsid w:val="00E27281"/>
    <w:rsid w:val="00E275B9"/>
    <w:rsid w:val="00E27B1C"/>
    <w:rsid w:val="00E27E11"/>
    <w:rsid w:val="00E4278D"/>
    <w:rsid w:val="00E54F82"/>
    <w:rsid w:val="00E5638A"/>
    <w:rsid w:val="00E624AE"/>
    <w:rsid w:val="00E65A8F"/>
    <w:rsid w:val="00E66A19"/>
    <w:rsid w:val="00E806A8"/>
    <w:rsid w:val="00E80B34"/>
    <w:rsid w:val="00E8430B"/>
    <w:rsid w:val="00E851DF"/>
    <w:rsid w:val="00E86CB8"/>
    <w:rsid w:val="00E93C15"/>
    <w:rsid w:val="00E95FF4"/>
    <w:rsid w:val="00EA05E0"/>
    <w:rsid w:val="00EA10AA"/>
    <w:rsid w:val="00EA37C5"/>
    <w:rsid w:val="00EA4926"/>
    <w:rsid w:val="00EA49A8"/>
    <w:rsid w:val="00EA5974"/>
    <w:rsid w:val="00EA6FCB"/>
    <w:rsid w:val="00EB0BC9"/>
    <w:rsid w:val="00EB6F2C"/>
    <w:rsid w:val="00EC0401"/>
    <w:rsid w:val="00EC2366"/>
    <w:rsid w:val="00EC4720"/>
    <w:rsid w:val="00EC6F47"/>
    <w:rsid w:val="00EC7A56"/>
    <w:rsid w:val="00ED1F77"/>
    <w:rsid w:val="00ED1FD3"/>
    <w:rsid w:val="00EE6123"/>
    <w:rsid w:val="00EE7362"/>
    <w:rsid w:val="00EF00CA"/>
    <w:rsid w:val="00EF740E"/>
    <w:rsid w:val="00F05968"/>
    <w:rsid w:val="00F0642A"/>
    <w:rsid w:val="00F12A24"/>
    <w:rsid w:val="00F12BF0"/>
    <w:rsid w:val="00F16954"/>
    <w:rsid w:val="00F23692"/>
    <w:rsid w:val="00F23CB1"/>
    <w:rsid w:val="00F25171"/>
    <w:rsid w:val="00F25C24"/>
    <w:rsid w:val="00F31EEB"/>
    <w:rsid w:val="00F323E8"/>
    <w:rsid w:val="00F3685E"/>
    <w:rsid w:val="00F40462"/>
    <w:rsid w:val="00F41552"/>
    <w:rsid w:val="00F477EC"/>
    <w:rsid w:val="00F509D9"/>
    <w:rsid w:val="00F51468"/>
    <w:rsid w:val="00F565E2"/>
    <w:rsid w:val="00F672B1"/>
    <w:rsid w:val="00F67970"/>
    <w:rsid w:val="00F7155C"/>
    <w:rsid w:val="00F72221"/>
    <w:rsid w:val="00F72F22"/>
    <w:rsid w:val="00F740D3"/>
    <w:rsid w:val="00F74FDF"/>
    <w:rsid w:val="00F808C2"/>
    <w:rsid w:val="00F81C16"/>
    <w:rsid w:val="00F96270"/>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odstavec">
    <w:name w:val="PFI-odstavec"/>
    <w:basedOn w:val="Normln"/>
    <w:link w:val="PFI-odstavecChar"/>
    <w:uiPriority w:val="99"/>
    <w:rsid w:val="006E5D68"/>
    <w:pPr>
      <w:tabs>
        <w:tab w:val="num" w:pos="680"/>
      </w:tabs>
      <w:suppressAutoHyphens/>
      <w:spacing w:after="120" w:line="240" w:lineRule="auto"/>
      <w:jc w:val="both"/>
    </w:pPr>
    <w:rPr>
      <w:rFonts w:ascii="Heuristica" w:eastAsia="Times New Roman" w:hAnsi="Heuristica" w:cs="Times New Roman"/>
      <w:szCs w:val="24"/>
      <w:lang w:val="x-none" w:eastAsia="ar-SA"/>
    </w:rPr>
  </w:style>
  <w:style w:type="character" w:customStyle="1" w:styleId="PFI-odstavecChar">
    <w:name w:val="PFI-odstavec Char"/>
    <w:link w:val="PFI-odstavec"/>
    <w:uiPriority w:val="99"/>
    <w:rsid w:val="006E5D68"/>
    <w:rPr>
      <w:rFonts w:ascii="Heuristica" w:eastAsia="Times New Roman" w:hAnsi="Heuristica" w:cs="Times New Roman"/>
      <w:szCs w:val="24"/>
      <w:lang w:val="x-none" w:eastAsia="ar-SA"/>
    </w:rPr>
  </w:style>
  <w:style w:type="character" w:customStyle="1" w:styleId="normaltextrun">
    <w:name w:val="normaltextrun"/>
    <w:basedOn w:val="Standardnpsmoodstavce"/>
    <w:rsid w:val="002F1FE4"/>
  </w:style>
  <w:style w:type="character" w:customStyle="1" w:styleId="eop">
    <w:name w:val="eop"/>
    <w:basedOn w:val="Standardnpsmoodstavce"/>
    <w:rsid w:val="002F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E269-B5A6-4838-BEC3-E6AD56C7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3108</Words>
  <Characters>18338</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2021-11-11T09:15:00Z</dcterms:created>
  <dcterms:modified xsi:type="dcterms:W3CDTF">2022-05-03T08:09:00Z</dcterms:modified>
</cp:coreProperties>
</file>