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0E" w:rsidRDefault="00A7322C" w:rsidP="0038564C">
      <w:pPr>
        <w:suppressAutoHyphens w:val="0"/>
        <w:spacing w:before="120"/>
        <w:jc w:val="center"/>
        <w:textAlignment w:val="auto"/>
        <w:rPr>
          <w:rFonts w:eastAsia="Times New Roman" w:cs="Times New Roman"/>
          <w:b/>
          <w:sz w:val="32"/>
          <w:szCs w:val="32"/>
          <w:u w:val="single"/>
          <w:lang w:eastAsia="cs-CZ" w:bidi="ar-SA"/>
        </w:rPr>
      </w:pPr>
      <w:r>
        <w:rPr>
          <w:rFonts w:eastAsia="Times New Roman" w:cs="Times New Roman"/>
          <w:b/>
          <w:sz w:val="32"/>
          <w:szCs w:val="32"/>
          <w:u w:val="single"/>
          <w:lang w:eastAsia="cs-CZ" w:bidi="ar-SA"/>
        </w:rPr>
        <w:t>Smlouva o výpůjčce předmětu/ů pro výstavní účely</w:t>
      </w:r>
    </w:p>
    <w:p w:rsidR="0095470E" w:rsidRDefault="0038564C">
      <w:pPr>
        <w:suppressAutoHyphens w:val="0"/>
        <w:jc w:val="center"/>
        <w:textAlignment w:val="auto"/>
      </w:pPr>
      <w:r>
        <w:t>1/2022</w:t>
      </w:r>
    </w:p>
    <w:p w:rsidR="0095470E" w:rsidRDefault="00A7322C" w:rsidP="0038564C">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uzavřená podle § 2193 a násl. zákona č. 89/2012 Sb., občanský zákoník, ve znění</w:t>
      </w:r>
    </w:p>
    <w:p w:rsidR="0095470E" w:rsidRDefault="00A7322C" w:rsidP="0038564C">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pozdějších právních předpisů, mezi těmito smluvními stranami:</w:t>
      </w:r>
    </w:p>
    <w:p w:rsidR="0038564C" w:rsidRDefault="0038564C" w:rsidP="0038564C">
      <w:pPr>
        <w:suppressAutoHyphens w:val="0"/>
        <w:jc w:val="center"/>
        <w:textAlignment w:val="auto"/>
        <w:rPr>
          <w:rFonts w:eastAsia="Times New Roman" w:cs="Times New Roman"/>
          <w:kern w:val="0"/>
          <w:lang w:eastAsia="cs-CZ" w:bidi="ar-SA"/>
        </w:rPr>
      </w:pPr>
    </w:p>
    <w:p w:rsidR="0095470E" w:rsidRDefault="00A7322C" w:rsidP="0038564C">
      <w:pPr>
        <w:keepNext/>
        <w:widowControl/>
        <w:tabs>
          <w:tab w:val="left" w:pos="180"/>
          <w:tab w:val="left" w:pos="1985"/>
          <w:tab w:val="left" w:pos="5670"/>
        </w:tabs>
        <w:suppressAutoHyphens w:val="0"/>
        <w:jc w:val="center"/>
        <w:textAlignment w:val="auto"/>
        <w:rPr>
          <w:rFonts w:eastAsia="Times New Roman" w:cs="Times New Roman"/>
          <w:b/>
          <w:bCs/>
          <w:kern w:val="0"/>
          <w:sz w:val="28"/>
          <w:szCs w:val="20"/>
          <w:lang w:eastAsia="cs-CZ" w:bidi="ar-SA"/>
        </w:rPr>
      </w:pPr>
      <w:r>
        <w:rPr>
          <w:rFonts w:eastAsia="Times New Roman" w:cs="Times New Roman"/>
          <w:b/>
          <w:bCs/>
          <w:kern w:val="0"/>
          <w:sz w:val="28"/>
          <w:szCs w:val="20"/>
          <w:lang w:eastAsia="cs-CZ" w:bidi="ar-SA"/>
        </w:rPr>
        <w:t>Smluvní strany</w:t>
      </w:r>
    </w:p>
    <w:p w:rsidR="0095470E" w:rsidRDefault="00A7322C" w:rsidP="0038564C">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 xml:space="preserve">Jméno a příjmení: </w:t>
      </w:r>
      <w:r w:rsidRPr="0038564C">
        <w:rPr>
          <w:rFonts w:eastAsia="Times New Roman" w:cs="Times New Roman"/>
          <w:b/>
          <w:kern w:val="0"/>
          <w:lang w:eastAsia="cs-CZ" w:bidi="ar-SA"/>
        </w:rPr>
        <w:t>Petr Císařovský a Václava Císařovská</w:t>
      </w:r>
    </w:p>
    <w:p w:rsidR="0095470E" w:rsidRDefault="00BA41F7" w:rsidP="0038564C">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Adresa:</w:t>
      </w:r>
      <w:r w:rsidR="00061091">
        <w:rPr>
          <w:rFonts w:eastAsia="Times New Roman" w:cs="Times New Roman"/>
          <w:kern w:val="0"/>
          <w:lang w:eastAsia="cs-CZ" w:bidi="ar-SA"/>
        </w:rPr>
        <w:t xml:space="preserve"> Mšeno</w:t>
      </w:r>
      <w:bookmarkStart w:id="0" w:name="_GoBack"/>
      <w:bookmarkEnd w:id="0"/>
    </w:p>
    <w:p w:rsidR="0095470E" w:rsidRPr="0038564C" w:rsidRDefault="00A7322C" w:rsidP="0038564C">
      <w:pPr>
        <w:widowControl/>
        <w:tabs>
          <w:tab w:val="left" w:pos="1276"/>
        </w:tabs>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Poskyt</w:t>
      </w:r>
      <w:r w:rsidR="00BA41F7">
        <w:rPr>
          <w:rFonts w:eastAsia="Times New Roman" w:cs="Times New Roman"/>
          <w:kern w:val="0"/>
          <w:lang w:eastAsia="cs-CZ" w:bidi="ar-SA"/>
        </w:rPr>
        <w:t>nuté kontakty:</w:t>
      </w:r>
    </w:p>
    <w:p w:rsidR="0095470E" w:rsidRPr="00CB29D3" w:rsidRDefault="00A7322C" w:rsidP="00CB29D3">
      <w:pPr>
        <w:suppressAutoHyphens w:val="0"/>
        <w:jc w:val="both"/>
        <w:textAlignment w:val="auto"/>
        <w:rPr>
          <w:rFonts w:eastAsia="Times New Roman" w:cs="Times New Roman"/>
          <w:b/>
          <w:kern w:val="0"/>
          <w:u w:val="single"/>
          <w:lang w:eastAsia="cs-CZ" w:bidi="ar-SA"/>
        </w:rPr>
      </w:pPr>
      <w:r>
        <w:rPr>
          <w:rFonts w:eastAsia="Times New Roman" w:cs="Times New Roman"/>
          <w:b/>
          <w:kern w:val="0"/>
          <w:u w:val="single"/>
          <w:lang w:eastAsia="cs-CZ" w:bidi="ar-SA"/>
        </w:rPr>
        <w:t>dále jen „půjčitel“</w:t>
      </w:r>
      <w:r>
        <w:rPr>
          <w:rFonts w:eastAsia="Times New Roman" w:cs="Times New Roman"/>
          <w:kern w:val="0"/>
          <w:lang w:eastAsia="cs-CZ" w:bidi="ar-SA"/>
        </w:rPr>
        <w:t xml:space="preserve">   </w:t>
      </w:r>
    </w:p>
    <w:p w:rsidR="0095470E" w:rsidRPr="00CB29D3" w:rsidRDefault="00A7322C">
      <w:pPr>
        <w:widowControl/>
        <w:tabs>
          <w:tab w:val="left" w:pos="1276"/>
        </w:tabs>
        <w:suppressAutoHyphens w:val="0"/>
        <w:jc w:val="both"/>
        <w:textAlignment w:val="auto"/>
        <w:rPr>
          <w:rFonts w:eastAsia="Times New Roman" w:cs="Times New Roman"/>
          <w:b/>
          <w:kern w:val="0"/>
          <w:sz w:val="28"/>
          <w:szCs w:val="28"/>
          <w:lang w:eastAsia="cs-CZ" w:bidi="ar-SA"/>
        </w:rPr>
      </w:pPr>
      <w:r>
        <w:rPr>
          <w:rFonts w:eastAsia="Times New Roman" w:cs="Times New Roman"/>
          <w:b/>
          <w:kern w:val="0"/>
          <w:sz w:val="28"/>
          <w:szCs w:val="28"/>
          <w:lang w:eastAsia="cs-CZ" w:bidi="ar-SA"/>
        </w:rPr>
        <w:t>a</w:t>
      </w:r>
    </w:p>
    <w:p w:rsidR="0095470E" w:rsidRDefault="00A7322C">
      <w:pPr>
        <w:widowControl/>
        <w:tabs>
          <w:tab w:val="left" w:pos="1276"/>
        </w:tabs>
        <w:suppressAutoHyphens w:val="0"/>
        <w:jc w:val="both"/>
        <w:textAlignment w:val="auto"/>
      </w:pPr>
      <w:r>
        <w:rPr>
          <w:rFonts w:eastAsia="Times New Roman" w:cs="Times New Roman"/>
          <w:b/>
          <w:kern w:val="0"/>
          <w:szCs w:val="20"/>
          <w:lang w:eastAsia="cs-CZ" w:bidi="ar-SA"/>
        </w:rPr>
        <w:t>Vlastivědné muzeum a galerie v České Lípě, příspěvková organizace</w:t>
      </w:r>
    </w:p>
    <w:p w:rsidR="0095470E" w:rsidRDefault="00A7322C">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Česká Lípa, náměstí Osvobození 297/1, PSČ 470 01</w:t>
      </w:r>
    </w:p>
    <w:p w:rsidR="0095470E" w:rsidRDefault="00A7322C">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IČO: 00360198; DIČ: CZ00360198</w:t>
      </w:r>
    </w:p>
    <w:p w:rsidR="0095470E" w:rsidRDefault="00A7322C">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Zastoupený: Ing. Zdeňkem Vitáčkem, ředitelem</w:t>
      </w:r>
    </w:p>
    <w:p w:rsidR="0095470E" w:rsidRDefault="00A7322C">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Osoba oprávněná k jednání ve věci plnění předmětu této smlouvy: Vladimíra Procházková</w:t>
      </w:r>
    </w:p>
    <w:p w:rsidR="0095470E" w:rsidRDefault="00A7322C">
      <w:pPr>
        <w:widowControl/>
        <w:tabs>
          <w:tab w:val="left" w:pos="1276"/>
        </w:tabs>
        <w:suppressAutoHyphens w:val="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Oddělení výstav, výchovy, propagace a galerie – vedoucí oddělení</w:t>
      </w:r>
    </w:p>
    <w:p w:rsidR="0095470E" w:rsidRDefault="00A7322C">
      <w:pPr>
        <w:widowControl/>
        <w:tabs>
          <w:tab w:val="left" w:pos="1276"/>
        </w:tabs>
        <w:suppressAutoHyphens w:val="0"/>
        <w:jc w:val="both"/>
        <w:textAlignment w:val="auto"/>
      </w:pPr>
      <w:r>
        <w:rPr>
          <w:rFonts w:eastAsia="Times New Roman" w:cs="Times New Roman"/>
          <w:kern w:val="0"/>
          <w:szCs w:val="20"/>
          <w:lang w:eastAsia="cs-CZ" w:bidi="ar-SA"/>
        </w:rPr>
        <w:t xml:space="preserve">Kontakty: mobil: +420 702 000 096; tel.: +420 487 824 145, linka 28; </w:t>
      </w:r>
      <w:hyperlink r:id="rId7" w:history="1">
        <w:r>
          <w:rPr>
            <w:rStyle w:val="Hypertextovodkaz"/>
            <w:rFonts w:eastAsia="Times New Roman" w:cs="Times New Roman"/>
            <w:kern w:val="0"/>
            <w:szCs w:val="20"/>
            <w:lang w:eastAsia="cs-CZ" w:bidi="ar-SA"/>
          </w:rPr>
          <w:t>prochazkova@muzeumcl.cz</w:t>
        </w:r>
      </w:hyperlink>
      <w:r>
        <w:rPr>
          <w:rFonts w:eastAsia="Times New Roman" w:cs="Times New Roman"/>
          <w:kern w:val="0"/>
          <w:szCs w:val="20"/>
          <w:lang w:eastAsia="cs-CZ" w:bidi="ar-SA"/>
        </w:rPr>
        <w:t xml:space="preserve"> </w:t>
      </w:r>
    </w:p>
    <w:p w:rsidR="0095470E" w:rsidRDefault="00A7322C" w:rsidP="00CB29D3">
      <w:pPr>
        <w:widowControl/>
        <w:tabs>
          <w:tab w:val="left" w:pos="1276"/>
        </w:tabs>
        <w:suppressAutoHyphens w:val="0"/>
        <w:jc w:val="both"/>
        <w:textAlignment w:val="auto"/>
        <w:rPr>
          <w:rFonts w:eastAsia="Times New Roman" w:cs="Times New Roman"/>
          <w:b/>
          <w:kern w:val="0"/>
          <w:u w:val="single"/>
          <w:lang w:eastAsia="cs-CZ" w:bidi="ar-SA"/>
        </w:rPr>
      </w:pPr>
      <w:r>
        <w:rPr>
          <w:rFonts w:eastAsia="Times New Roman" w:cs="Times New Roman"/>
          <w:b/>
          <w:kern w:val="0"/>
          <w:u w:val="single"/>
          <w:lang w:eastAsia="cs-CZ" w:bidi="ar-SA"/>
        </w:rPr>
        <w:t>dále jen „vypůjčitel“</w:t>
      </w:r>
    </w:p>
    <w:p w:rsidR="00CB29D3" w:rsidRPr="00CB29D3" w:rsidRDefault="00CB29D3" w:rsidP="00CB29D3">
      <w:pPr>
        <w:widowControl/>
        <w:tabs>
          <w:tab w:val="left" w:pos="1276"/>
        </w:tabs>
        <w:suppressAutoHyphens w:val="0"/>
        <w:jc w:val="both"/>
        <w:textAlignment w:val="auto"/>
      </w:pPr>
    </w:p>
    <w:p w:rsidR="0095470E" w:rsidRDefault="00A7322C" w:rsidP="00CB29D3">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Uzavírají spolu a podpisem této smlouvy již uzavřeli níže uvedeného dne, měsíce a roku</w:t>
      </w:r>
    </w:p>
    <w:p w:rsidR="0095470E" w:rsidRDefault="00A7322C" w:rsidP="00CB29D3">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následující smlouvu o výpůjčce předmětu/ů.</w:t>
      </w:r>
    </w:p>
    <w:p w:rsidR="0095470E" w:rsidRDefault="0095470E" w:rsidP="00CB29D3">
      <w:pPr>
        <w:suppressAutoHyphens w:val="0"/>
        <w:overflowPunct w:val="0"/>
        <w:autoSpaceDE w:val="0"/>
        <w:jc w:val="both"/>
        <w:rPr>
          <w:rFonts w:eastAsia="Times New Roman" w:cs="Times New Roman"/>
          <w:b/>
          <w:kern w:val="0"/>
          <w:sz w:val="28"/>
          <w:szCs w:val="28"/>
          <w:u w:val="single"/>
          <w:lang w:eastAsia="cs-CZ" w:bidi="ar-SA"/>
        </w:rPr>
      </w:pPr>
    </w:p>
    <w:p w:rsidR="0095470E" w:rsidRDefault="00A7322C" w:rsidP="00CB29D3">
      <w:pPr>
        <w:suppressAutoHyphens w:val="0"/>
        <w:overflowPunct w:val="0"/>
        <w:autoSpaceDE w:val="0"/>
        <w:ind w:left="567" w:right="113"/>
        <w:jc w:val="center"/>
      </w:pPr>
      <w:r>
        <w:rPr>
          <w:rFonts w:eastAsia="Times New Roman" w:cs="Times New Roman"/>
          <w:b/>
          <w:kern w:val="0"/>
          <w:szCs w:val="20"/>
          <w:u w:val="single"/>
          <w:lang w:eastAsia="cs-CZ" w:bidi="ar-SA"/>
        </w:rPr>
        <w:t>Úvodní ustanovení</w:t>
      </w:r>
    </w:p>
    <w:p w:rsidR="0095470E" w:rsidRDefault="00A7322C" w:rsidP="00CB29D3">
      <w:pPr>
        <w:widowControl/>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není nutné uzavírat ke smlouvě dodatek, jedině že o to požádá jedna ze smluvních stran.</w:t>
      </w:r>
    </w:p>
    <w:p w:rsidR="0095470E" w:rsidRDefault="00A7322C">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w:t>
      </w:r>
    </w:p>
    <w:p w:rsidR="0095470E" w:rsidRDefault="00A7322C" w:rsidP="00CB29D3">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Předmět smlouvy a účel výpůjčky</w:t>
      </w:r>
    </w:p>
    <w:p w:rsidR="0095470E" w:rsidRDefault="00A7322C">
      <w:pPr>
        <w:pStyle w:val="Odstavecseseznamem"/>
        <w:widowControl/>
        <w:suppressAutoHyphens w:val="0"/>
        <w:spacing w:before="80"/>
        <w:ind w:left="0" w:right="113"/>
        <w:jc w:val="both"/>
        <w:textAlignment w:val="auto"/>
        <w:rPr>
          <w:color w:val="000000"/>
          <w:szCs w:val="24"/>
          <w:lang w:eastAsia="cs-CZ" w:bidi="ar-SA"/>
        </w:rPr>
      </w:pPr>
      <w:r>
        <w:rPr>
          <w:color w:val="000000"/>
          <w:szCs w:val="24"/>
          <w:lang w:eastAsia="cs-CZ" w:bidi="ar-SA"/>
        </w:rPr>
        <w:t xml:space="preserve">Předmět/y výpůjčky: </w:t>
      </w:r>
    </w:p>
    <w:p w:rsidR="0095470E" w:rsidRDefault="00A7322C">
      <w:pPr>
        <w:pStyle w:val="Odstavecseseznamem"/>
        <w:widowControl/>
        <w:suppressAutoHyphens w:val="0"/>
        <w:spacing w:before="80"/>
        <w:ind w:left="0" w:right="113"/>
        <w:jc w:val="both"/>
        <w:textAlignment w:val="auto"/>
      </w:pPr>
      <w:r>
        <w:rPr>
          <w:rFonts w:eastAsia="Times New Roman" w:cs="Times New Roman"/>
          <w:kern w:val="0"/>
          <w:u w:val="single"/>
          <w:lang w:eastAsia="cs-CZ" w:bidi="ar-SA"/>
        </w:rPr>
        <w:t>Petr Císařovský</w:t>
      </w:r>
    </w:p>
    <w:p w:rsidR="0095470E" w:rsidRDefault="00A7322C">
      <w:pPr>
        <w:widowControl/>
        <w:suppressAutoHyphens w:val="0"/>
        <w:autoSpaceDE w:val="0"/>
        <w:textAlignment w:val="auto"/>
      </w:pPr>
      <w:r>
        <w:rPr>
          <w:rFonts w:cs="Times New Roman"/>
          <w:kern w:val="0"/>
          <w:lang w:bidi="ar-SA"/>
        </w:rPr>
        <w:t xml:space="preserve">- Zdi, 1995, v. 94 cm. Cena </w:t>
      </w:r>
      <w:r>
        <w:rPr>
          <w:rFonts w:cs="Times New Roman"/>
          <w:b/>
          <w:kern w:val="0"/>
          <w:lang w:bidi="ar-SA"/>
        </w:rPr>
        <w:t>80 000 Kč</w:t>
      </w:r>
    </w:p>
    <w:p w:rsidR="0095470E" w:rsidRDefault="00A7322C">
      <w:pPr>
        <w:widowControl/>
        <w:suppressAutoHyphens w:val="0"/>
        <w:autoSpaceDE w:val="0"/>
        <w:textAlignment w:val="auto"/>
      </w:pPr>
      <w:r>
        <w:rPr>
          <w:rFonts w:cs="Times New Roman"/>
          <w:kern w:val="0"/>
          <w:lang w:bidi="ar-SA"/>
        </w:rPr>
        <w:t xml:space="preserve">- Na zemi, 2016, v. 160 cm. Cena </w:t>
      </w:r>
      <w:r>
        <w:rPr>
          <w:rFonts w:cs="Times New Roman"/>
          <w:b/>
          <w:kern w:val="0"/>
          <w:lang w:bidi="ar-SA"/>
        </w:rPr>
        <w:t>125 000 Kč</w:t>
      </w:r>
    </w:p>
    <w:p w:rsidR="0095470E" w:rsidRDefault="00A7322C">
      <w:pPr>
        <w:pStyle w:val="Odstavecseseznamem"/>
        <w:widowControl/>
        <w:suppressAutoHyphens w:val="0"/>
        <w:ind w:left="0" w:right="113"/>
        <w:jc w:val="both"/>
        <w:textAlignment w:val="auto"/>
        <w:rPr>
          <w:rFonts w:cs="Times New Roman"/>
          <w:kern w:val="0"/>
          <w:lang w:bidi="ar-SA"/>
        </w:rPr>
      </w:pPr>
      <w:r>
        <w:rPr>
          <w:rFonts w:cs="Times New Roman"/>
          <w:kern w:val="0"/>
          <w:lang w:bidi="ar-SA"/>
        </w:rPr>
        <w:t xml:space="preserve">- Tři králové, 2006, (tři figury, 1. v. 195 cm, 2. 191 cm, 3. 177 cm). </w:t>
      </w:r>
    </w:p>
    <w:p w:rsidR="0095470E" w:rsidRDefault="00A7322C">
      <w:pPr>
        <w:pStyle w:val="Odstavecseseznamem"/>
        <w:widowControl/>
        <w:suppressAutoHyphens w:val="0"/>
        <w:ind w:left="0" w:right="113"/>
        <w:jc w:val="both"/>
        <w:textAlignment w:val="auto"/>
      </w:pPr>
      <w:r>
        <w:rPr>
          <w:rFonts w:cs="Times New Roman"/>
          <w:kern w:val="0"/>
          <w:lang w:bidi="ar-SA"/>
        </w:rPr>
        <w:t xml:space="preserve">   Cena za jednu figuru 150 000 Kč. Cena </w:t>
      </w:r>
      <w:r>
        <w:rPr>
          <w:rFonts w:cs="Times New Roman"/>
          <w:b/>
          <w:kern w:val="0"/>
          <w:lang w:bidi="ar-SA"/>
        </w:rPr>
        <w:t>450 000 Kč</w:t>
      </w:r>
    </w:p>
    <w:p w:rsidR="0095470E" w:rsidRDefault="00A7322C">
      <w:pPr>
        <w:pStyle w:val="Odstavecseseznamem"/>
        <w:widowControl/>
        <w:suppressAutoHyphens w:val="0"/>
        <w:ind w:left="0" w:right="113"/>
        <w:jc w:val="both"/>
        <w:textAlignment w:val="auto"/>
      </w:pPr>
      <w:r>
        <w:rPr>
          <w:rFonts w:cs="Times New Roman"/>
        </w:rPr>
        <w:t xml:space="preserve">- Drobné práce: Cena za každou 40 000 Kč = </w:t>
      </w:r>
      <w:r>
        <w:rPr>
          <w:rFonts w:cs="Times New Roman"/>
          <w:b/>
        </w:rPr>
        <w:t>360 000 Kč</w:t>
      </w:r>
    </w:p>
    <w:p w:rsidR="0095470E" w:rsidRDefault="00A7322C">
      <w:pPr>
        <w:widowControl/>
        <w:suppressAutoHyphens w:val="0"/>
        <w:autoSpaceDE w:val="0"/>
        <w:textAlignment w:val="auto"/>
        <w:rPr>
          <w:rFonts w:cs="Times New Roman"/>
          <w:kern w:val="0"/>
          <w:lang w:bidi="ar-SA"/>
        </w:rPr>
      </w:pPr>
      <w:r>
        <w:rPr>
          <w:rFonts w:cs="Times New Roman"/>
          <w:kern w:val="0"/>
          <w:lang w:bidi="ar-SA"/>
        </w:rPr>
        <w:t>- Maska 2018, 26x16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V prostoru 2019, 22x18x12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Ohrožení I. 2019, 20x19x12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Ohrožení II. 2019, 25x18x14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Čas 2019, 30x21x14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Stabilita, 2019, 25x24x15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t>- Bez dialogu, 2021, 28x23x15 cm</w:t>
      </w:r>
    </w:p>
    <w:p w:rsidR="0095470E" w:rsidRDefault="00A7322C">
      <w:pPr>
        <w:widowControl/>
        <w:suppressAutoHyphens w:val="0"/>
        <w:autoSpaceDE w:val="0"/>
        <w:textAlignment w:val="auto"/>
        <w:rPr>
          <w:rFonts w:cs="Times New Roman"/>
          <w:kern w:val="0"/>
          <w:lang w:bidi="ar-SA"/>
        </w:rPr>
      </w:pPr>
      <w:r>
        <w:rPr>
          <w:rFonts w:cs="Times New Roman"/>
          <w:kern w:val="0"/>
          <w:lang w:bidi="ar-SA"/>
        </w:rPr>
        <w:lastRenderedPageBreak/>
        <w:t>- Průvlak II. 2021, 23x16 cm</w:t>
      </w:r>
    </w:p>
    <w:p w:rsidR="0095470E" w:rsidRDefault="00A7322C" w:rsidP="0038564C">
      <w:pPr>
        <w:pStyle w:val="Odstavecseseznamem"/>
        <w:widowControl/>
        <w:suppressAutoHyphens w:val="0"/>
        <w:ind w:left="0" w:right="113"/>
        <w:jc w:val="both"/>
        <w:textAlignment w:val="auto"/>
      </w:pPr>
      <w:r>
        <w:rPr>
          <w:rFonts w:cs="Times New Roman"/>
          <w:kern w:val="0"/>
          <w:lang w:bidi="ar-SA"/>
        </w:rPr>
        <w:t>- Sedící, 2022, 26x16x8 cm</w:t>
      </w:r>
    </w:p>
    <w:p w:rsidR="0095470E" w:rsidRDefault="00A7322C">
      <w:pPr>
        <w:pStyle w:val="Odstavecseseznamem"/>
        <w:widowControl/>
        <w:suppressAutoHyphens w:val="0"/>
        <w:spacing w:before="80"/>
        <w:ind w:left="0" w:right="113"/>
        <w:jc w:val="both"/>
        <w:textAlignment w:val="auto"/>
      </w:pPr>
      <w:r>
        <w:rPr>
          <w:rFonts w:eastAsia="Times New Roman" w:cs="Times New Roman"/>
          <w:kern w:val="0"/>
          <w:u w:val="single"/>
          <w:lang w:eastAsia="cs-CZ" w:bidi="ar-SA"/>
        </w:rPr>
        <w:t>Václava Císařovská</w:t>
      </w:r>
    </w:p>
    <w:p w:rsidR="0095470E" w:rsidRDefault="0038564C">
      <w:pPr>
        <w:widowControl/>
        <w:suppressAutoHyphens w:val="0"/>
        <w:autoSpaceDE w:val="0"/>
        <w:textAlignment w:val="auto"/>
      </w:pPr>
      <w:r>
        <w:rPr>
          <w:rFonts w:cs="Times New Roman"/>
          <w:kern w:val="0"/>
          <w:lang w:bidi="ar-SA"/>
        </w:rPr>
        <w:t xml:space="preserve">- </w:t>
      </w:r>
      <w:r w:rsidR="00A7322C">
        <w:rPr>
          <w:rFonts w:cs="Times New Roman"/>
          <w:kern w:val="0"/>
          <w:lang w:bidi="ar-SA"/>
        </w:rPr>
        <w:t xml:space="preserve">Zlá chvíle, 2020, 40x30 cm = </w:t>
      </w:r>
      <w:r w:rsidR="00A7322C">
        <w:rPr>
          <w:rFonts w:cs="Times New Roman"/>
          <w:b/>
          <w:kern w:val="0"/>
          <w:lang w:bidi="ar-SA"/>
        </w:rPr>
        <w:t>10 000 Kč</w:t>
      </w:r>
    </w:p>
    <w:p w:rsidR="0095470E" w:rsidRDefault="0038564C">
      <w:pPr>
        <w:widowControl/>
        <w:suppressAutoHyphens w:val="0"/>
        <w:autoSpaceDE w:val="0"/>
        <w:textAlignment w:val="auto"/>
      </w:pPr>
      <w:r>
        <w:rPr>
          <w:rFonts w:cs="Times New Roman"/>
          <w:kern w:val="0"/>
          <w:lang w:bidi="ar-SA"/>
        </w:rPr>
        <w:t xml:space="preserve">- </w:t>
      </w:r>
      <w:r w:rsidR="00A7322C">
        <w:rPr>
          <w:rFonts w:cs="Times New Roman"/>
          <w:kern w:val="0"/>
          <w:lang w:bidi="ar-SA"/>
        </w:rPr>
        <w:t xml:space="preserve">Spodní zóna, 1994, 55x40 cm = </w:t>
      </w:r>
      <w:r w:rsidR="00A7322C">
        <w:rPr>
          <w:rFonts w:cs="Times New Roman"/>
          <w:b/>
          <w:kern w:val="0"/>
          <w:lang w:bidi="ar-SA"/>
        </w:rPr>
        <w:t>30 000 Kč</w:t>
      </w:r>
    </w:p>
    <w:p w:rsidR="0095470E" w:rsidRDefault="0038564C">
      <w:pPr>
        <w:widowControl/>
        <w:suppressAutoHyphens w:val="0"/>
        <w:autoSpaceDE w:val="0"/>
        <w:textAlignment w:val="auto"/>
      </w:pPr>
      <w:r>
        <w:rPr>
          <w:rFonts w:cs="Times New Roman"/>
          <w:kern w:val="0"/>
          <w:lang w:bidi="ar-SA"/>
        </w:rPr>
        <w:t xml:space="preserve">- </w:t>
      </w:r>
      <w:r w:rsidR="00A7322C">
        <w:rPr>
          <w:rFonts w:cs="Times New Roman"/>
          <w:kern w:val="0"/>
          <w:lang w:bidi="ar-SA"/>
        </w:rPr>
        <w:t xml:space="preserve">Špitál, 1994, 55x40 cm = </w:t>
      </w:r>
      <w:r w:rsidR="00A7322C">
        <w:rPr>
          <w:rFonts w:cs="Times New Roman"/>
          <w:b/>
          <w:kern w:val="0"/>
          <w:lang w:bidi="ar-SA"/>
        </w:rPr>
        <w:t>30 000 Kč</w:t>
      </w:r>
    </w:p>
    <w:p w:rsidR="0095470E" w:rsidRDefault="0038564C" w:rsidP="0038564C">
      <w:pPr>
        <w:pStyle w:val="Odstavecseseznamem"/>
        <w:widowControl/>
        <w:suppressAutoHyphens w:val="0"/>
        <w:ind w:left="0" w:right="113"/>
        <w:jc w:val="both"/>
        <w:textAlignment w:val="auto"/>
      </w:pPr>
      <w:r>
        <w:rPr>
          <w:rFonts w:cs="Times New Roman"/>
          <w:kern w:val="0"/>
          <w:lang w:bidi="ar-SA"/>
        </w:rPr>
        <w:t xml:space="preserve">- </w:t>
      </w:r>
      <w:r w:rsidR="00A7322C">
        <w:rPr>
          <w:rFonts w:cs="Times New Roman"/>
          <w:kern w:val="0"/>
          <w:lang w:bidi="ar-SA"/>
        </w:rPr>
        <w:t xml:space="preserve">Drakobijce, 2020, 40x30 cm = </w:t>
      </w:r>
      <w:r w:rsidR="00A7322C">
        <w:rPr>
          <w:rFonts w:cs="Times New Roman"/>
          <w:b/>
          <w:kern w:val="0"/>
          <w:lang w:bidi="ar-SA"/>
        </w:rPr>
        <w:t>10 000 Kč</w:t>
      </w:r>
    </w:p>
    <w:p w:rsidR="0095470E" w:rsidRDefault="00A7322C">
      <w:pPr>
        <w:pStyle w:val="Odstavecseseznamem"/>
        <w:widowControl/>
        <w:suppressAutoHyphens w:val="0"/>
        <w:spacing w:before="80"/>
        <w:ind w:left="0" w:right="113"/>
        <w:jc w:val="both"/>
        <w:textAlignment w:val="auto"/>
      </w:pPr>
      <w:r>
        <w:t>Půjčitel na základě této smlouvy přenechává vypůjčiteli předmět/y výpůjčky k bezplatnému a dočasnému užívání. Půjčitel půjčuje předmět/y výpůjčky vypůjčiteli a vypůjčitel předmět výpůjčky do výpůjčky přijímá.</w:t>
      </w:r>
    </w:p>
    <w:p w:rsidR="0095470E" w:rsidRDefault="00A7322C">
      <w:pPr>
        <w:widowControl/>
        <w:suppressAutoHyphens w:val="0"/>
        <w:spacing w:before="80"/>
        <w:ind w:right="113"/>
        <w:jc w:val="both"/>
        <w:textAlignment w:val="auto"/>
        <w:rPr>
          <w:color w:val="000000"/>
        </w:rPr>
      </w:pPr>
      <w:r>
        <w:rPr>
          <w:color w:val="000000"/>
        </w:rPr>
        <w:t xml:space="preserve">Předmět/y výpůjčky jsou vypůjčené pro výstavu:  </w:t>
      </w:r>
    </w:p>
    <w:p w:rsidR="0095470E" w:rsidRDefault="00A7322C" w:rsidP="0038564C">
      <w:pPr>
        <w:widowControl/>
        <w:suppressAutoHyphens w:val="0"/>
        <w:spacing w:before="80"/>
        <w:ind w:right="113"/>
        <w:jc w:val="center"/>
        <w:textAlignment w:val="auto"/>
      </w:pPr>
      <w:r>
        <w:rPr>
          <w:color w:val="000000"/>
          <w:sz w:val="32"/>
          <w:szCs w:val="32"/>
        </w:rPr>
        <w:t>„</w:t>
      </w:r>
      <w:r>
        <w:rPr>
          <w:rFonts w:eastAsia="SimSun" w:cs="Times New Roman"/>
          <w:b/>
          <w:bCs/>
          <w:i/>
          <w:iCs/>
          <w:sz w:val="32"/>
          <w:szCs w:val="32"/>
        </w:rPr>
        <w:t xml:space="preserve">KORVENGENCE - vyvřeliny a </w:t>
      </w:r>
      <w:r w:rsidR="008260B7">
        <w:rPr>
          <w:rFonts w:eastAsia="SimSun" w:cs="Times New Roman"/>
          <w:b/>
          <w:bCs/>
          <w:i/>
          <w:iCs/>
          <w:sz w:val="32"/>
          <w:szCs w:val="32"/>
        </w:rPr>
        <w:t>naplaveniny</w:t>
      </w:r>
      <w:r>
        <w:rPr>
          <w:rFonts w:eastAsia="SimSun" w:cs="Times New Roman"/>
          <w:b/>
          <w:i/>
          <w:iCs/>
          <w:sz w:val="32"/>
          <w:szCs w:val="32"/>
        </w:rPr>
        <w:t>“</w:t>
      </w:r>
    </w:p>
    <w:p w:rsidR="0038564C" w:rsidRPr="0038564C" w:rsidRDefault="0038564C" w:rsidP="0038564C">
      <w:pPr>
        <w:widowControl/>
        <w:suppressAutoHyphens w:val="0"/>
        <w:spacing w:before="80"/>
        <w:ind w:right="113"/>
        <w:jc w:val="center"/>
        <w:textAlignment w:val="auto"/>
      </w:pPr>
    </w:p>
    <w:p w:rsidR="0095470E" w:rsidRDefault="00A7322C">
      <w:pPr>
        <w:pStyle w:val="Nadpis2"/>
        <w:spacing w:before="0" w:after="0"/>
        <w:ind w:left="567" w:right="113"/>
        <w:jc w:val="center"/>
        <w:rPr>
          <w:rFonts w:ascii="Times New Roman" w:hAnsi="Times New Roman" w:cs="Times New Roman"/>
          <w:i w:val="0"/>
          <w:sz w:val="24"/>
          <w:szCs w:val="24"/>
        </w:rPr>
      </w:pPr>
      <w:r>
        <w:rPr>
          <w:rFonts w:ascii="Times New Roman" w:hAnsi="Times New Roman" w:cs="Times New Roman"/>
          <w:i w:val="0"/>
          <w:sz w:val="24"/>
          <w:szCs w:val="24"/>
        </w:rPr>
        <w:t>Článek II.</w:t>
      </w:r>
    </w:p>
    <w:p w:rsidR="0095470E" w:rsidRDefault="00A7322C">
      <w:pPr>
        <w:pStyle w:val="Nadpis2"/>
        <w:spacing w:before="0" w:after="0"/>
        <w:ind w:left="567" w:right="113"/>
        <w:jc w:val="center"/>
      </w:pPr>
      <w:r>
        <w:rPr>
          <w:rFonts w:ascii="Times New Roman" w:hAnsi="Times New Roman" w:cs="Times New Roman"/>
          <w:i w:val="0"/>
          <w:sz w:val="24"/>
          <w:szCs w:val="24"/>
          <w:u w:val="single"/>
        </w:rPr>
        <w:t>Doba výpůjčky</w:t>
      </w:r>
    </w:p>
    <w:p w:rsidR="0095470E" w:rsidRPr="0038564C" w:rsidRDefault="00A7322C" w:rsidP="0038564C">
      <w:pPr>
        <w:widowControl/>
        <w:spacing w:before="80"/>
        <w:textAlignment w:val="auto"/>
      </w:pPr>
      <w:r>
        <w:rPr>
          <w:rFonts w:cs="Times New Roman"/>
        </w:rPr>
        <w:t xml:space="preserve">           Tato smlouva se uzavírá na dobu </w:t>
      </w:r>
      <w:r>
        <w:rPr>
          <w:rFonts w:cs="Times New Roman"/>
          <w:b/>
          <w:u w:val="single"/>
        </w:rPr>
        <w:t>určitou ode dne 21. 03. 2022 do 30. 11. 2022.</w:t>
      </w:r>
    </w:p>
    <w:p w:rsidR="0095470E" w:rsidRDefault="0095470E">
      <w:pPr>
        <w:suppressAutoHyphens w:val="0"/>
        <w:ind w:left="567" w:right="113"/>
        <w:jc w:val="center"/>
        <w:textAlignment w:val="auto"/>
        <w:rPr>
          <w:rFonts w:eastAsia="Times New Roman" w:cs="Times New Roman"/>
          <w:b/>
          <w:kern w:val="0"/>
          <w:lang w:eastAsia="cs-CZ" w:bidi="ar-SA"/>
        </w:rPr>
      </w:pPr>
    </w:p>
    <w:p w:rsidR="0095470E" w:rsidRDefault="00A7322C">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III.</w:t>
      </w:r>
    </w:p>
    <w:p w:rsidR="0095470E" w:rsidRDefault="00A7322C">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Podmínky výpůjčky</w:t>
      </w:r>
    </w:p>
    <w:p w:rsidR="0095470E" w:rsidRDefault="00A7322C" w:rsidP="0038564C">
      <w:pPr>
        <w:pStyle w:val="Odstavecseseznamem"/>
        <w:widowControl/>
        <w:numPr>
          <w:ilvl w:val="0"/>
          <w:numId w:val="24"/>
        </w:numPr>
        <w:jc w:val="both"/>
        <w:textAlignment w:val="auto"/>
        <w:rPr>
          <w:rFonts w:cs="Times New Roman"/>
        </w:rPr>
      </w:pPr>
      <w:r>
        <w:rPr>
          <w:rFonts w:cs="Times New Roman"/>
        </w:rPr>
        <w:t>Podpisem této smlouvy potvrzuje vypůjčitel převzetí předmětu/ů výpůjčky včetně dokladů nutných k řádnému užívání. Mezi stranami této smlouvy je nepochybné, že nebezpečí škody a nahodilé zkázy přešlo na vypůjčitele až dnem fyzického předání předmětu/ů výpůjčky vypůjčiteli dle přílohy č. 1.</w:t>
      </w:r>
    </w:p>
    <w:p w:rsidR="0095470E" w:rsidRDefault="00A7322C" w:rsidP="0038564C">
      <w:pPr>
        <w:pStyle w:val="Odstavecseseznamem"/>
        <w:widowControl/>
        <w:numPr>
          <w:ilvl w:val="0"/>
          <w:numId w:val="24"/>
        </w:numPr>
        <w:jc w:val="both"/>
        <w:textAlignment w:val="auto"/>
        <w:rPr>
          <w:rFonts w:cs="Times New Roman"/>
        </w:rPr>
      </w:pPr>
      <w:r>
        <w:rPr>
          <w:rFonts w:cs="Times New Roman"/>
        </w:rPr>
        <w:t>Vypůjčitel má právo vrátit předmět/y výpůjčky předčasně, kdyby však z toho vznikly půjčiteli obtíže, nemůže věc vrátit bez jeho souhlasu.</w:t>
      </w:r>
    </w:p>
    <w:p w:rsidR="0095470E" w:rsidRDefault="00A7322C" w:rsidP="0038564C">
      <w:pPr>
        <w:pStyle w:val="Odstavecseseznamem"/>
        <w:widowControl/>
        <w:numPr>
          <w:ilvl w:val="0"/>
          <w:numId w:val="24"/>
        </w:numPr>
        <w:jc w:val="both"/>
        <w:textAlignment w:val="auto"/>
        <w:rPr>
          <w:rFonts w:cs="Times New Roman"/>
        </w:rPr>
      </w:pPr>
      <w:r>
        <w:rPr>
          <w:rFonts w:cs="Times New Roman"/>
        </w:rPr>
        <w:t>Užije-li vypůjčitel předmět/y výpůjčky v rozporu se smlouvou (např. neplní své povinnosti dle této smlouvy, neužívá předmět/y výpůjčky řádně a v souladu s účelem výpůjčky), může se půjčitel domáhat předčasného vrácení předmětu/ů výpůjčky.</w:t>
      </w:r>
    </w:p>
    <w:p w:rsidR="0038564C" w:rsidRDefault="0038564C" w:rsidP="0038564C">
      <w:pPr>
        <w:suppressAutoHyphens w:val="0"/>
        <w:ind w:right="113"/>
        <w:textAlignment w:val="auto"/>
        <w:rPr>
          <w:rFonts w:eastAsia="Times New Roman" w:cs="Times New Roman"/>
          <w:b/>
          <w:kern w:val="0"/>
          <w:lang w:eastAsia="cs-CZ" w:bidi="ar-SA"/>
        </w:rPr>
      </w:pPr>
    </w:p>
    <w:p w:rsidR="0095470E" w:rsidRDefault="00A7322C" w:rsidP="0038564C">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IV.</w:t>
      </w:r>
    </w:p>
    <w:p w:rsidR="0095470E" w:rsidRDefault="00A7322C" w:rsidP="0038564C">
      <w:pPr>
        <w:suppressAutoHyphens w:val="0"/>
        <w:ind w:left="567" w:right="113"/>
        <w:jc w:val="center"/>
        <w:textAlignment w:val="auto"/>
      </w:pPr>
      <w:r>
        <w:rPr>
          <w:rFonts w:eastAsia="Times New Roman" w:cs="Times New Roman"/>
          <w:b/>
          <w:kern w:val="0"/>
          <w:u w:val="single"/>
          <w:lang w:eastAsia="cs-CZ" w:bidi="ar-SA"/>
        </w:rPr>
        <w:t>Povinnosti vypůjčitele</w:t>
      </w:r>
    </w:p>
    <w:p w:rsidR="0095470E" w:rsidRDefault="00A7322C" w:rsidP="0038564C">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se zavazuje chránit předmět/y výpůjčky před poškozením, ztrátou nebo zničením a vrátit půjčiteli předmět/y výpůjčky v místě jeho sídla ve stavu, v jakém je převzal, s přihlédnutím k obvyklému opotřebení. O vrácení sepíší smluvní strany předávací protokol dle přílohy č. 1.</w:t>
      </w:r>
    </w:p>
    <w:p w:rsidR="0095470E" w:rsidRDefault="00A7322C" w:rsidP="0038564C">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Obvyklé náklady spojené s užíváním předmětu/ů výpůjčky nese vypůjčitel.</w:t>
      </w:r>
    </w:p>
    <w:p w:rsidR="00CB29D3" w:rsidRDefault="00A7322C" w:rsidP="00CB29D3">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Přepravu předmětu/ů výpůjčky na místo určení a zpět do místa určeného půjčitelem obstarává a hradí vypůjčitel na svůj náklad a nebezpečí. O způsobu balení a přepravy předmětu/ů na místo určení a zpět rozhodne půjčovatel.</w:t>
      </w:r>
    </w:p>
    <w:p w:rsidR="0095470E" w:rsidRPr="00CB29D3" w:rsidRDefault="00A7322C" w:rsidP="00CB29D3">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sidRPr="00CB29D3">
        <w:rPr>
          <w:rFonts w:eastAsia="Times New Roman" w:cs="Times New Roman"/>
          <w:kern w:val="0"/>
          <w:lang w:eastAsia="cs-CZ" w:bidi="ar-SA"/>
        </w:rPr>
        <w:t>Na předmětu/ech výpůjčky, nebudou prováděny žádné změny nebo úpravy. Jakýkoli zásah lze provést jen na základě zvláštní písemné dohody mezi oběma smluvními stranami, přičemž půjčitel si vyhrazuje právo souhlas neudělit.</w:t>
      </w:r>
    </w:p>
    <w:p w:rsidR="0095470E" w:rsidRDefault="00A7322C" w:rsidP="0038564C">
      <w:pPr>
        <w:pStyle w:val="Odstavecseseznamem"/>
        <w:widowControl/>
        <w:numPr>
          <w:ilvl w:val="0"/>
          <w:numId w:val="25"/>
        </w:numPr>
        <w:suppressAutoHyphens w:val="0"/>
        <w:jc w:val="both"/>
        <w:textAlignment w:val="auto"/>
      </w:pPr>
      <w:r>
        <w:rPr>
          <w:rFonts w:eastAsia="Times New Roman" w:cs="Times New Roman"/>
          <w:kern w:val="0"/>
          <w:lang w:eastAsia="cs-CZ" w:bidi="ar-SA"/>
        </w:rPr>
        <w:lastRenderedPageBreak/>
        <w:t xml:space="preserve">Předměty výpůjčky budou umístěné v prostředí odpovídajícím jejich významu a stavu, při vhodných bezpečnostních, klimatických a dalších opatřeních, aby nedošlo k jejich poškození, znehodnocení, zkáze nebo ztrátě. Zástupci půjčitele prohlédli prostory umístění a konstatují, že prostředí odpovídá požadavkům půjčitele.  </w:t>
      </w:r>
    </w:p>
    <w:p w:rsidR="0095470E" w:rsidRDefault="00A7322C" w:rsidP="0038564C">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není oprávněn bez písemného souhlasu půjčitele předmět/y výpůjčky přenechat k užívání jiné osobě. Jakákoli jiná, než touto smlouvou stanovená, manipulace s předměty je vázána na předchozí písemný souhlas půjčitele.</w:t>
      </w:r>
    </w:p>
    <w:p w:rsidR="0095470E" w:rsidRDefault="00A7322C" w:rsidP="0038564C">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umožní půjčiteli kontrolu plnění této smlouvy na místě umístění předmětu/ů výpůjčky.</w:t>
      </w:r>
    </w:p>
    <w:p w:rsidR="0095470E" w:rsidRDefault="00A7322C" w:rsidP="0038564C">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Vypůjčitel je povinen po celou dobu výpůjčky předmět/y výpůjčky pojistit.</w:t>
      </w:r>
    </w:p>
    <w:p w:rsidR="0095470E" w:rsidRDefault="00A7322C" w:rsidP="0038564C">
      <w:pPr>
        <w:pStyle w:val="Odstavecseseznamem"/>
        <w:widowControl/>
        <w:numPr>
          <w:ilvl w:val="0"/>
          <w:numId w:val="25"/>
        </w:numPr>
        <w:suppressAutoHyphens w:val="0"/>
        <w:ind w:left="680" w:hanging="340"/>
        <w:jc w:val="both"/>
        <w:textAlignment w:val="auto"/>
      </w:pPr>
      <w:r>
        <w:rPr>
          <w:rFonts w:eastAsia="Times New Roman" w:cs="Times New Roman"/>
          <w:kern w:val="0"/>
          <w:lang w:eastAsia="cs-CZ" w:bidi="ar-SA"/>
        </w:rPr>
        <w:t>Výše náhrady škody je odvozena od pojistné ceny předmětu/ů výpůjčky stanovené půjčitelem. V případě poškození, rozsah poškození a náhrady stanoví půjčitel, maximálně však do výše pojistné ceny předmětu/ů.</w:t>
      </w:r>
    </w:p>
    <w:p w:rsidR="0095470E" w:rsidRDefault="00A7322C" w:rsidP="0038564C">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odpovídá za předmět/y výpůjčky od okamžiku převzetí odpovědným pracovníkem vypůjčitele do okamžiku převzetí odpovědným pracovníkem půjčitele.</w:t>
      </w:r>
    </w:p>
    <w:p w:rsidR="0095470E" w:rsidRDefault="00A7322C" w:rsidP="0038564C">
      <w:pPr>
        <w:pStyle w:val="Odstavecseseznamem"/>
        <w:widowControl/>
        <w:numPr>
          <w:ilvl w:val="0"/>
          <w:numId w:val="25"/>
        </w:numPr>
        <w:suppressAutoHyphens w:val="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 případě, že by došlo k jakékoliv změně stavu, poškození, zničení nebo ztrátě předmětu/ů výpůjčky, musí vypůjčitel neprodleně informovat půjčitele. Další postup pak určují obě smluvní strany.</w:t>
      </w:r>
    </w:p>
    <w:p w:rsidR="0095470E" w:rsidRPr="0038564C" w:rsidRDefault="0095470E" w:rsidP="0038564C">
      <w:pPr>
        <w:widowControl/>
        <w:suppressAutoHyphens w:val="0"/>
        <w:jc w:val="both"/>
        <w:textAlignment w:val="auto"/>
        <w:rPr>
          <w:rFonts w:eastAsia="Times New Roman" w:cs="Times New Roman"/>
          <w:kern w:val="0"/>
          <w:lang w:eastAsia="cs-CZ" w:bidi="ar-SA"/>
        </w:rPr>
      </w:pPr>
    </w:p>
    <w:p w:rsidR="0095470E" w:rsidRDefault="00A7322C" w:rsidP="0038564C">
      <w:pPr>
        <w:suppressAutoHyphens w:val="0"/>
        <w:jc w:val="center"/>
        <w:textAlignment w:val="auto"/>
        <w:rPr>
          <w:rFonts w:eastAsia="Times New Roman" w:cs="Times New Roman"/>
          <w:b/>
          <w:kern w:val="0"/>
          <w:lang w:eastAsia="cs-CZ" w:bidi="ar-SA"/>
        </w:rPr>
      </w:pPr>
      <w:r>
        <w:rPr>
          <w:rFonts w:eastAsia="Times New Roman" w:cs="Times New Roman"/>
          <w:b/>
          <w:kern w:val="0"/>
          <w:lang w:eastAsia="cs-CZ" w:bidi="ar-SA"/>
        </w:rPr>
        <w:t>Článek V.</w:t>
      </w:r>
    </w:p>
    <w:p w:rsidR="0095470E" w:rsidRDefault="00A7322C" w:rsidP="0038564C">
      <w:pPr>
        <w:pStyle w:val="Odstavecseseznamem"/>
        <w:suppressAutoHyphens w:val="0"/>
        <w:ind w:left="0"/>
        <w:jc w:val="center"/>
        <w:textAlignment w:val="auto"/>
      </w:pPr>
      <w:r>
        <w:rPr>
          <w:rFonts w:eastAsia="Times New Roman" w:cs="Times New Roman"/>
          <w:b/>
          <w:kern w:val="0"/>
          <w:u w:val="single"/>
          <w:lang w:eastAsia="cs-CZ" w:bidi="ar-SA"/>
        </w:rPr>
        <w:t>Závěrečná ustanovení</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Není-li v této smlouvě ujednáno jinak, vztahuje se na vztahy z ní vyplývající občanský zákoník v platném znění.</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Tuto smlouvu je možno měnit pouze písemně na základě vzestupně číslovaných dodatků</w:t>
      </w:r>
      <w:r>
        <w:rPr>
          <w:rFonts w:eastAsia="Times New Roman" w:cs="Times New Roman"/>
          <w:b/>
          <w:kern w:val="0"/>
          <w:szCs w:val="20"/>
          <w:lang w:eastAsia="cs-CZ" w:bidi="ar-SA"/>
        </w:rPr>
        <w:t>,</w:t>
      </w:r>
      <w:r>
        <w:rPr>
          <w:rFonts w:eastAsia="Times New Roman" w:cs="Times New Roman"/>
          <w:kern w:val="0"/>
          <w:szCs w:val="20"/>
          <w:lang w:eastAsia="cs-CZ" w:bidi="ar-SA"/>
        </w:rPr>
        <w:t xml:space="preserve"> a to prostřednictvím osob oprávněných k uzavření této smlouvy.</w:t>
      </w:r>
      <w:r>
        <w:t xml:space="preserve"> </w:t>
      </w:r>
      <w:r>
        <w:rPr>
          <w:rFonts w:eastAsia="Times New Roman" w:cs="Times New Roman"/>
          <w:kern w:val="0"/>
          <w:szCs w:val="20"/>
          <w:lang w:eastAsia="cs-CZ" w:bidi="ar-SA"/>
        </w:rPr>
        <w:t>Dodatek se po podpisu stává nedílnou součástí této smlouvy.</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Půjčitel souhlasí s publikováním informací a obrazové dokumentace o předmětu/ů výpůjčky v propagačních a jiných tiskovinách</w:t>
      </w:r>
      <w:r>
        <w:rPr>
          <w:rFonts w:eastAsia="Times New Roman" w:cs="Times New Roman"/>
          <w:b/>
          <w:kern w:val="0"/>
          <w:szCs w:val="20"/>
          <w:lang w:eastAsia="cs-CZ" w:bidi="ar-SA"/>
        </w:rPr>
        <w:t>,</w:t>
      </w:r>
      <w:r>
        <w:rPr>
          <w:rFonts w:eastAsia="Times New Roman" w:cs="Times New Roman"/>
          <w:kern w:val="0"/>
          <w:szCs w:val="20"/>
          <w:lang w:eastAsia="cs-CZ" w:bidi="ar-SA"/>
        </w:rPr>
        <w:t xml:space="preserve"> souvisejících s účelem výpůjčky.  </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Vypůjčitel je povinen předmět/y výpůjčky vrátit půjčiteli neprodleně po uplynutí doby platnosti této smlouvy o výpůjčce.</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rPr>
          <w:rFonts w:eastAsia="Times New Roman" w:cs="Times New Roman"/>
          <w:kern w:val="0"/>
          <w:szCs w:val="20"/>
          <w:lang w:eastAsia="cs-CZ" w:bidi="ar-SA"/>
        </w:rPr>
        <w:t xml:space="preserve">Smlouva nabývá platnosti a účinnosti dnem podpisu obou stran. Bude-li smlouva </w:t>
      </w:r>
      <w:r>
        <w:rPr>
          <w:rFonts w:eastAsia="Times New Roman" w:cs="Times New Roman"/>
          <w:color w:val="000000"/>
          <w:kern w:val="0"/>
          <w:szCs w:val="20"/>
          <w:lang w:eastAsia="cs-CZ" w:bidi="ar-SA"/>
        </w:rPr>
        <w:t>uveřejněna dle Zákona o registru smluv č.340/2015 Sb., účinnosti nabývá dnem jejího zveřejnění.</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pPr>
      <w:r>
        <w:t>Tato smlouva může být uveřejněna také dle Zákona o registru smluv  č.340/2015 Sb.. Vlastivědné muzeu a galerie v České lípě, p. o. Libereckého kraje zašle smlouvu správci registru smluv k uveřejnění.</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Tato smlouva je vyhotovena ve dvou stejnopisech, které mají platnost a závaznost originálu. Půjčitel a vypůjčitel obdrží po jednom vyhotovení.</w:t>
      </w:r>
    </w:p>
    <w:p w:rsidR="0095470E" w:rsidRDefault="00A7322C" w:rsidP="0038564C">
      <w:pPr>
        <w:pStyle w:val="Odstavecseseznamem"/>
        <w:widowControl/>
        <w:numPr>
          <w:ilvl w:val="0"/>
          <w:numId w:val="26"/>
        </w:numPr>
        <w:tabs>
          <w:tab w:val="left" w:pos="-681"/>
          <w:tab w:val="left" w:pos="-397"/>
        </w:tabs>
        <w:suppressAutoHyphens w:val="0"/>
        <w:overflowPunct w:val="0"/>
        <w:autoSpaceDE w:val="0"/>
        <w:ind w:left="680" w:hanging="340"/>
        <w:jc w:val="both"/>
        <w:textAlignment w:val="auto"/>
        <w:rPr>
          <w:rFonts w:eastAsia="Times New Roman" w:cs="Times New Roman"/>
          <w:kern w:val="0"/>
          <w:szCs w:val="20"/>
          <w:lang w:eastAsia="cs-CZ" w:bidi="ar-SA"/>
        </w:rPr>
      </w:pPr>
      <w:bookmarkStart w:id="1" w:name="OLE_LINK1"/>
      <w:r>
        <w:rPr>
          <w:rFonts w:eastAsia="Times New Roman" w:cs="Times New Roman"/>
          <w:kern w:val="0"/>
          <w:szCs w:val="20"/>
          <w:lang w:eastAsia="cs-CZ" w:bidi="ar-SA"/>
        </w:rPr>
        <w:t>Smluvní strany prohlašují, že souhlasí s textem této smlouvy a že ji uzavřely na základě svobodné vůle</w:t>
      </w:r>
      <w:bookmarkEnd w:id="1"/>
      <w:r>
        <w:rPr>
          <w:rFonts w:eastAsia="Times New Roman" w:cs="Times New Roman"/>
          <w:kern w:val="0"/>
          <w:szCs w:val="20"/>
          <w:lang w:eastAsia="cs-CZ" w:bidi="ar-SA"/>
        </w:rPr>
        <w:t>.</w:t>
      </w:r>
    </w:p>
    <w:p w:rsidR="0095470E" w:rsidRDefault="0095470E" w:rsidP="0038564C">
      <w:pPr>
        <w:pStyle w:val="Textbody"/>
        <w:jc w:val="both"/>
      </w:pPr>
    </w:p>
    <w:p w:rsidR="0095470E" w:rsidRDefault="0038564C" w:rsidP="0038564C">
      <w:pPr>
        <w:pStyle w:val="Textbody"/>
        <w:jc w:val="both"/>
      </w:pPr>
      <w:r>
        <w:t>V České Lípě</w:t>
      </w:r>
      <w:r w:rsidR="00A7322C">
        <w:t>, dne:</w:t>
      </w:r>
      <w:r>
        <w:t xml:space="preserve"> 1. 4. 2022</w:t>
      </w:r>
      <w:r w:rsidR="00A7322C">
        <w:rPr>
          <w:b/>
          <w:bCs/>
        </w:rPr>
        <w:t xml:space="preserve">                                             </w:t>
      </w:r>
      <w:r w:rsidR="00A7322C">
        <w:rPr>
          <w:bCs/>
        </w:rPr>
        <w:t>V</w:t>
      </w:r>
      <w:r>
        <w:rPr>
          <w:bCs/>
        </w:rPr>
        <w:t> České Lípě</w:t>
      </w:r>
      <w:r w:rsidR="00A7322C">
        <w:rPr>
          <w:bCs/>
        </w:rPr>
        <w:t>, dne:</w:t>
      </w:r>
      <w:r>
        <w:rPr>
          <w:bCs/>
        </w:rPr>
        <w:t xml:space="preserve"> 25. 4. 2022</w:t>
      </w:r>
      <w:r w:rsidR="00A7322C">
        <w:rPr>
          <w:bCs/>
        </w:rPr>
        <w:t xml:space="preserve"> </w:t>
      </w:r>
    </w:p>
    <w:p w:rsidR="0095470E" w:rsidRDefault="0095470E">
      <w:pPr>
        <w:pStyle w:val="Textbody"/>
        <w:jc w:val="both"/>
      </w:pPr>
    </w:p>
    <w:p w:rsidR="00CB29D3" w:rsidRDefault="00CB29D3">
      <w:pPr>
        <w:pStyle w:val="Textbody"/>
        <w:jc w:val="both"/>
      </w:pPr>
    </w:p>
    <w:p w:rsidR="00CB29D3" w:rsidRDefault="00CB29D3">
      <w:pPr>
        <w:pStyle w:val="Textbody"/>
        <w:jc w:val="both"/>
      </w:pPr>
    </w:p>
    <w:p w:rsidR="00CB29D3" w:rsidRDefault="00CB29D3">
      <w:pPr>
        <w:pStyle w:val="Textbody"/>
        <w:jc w:val="both"/>
      </w:pPr>
    </w:p>
    <w:p w:rsidR="0095470E" w:rsidRDefault="00A7322C" w:rsidP="00CB29D3">
      <w:pPr>
        <w:pStyle w:val="Textbody"/>
        <w:jc w:val="center"/>
      </w:pPr>
      <w:r>
        <w:t>…………………………………………</w:t>
      </w:r>
      <w:r>
        <w:tab/>
      </w:r>
      <w:r>
        <w:tab/>
      </w:r>
      <w:r>
        <w:tab/>
        <w:t>……….………………………………</w:t>
      </w:r>
      <w:r>
        <w:rPr>
          <w:b/>
          <w:bCs/>
        </w:rPr>
        <w:t xml:space="preserve">                                  Půjčitel               </w:t>
      </w:r>
      <w:r>
        <w:rPr>
          <w:b/>
          <w:bCs/>
        </w:rPr>
        <w:tab/>
      </w:r>
      <w:r>
        <w:rPr>
          <w:b/>
          <w:bCs/>
        </w:rPr>
        <w:tab/>
      </w:r>
      <w:r>
        <w:rPr>
          <w:b/>
          <w:bCs/>
        </w:rPr>
        <w:tab/>
      </w:r>
      <w:r>
        <w:rPr>
          <w:b/>
          <w:bCs/>
        </w:rPr>
        <w:tab/>
      </w:r>
      <w:r>
        <w:rPr>
          <w:b/>
          <w:bCs/>
        </w:rPr>
        <w:tab/>
        <w:t xml:space="preserve">        Vypůjčitel</w:t>
      </w:r>
    </w:p>
    <w:sectPr w:rsidR="0095470E">
      <w:footerReference w:type="default" r:id="rId8"/>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8F" w:rsidRDefault="00E03E8F">
      <w:r>
        <w:separator/>
      </w:r>
    </w:p>
  </w:endnote>
  <w:endnote w:type="continuationSeparator" w:id="0">
    <w:p w:rsidR="00E03E8F" w:rsidRDefault="00E0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6A" w:rsidRDefault="00E03E8F">
    <w:pPr>
      <w:pStyle w:val="Zpat"/>
      <w:jc w:val="center"/>
    </w:pPr>
  </w:p>
  <w:p w:rsidR="00C70C6A" w:rsidRDefault="00A7322C">
    <w:pPr>
      <w:pStyle w:val="Zpat"/>
      <w:jc w:val="center"/>
    </w:pPr>
    <w:r>
      <w:fldChar w:fldCharType="begin"/>
    </w:r>
    <w:r>
      <w:instrText xml:space="preserve"> PAGE </w:instrText>
    </w:r>
    <w:r>
      <w:fldChar w:fldCharType="separate"/>
    </w:r>
    <w:r w:rsidR="0006109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8F" w:rsidRDefault="00E03E8F">
      <w:r>
        <w:rPr>
          <w:color w:val="000000"/>
        </w:rPr>
        <w:separator/>
      </w:r>
    </w:p>
  </w:footnote>
  <w:footnote w:type="continuationSeparator" w:id="0">
    <w:p w:rsidR="00E03E8F" w:rsidRDefault="00E0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540"/>
    <w:multiLevelType w:val="multilevel"/>
    <w:tmpl w:val="CD48E238"/>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B5E36"/>
    <w:multiLevelType w:val="multilevel"/>
    <w:tmpl w:val="22E862C2"/>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8094A"/>
    <w:multiLevelType w:val="multilevel"/>
    <w:tmpl w:val="32AA1C66"/>
    <w:styleLink w:val="WW8Num17"/>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D36BEA"/>
    <w:multiLevelType w:val="multilevel"/>
    <w:tmpl w:val="960E4038"/>
    <w:styleLink w:val="WW8Num9"/>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211497"/>
    <w:multiLevelType w:val="multilevel"/>
    <w:tmpl w:val="2BA48AB0"/>
    <w:styleLink w:val="WW8Num15"/>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113F58"/>
    <w:multiLevelType w:val="multilevel"/>
    <w:tmpl w:val="AC7ED30A"/>
    <w:styleLink w:val="WW8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38BA7124"/>
    <w:multiLevelType w:val="multilevel"/>
    <w:tmpl w:val="6812D9C0"/>
    <w:styleLink w:val="WW8Num22"/>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15:restartNumberingAfterBreak="0">
    <w:nsid w:val="39BF03A5"/>
    <w:multiLevelType w:val="multilevel"/>
    <w:tmpl w:val="0F685EE6"/>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2D0EB2"/>
    <w:multiLevelType w:val="multilevel"/>
    <w:tmpl w:val="E55229DA"/>
    <w:styleLink w:val="WW8Num61"/>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D040B32"/>
    <w:multiLevelType w:val="multilevel"/>
    <w:tmpl w:val="5A0CE14A"/>
    <w:styleLink w:val="WW8Num6"/>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19F459C"/>
    <w:multiLevelType w:val="multilevel"/>
    <w:tmpl w:val="668210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957092"/>
    <w:multiLevelType w:val="multilevel"/>
    <w:tmpl w:val="B4A80ECC"/>
    <w:styleLink w:val="WW8Num13"/>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341E25"/>
    <w:multiLevelType w:val="multilevel"/>
    <w:tmpl w:val="72DE4656"/>
    <w:styleLink w:val="WW8Num11"/>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5B2BF0"/>
    <w:multiLevelType w:val="multilevel"/>
    <w:tmpl w:val="8DEAECC2"/>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B096F"/>
    <w:multiLevelType w:val="multilevel"/>
    <w:tmpl w:val="378A1A50"/>
    <w:styleLink w:val="WW8Num1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AC32CF2"/>
    <w:multiLevelType w:val="multilevel"/>
    <w:tmpl w:val="02609766"/>
    <w:styleLink w:val="WW8Num19"/>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604336FD"/>
    <w:multiLevelType w:val="multilevel"/>
    <w:tmpl w:val="72C426EE"/>
    <w:styleLink w:val="WW8Num20"/>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56122"/>
    <w:multiLevelType w:val="multilevel"/>
    <w:tmpl w:val="2A322F3C"/>
    <w:styleLink w:val="WW8Num2"/>
    <w:lvl w:ilvl="0">
      <w:start w:val="1"/>
      <w:numFmt w:val="decimal"/>
      <w:lvlText w:val="%1."/>
      <w:lvlJc w:val="left"/>
      <w:pPr>
        <w:ind w:left="1032" w:hanging="648"/>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18" w15:restartNumberingAfterBreak="0">
    <w:nsid w:val="69B50831"/>
    <w:multiLevelType w:val="multilevel"/>
    <w:tmpl w:val="C38A36D2"/>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C71A03"/>
    <w:multiLevelType w:val="multilevel"/>
    <w:tmpl w:val="4D08BF2C"/>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5278F"/>
    <w:multiLevelType w:val="multilevel"/>
    <w:tmpl w:val="BF747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E06593"/>
    <w:multiLevelType w:val="multilevel"/>
    <w:tmpl w:val="1626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255909"/>
    <w:multiLevelType w:val="multilevel"/>
    <w:tmpl w:val="F0F0E60E"/>
    <w:styleLink w:val="WW8Num8"/>
    <w:lvl w:ilvl="0">
      <w:start w:val="1"/>
      <w:numFmt w:val="decimal"/>
      <w:lvlText w:val="%1."/>
      <w:lvlJc w:val="left"/>
      <w:pPr>
        <w:ind w:left="744" w:hanging="360"/>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23" w15:restartNumberingAfterBreak="0">
    <w:nsid w:val="76DD55A1"/>
    <w:multiLevelType w:val="multilevel"/>
    <w:tmpl w:val="6D26BA04"/>
    <w:styleLink w:val="WW8Num10"/>
    <w:lvl w:ilvl="0">
      <w:start w:val="1"/>
      <w:numFmt w:val="decimal"/>
      <w:lvlText w:val="%1."/>
      <w:lvlJc w:val="left"/>
      <w:pPr>
        <w:ind w:left="648" w:hanging="64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64141A"/>
    <w:multiLevelType w:val="multilevel"/>
    <w:tmpl w:val="D37233F0"/>
    <w:styleLink w:val="WW8Num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245D5D"/>
    <w:multiLevelType w:val="multilevel"/>
    <w:tmpl w:val="E2009FB0"/>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5"/>
  </w:num>
  <w:num w:numId="3">
    <w:abstractNumId w:val="17"/>
  </w:num>
  <w:num w:numId="4">
    <w:abstractNumId w:val="7"/>
  </w:num>
  <w:num w:numId="5">
    <w:abstractNumId w:val="24"/>
  </w:num>
  <w:num w:numId="6">
    <w:abstractNumId w:val="18"/>
  </w:num>
  <w:num w:numId="7">
    <w:abstractNumId w:val="9"/>
  </w:num>
  <w:num w:numId="8">
    <w:abstractNumId w:val="5"/>
  </w:num>
  <w:num w:numId="9">
    <w:abstractNumId w:val="22"/>
  </w:num>
  <w:num w:numId="10">
    <w:abstractNumId w:val="3"/>
  </w:num>
  <w:num w:numId="11">
    <w:abstractNumId w:val="23"/>
  </w:num>
  <w:num w:numId="12">
    <w:abstractNumId w:val="12"/>
  </w:num>
  <w:num w:numId="13">
    <w:abstractNumId w:val="13"/>
  </w:num>
  <w:num w:numId="14">
    <w:abstractNumId w:val="11"/>
  </w:num>
  <w:num w:numId="15">
    <w:abstractNumId w:val="1"/>
  </w:num>
  <w:num w:numId="16">
    <w:abstractNumId w:val="4"/>
  </w:num>
  <w:num w:numId="17">
    <w:abstractNumId w:val="0"/>
  </w:num>
  <w:num w:numId="18">
    <w:abstractNumId w:val="2"/>
  </w:num>
  <w:num w:numId="19">
    <w:abstractNumId w:val="14"/>
  </w:num>
  <w:num w:numId="20">
    <w:abstractNumId w:val="15"/>
  </w:num>
  <w:num w:numId="21">
    <w:abstractNumId w:val="16"/>
  </w:num>
  <w:num w:numId="22">
    <w:abstractNumId w:val="19"/>
  </w:num>
  <w:num w:numId="23">
    <w:abstractNumId w:val="6"/>
  </w:num>
  <w:num w:numId="24">
    <w:abstractNumId w:val="2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E"/>
    <w:rsid w:val="00061091"/>
    <w:rsid w:val="0038564C"/>
    <w:rsid w:val="003A2371"/>
    <w:rsid w:val="0048533D"/>
    <w:rsid w:val="006765EE"/>
    <w:rsid w:val="00815D34"/>
    <w:rsid w:val="008260B7"/>
    <w:rsid w:val="0095470E"/>
    <w:rsid w:val="00A7322C"/>
    <w:rsid w:val="00AD161F"/>
    <w:rsid w:val="00BA41F7"/>
    <w:rsid w:val="00C50807"/>
    <w:rsid w:val="00CB29D3"/>
    <w:rsid w:val="00CC29FE"/>
    <w:rsid w:val="00E03E8F"/>
    <w:rsid w:val="00EB07AE"/>
    <w:rsid w:val="00F27B50"/>
    <w:rsid w:val="00FB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8418"/>
  <w15:docId w15:val="{9E20FD8D-1F0A-4A35-BCB0-D7E0DB3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spacing w:before="240" w:after="60"/>
      <w:outlineLvl w:val="0"/>
    </w:pPr>
    <w:rPr>
      <w:rFonts w:ascii="Arial" w:eastAsia="Arial" w:hAnsi="Arial" w:cs="Arial"/>
      <w:b/>
      <w:bCs/>
      <w:sz w:val="32"/>
      <w:szCs w:val="32"/>
    </w:rPr>
  </w:style>
  <w:style w:type="paragraph" w:styleId="Nadpis2">
    <w:name w:val="heading 2"/>
    <w:basedOn w:val="Standard"/>
    <w:next w:val="Standard"/>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pPr>
      <w:keepNext/>
      <w:spacing w:before="240" w:after="60"/>
      <w:outlineLvl w:val="2"/>
    </w:pPr>
    <w:rPr>
      <w:rFonts w:ascii="Arial" w:eastAsia="Arial" w:hAnsi="Arial" w:cs="Arial"/>
      <w:b/>
      <w:bCs/>
      <w:sz w:val="26"/>
      <w:szCs w:val="26"/>
    </w:rPr>
  </w:style>
  <w:style w:type="paragraph" w:styleId="Nadpis4">
    <w:name w:val="heading 4"/>
    <w:basedOn w:val="Normln"/>
    <w:next w:val="Normln"/>
    <w:pPr>
      <w:keepNext/>
      <w:keepLines/>
      <w:spacing w:before="40"/>
      <w:outlineLvl w:val="3"/>
    </w:pPr>
    <w:rPr>
      <w:rFonts w:ascii="Calibri Light" w:eastAsia="Times New Roman" w:hAnsi="Calibri Light" w:cs="Calibri Light"/>
      <w:i/>
      <w:iCs/>
      <w:color w:val="2E74B5"/>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rPr>
      <w:color w:val="000000"/>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Framecontents">
    <w:name w:val="Frame contents"/>
    <w:basedOn w:val="Textbody"/>
  </w:style>
  <w:style w:type="paragraph" w:styleId="Textkomente">
    <w:name w:val="annotation text"/>
    <w:basedOn w:val="Normln"/>
    <w:rPr>
      <w:sz w:val="20"/>
      <w:szCs w:val="18"/>
    </w:rPr>
  </w:style>
  <w:style w:type="paragraph" w:styleId="Textbubliny">
    <w:name w:val="Balloon Text"/>
    <w:basedOn w:val="Normln"/>
    <w:rPr>
      <w:rFonts w:ascii="Segoe UI" w:eastAsia="Segoe UI" w:hAnsi="Segoe UI" w:cs="Segoe UI"/>
      <w:sz w:val="18"/>
      <w:szCs w:val="16"/>
    </w:rPr>
  </w:style>
  <w:style w:type="paragraph" w:styleId="Odstavecseseznamem">
    <w:name w:val="List Paragraph"/>
    <w:basedOn w:val="Normln"/>
    <w:pPr>
      <w:ind w:left="720"/>
    </w:pPr>
    <w:rPr>
      <w:szCs w:val="21"/>
    </w:rPr>
  </w:style>
  <w:style w:type="paragraph" w:styleId="Zkladntext">
    <w:name w:val="Body Text"/>
    <w:basedOn w:val="Normln"/>
    <w:pPr>
      <w:widowControl/>
      <w:suppressAutoHyphens w:val="0"/>
      <w:textAlignment w:val="auto"/>
    </w:pPr>
    <w:rPr>
      <w:rFonts w:eastAsia="Times New Roman" w:cs="Times New Roman"/>
      <w:color w:val="000000"/>
      <w:kern w:val="0"/>
      <w:szCs w:val="20"/>
      <w:lang w:eastAsia="cs-CZ" w:bidi="ar-SA"/>
    </w:rPr>
  </w:style>
  <w:style w:type="paragraph" w:styleId="Pedmtkomente">
    <w:name w:val="annotation subject"/>
    <w:basedOn w:val="Textkomente"/>
    <w:next w:val="Textkomente"/>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slostrnky">
    <w:name w:val="page number"/>
    <w:basedOn w:val="Standardnpsmoodstavce"/>
  </w:style>
  <w:style w:type="character" w:customStyle="1" w:styleId="Internetlink">
    <w:name w:val="Internet link"/>
    <w:basedOn w:val="Standardnpsmoodstavce"/>
    <w:rPr>
      <w:color w:val="0000FF"/>
      <w:u w:val="single"/>
    </w:rPr>
  </w:style>
  <w:style w:type="character" w:customStyle="1" w:styleId="TextkomenteChar">
    <w:name w:val="Text komentáře Char"/>
    <w:basedOn w:val="Standardnpsmoodstavce"/>
    <w:rPr>
      <w:sz w:val="20"/>
      <w:szCs w:val="18"/>
    </w:rPr>
  </w:style>
  <w:style w:type="character" w:styleId="Odkaznakoment">
    <w:name w:val="annotation reference"/>
    <w:rPr>
      <w:sz w:val="16"/>
      <w:szCs w:val="16"/>
    </w:rPr>
  </w:style>
  <w:style w:type="character" w:customStyle="1" w:styleId="TextbublinyChar">
    <w:name w:val="Text bubliny Char"/>
    <w:basedOn w:val="Standardnpsmoodstavce"/>
    <w:rPr>
      <w:rFonts w:ascii="Segoe UI" w:eastAsia="Segoe UI" w:hAnsi="Segoe UI" w:cs="Segoe UI"/>
      <w:sz w:val="18"/>
      <w:szCs w:val="16"/>
    </w:rPr>
  </w:style>
  <w:style w:type="character" w:customStyle="1" w:styleId="st">
    <w:name w:val="st"/>
    <w:basedOn w:val="Standardnpsmoodstavce"/>
  </w:style>
  <w:style w:type="character" w:styleId="Zdraznn">
    <w:name w:val="Emphasis"/>
    <w:basedOn w:val="Standardnpsmoodstavce"/>
    <w:rPr>
      <w:i/>
      <w:iCs/>
    </w:rPr>
  </w:style>
  <w:style w:type="character" w:customStyle="1" w:styleId="Nadpis4Char">
    <w:name w:val="Nadpis 4 Char"/>
    <w:basedOn w:val="Standardnpsmoodstavce"/>
    <w:rPr>
      <w:rFonts w:ascii="Calibri Light" w:eastAsia="Times New Roman" w:hAnsi="Calibri Light" w:cs="Calibri Light"/>
      <w:i/>
      <w:iCs/>
      <w:color w:val="2E74B5"/>
      <w:szCs w:val="21"/>
    </w:rPr>
  </w:style>
  <w:style w:type="character" w:styleId="Hypertextovodkaz">
    <w:name w:val="Hyperlink"/>
    <w:basedOn w:val="Standardnpsmoodstavce"/>
    <w:rPr>
      <w:color w:val="0563C1"/>
      <w:u w:val="single"/>
    </w:rPr>
  </w:style>
  <w:style w:type="character" w:customStyle="1" w:styleId="text">
    <w:name w:val="text"/>
    <w:basedOn w:val="Standardnpsmoodstavce"/>
  </w:style>
  <w:style w:type="character" w:customStyle="1" w:styleId="ZkladntextChar">
    <w:name w:val="Základní text Char"/>
    <w:basedOn w:val="Standardnpsmoodstavce"/>
    <w:rPr>
      <w:rFonts w:eastAsia="Times New Roman" w:cs="Times New Roman"/>
      <w:color w:val="000000"/>
      <w:kern w:val="0"/>
      <w:szCs w:val="20"/>
      <w:lang w:eastAsia="cs-CZ" w:bidi="ar-SA"/>
    </w:rPr>
  </w:style>
  <w:style w:type="character" w:customStyle="1" w:styleId="ZpatChar">
    <w:name w:val="Zápatí Char"/>
    <w:basedOn w:val="Standardnpsmoodstavce"/>
    <w:rPr>
      <w:rFonts w:eastAsia="Times New Roman" w:cs="Times New Roman"/>
      <w:sz w:val="20"/>
      <w:szCs w:val="20"/>
      <w:lang w:bidi="ar-SA"/>
    </w:rPr>
  </w:style>
  <w:style w:type="character" w:customStyle="1" w:styleId="TextkomenteChar1">
    <w:name w:val="Text komentáře Char1"/>
    <w:basedOn w:val="Standardnpsmoodstavce"/>
    <w:rPr>
      <w:sz w:val="20"/>
      <w:szCs w:val="18"/>
    </w:rPr>
  </w:style>
  <w:style w:type="character" w:customStyle="1" w:styleId="PedmtkomenteChar">
    <w:name w:val="Předmět komentáře Char"/>
    <w:basedOn w:val="TextkomenteChar1"/>
    <w:rPr>
      <w:b/>
      <w:bCs/>
      <w:sz w:val="20"/>
      <w:szCs w:val="18"/>
    </w:rPr>
  </w:style>
  <w:style w:type="numbering" w:customStyle="1" w:styleId="WW8Num61">
    <w:name w:val="WW8Num6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8Num20">
    <w:name w:val="WW8Num20"/>
    <w:basedOn w:val="Bezseznamu"/>
    <w:pPr>
      <w:numPr>
        <w:numId w:val="21"/>
      </w:numPr>
    </w:pPr>
  </w:style>
  <w:style w:type="numbering" w:customStyle="1" w:styleId="WW8Num21">
    <w:name w:val="WW8Num21"/>
    <w:basedOn w:val="Bezseznamu"/>
    <w:pPr>
      <w:numPr>
        <w:numId w:val="22"/>
      </w:numPr>
    </w:pPr>
  </w:style>
  <w:style w:type="numbering" w:customStyle="1" w:styleId="WW8Num22">
    <w:name w:val="WW8Num22"/>
    <w:basedOn w:val="Bezseznamu"/>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hazkova@muzeumc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5853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pronájmu nebytových prostor</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nebytových prostor</dc:title>
  <dc:creator>Slabý J.</dc:creator>
  <cp:lastModifiedBy>Gabriela Mothejzíková</cp:lastModifiedBy>
  <cp:revision>2</cp:revision>
  <cp:lastPrinted>2022-04-01T07:59:00Z</cp:lastPrinted>
  <dcterms:created xsi:type="dcterms:W3CDTF">2022-04-29T07:49:00Z</dcterms:created>
  <dcterms:modified xsi:type="dcterms:W3CDTF">2022-04-29T07:49:00Z</dcterms:modified>
</cp:coreProperties>
</file>