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1CBA2AF3" w:rsidR="00074694" w:rsidRDefault="00B57DAC" w:rsidP="005A1A1D">
      <w:pPr>
        <w:keepNext/>
        <w:spacing w:before="360" w:after="0"/>
        <w:ind w:left="5449"/>
        <w:contextualSpacing/>
      </w:pPr>
      <w:r>
        <w:t>Natura-monitoring</w:t>
      </w:r>
      <w:r w:rsidR="00DA2622">
        <w:t>:</w:t>
      </w:r>
      <w:r>
        <w:tab/>
      </w:r>
      <w:r w:rsidR="00ED6BE4">
        <w:t>N60/2022</w:t>
      </w:r>
    </w:p>
    <w:p w14:paraId="165B864C" w14:textId="6D931CD6" w:rsidR="00074694" w:rsidRDefault="00B57DAC" w:rsidP="005A1A1D">
      <w:pPr>
        <w:keepNext/>
        <w:spacing w:before="360" w:after="0"/>
        <w:ind w:left="5449"/>
        <w:contextualSpacing/>
      </w:pPr>
      <w:r>
        <w:t xml:space="preserve">Číslo smlouvy: </w:t>
      </w:r>
      <w:r w:rsidR="00074694">
        <w:tab/>
      </w:r>
      <w:r w:rsidR="00ED6BE4">
        <w:t xml:space="preserve">   03044/SOPK/22</w:t>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386C47">
      <w:pPr>
        <w:pStyle w:val="nadpismj"/>
        <w:numPr>
          <w:ilvl w:val="1"/>
          <w:numId w:val="11"/>
        </w:numPr>
        <w:spacing w:before="120" w:after="120"/>
        <w:ind w:left="0" w:firstLine="0"/>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7A5E5290"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r w:rsidR="001C4DD9">
        <w:rPr>
          <w:szCs w:val="22"/>
        </w:rPr>
        <w:t>xxxxx</w:t>
      </w:r>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CB7995">
      <w:pPr>
        <w:pStyle w:val="nadpismj"/>
        <w:numPr>
          <w:ilvl w:val="1"/>
          <w:numId w:val="11"/>
        </w:numPr>
        <w:spacing w:before="120" w:after="120"/>
        <w:ind w:left="0" w:firstLine="0"/>
        <w:jc w:val="both"/>
        <w:rPr>
          <w:b w:val="0"/>
          <w:bCs w:val="0"/>
          <w:sz w:val="22"/>
          <w:szCs w:val="22"/>
        </w:rPr>
      </w:pPr>
      <w:r w:rsidRPr="00E25709">
        <w:rPr>
          <w:spacing w:val="0"/>
          <w:sz w:val="22"/>
          <w:szCs w:val="22"/>
        </w:rPr>
        <w:t>Zhotovitel</w:t>
      </w:r>
    </w:p>
    <w:p w14:paraId="1A335021" w14:textId="7A69B02B" w:rsidR="00EE1B4F" w:rsidRPr="00E76963" w:rsidRDefault="00DB3F77" w:rsidP="006019A7">
      <w:pPr>
        <w:keepNext/>
        <w:spacing w:before="0" w:after="0"/>
        <w:jc w:val="both"/>
        <w:rPr>
          <w:rFonts w:eastAsia="Calibri"/>
          <w:b/>
          <w:bCs/>
          <w:spacing w:val="16"/>
          <w:szCs w:val="22"/>
          <w:lang w:eastAsia="cs-CZ"/>
        </w:rPr>
      </w:pPr>
      <w:r>
        <w:rPr>
          <w:b/>
          <w:szCs w:val="22"/>
        </w:rPr>
        <w:t>Projekty pro krajinu, s.r.o.</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AC20B66" w14:textId="671E3106" w:rsidR="00AD3ABC"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B3F77">
        <w:rPr>
          <w:shd w:val="clear" w:color="auto" w:fill="FFFFFF"/>
        </w:rPr>
        <w:t>Ondráčkova 556/199, Líšeň, 628 00 Brno</w:t>
      </w:r>
    </w:p>
    <w:p w14:paraId="34AAE36D" w14:textId="3839A7A8"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B3F77">
        <w:rPr>
          <w:shd w:val="clear" w:color="auto" w:fill="FFFFFF"/>
        </w:rPr>
        <w:t>038 79 640</w:t>
      </w:r>
    </w:p>
    <w:p w14:paraId="1AE395A8" w14:textId="2664F076" w:rsidR="001B4E81" w:rsidRDefault="006019A7" w:rsidP="006019A7">
      <w:pPr>
        <w:spacing w:before="0" w:after="0"/>
        <w:rPr>
          <w:bCs/>
          <w:szCs w:val="22"/>
        </w:rPr>
      </w:pPr>
      <w:r w:rsidRPr="005B0D1A">
        <w:rPr>
          <w:bCs/>
          <w:szCs w:val="22"/>
        </w:rPr>
        <w:t xml:space="preserve">Zhotovitel </w:t>
      </w:r>
      <w:r w:rsidRPr="00394553">
        <w:rPr>
          <w:bCs/>
          <w:szCs w:val="22"/>
        </w:rPr>
        <w:t>není p</w:t>
      </w:r>
      <w:r w:rsidRPr="005B0D1A">
        <w:rPr>
          <w:bCs/>
          <w:szCs w:val="22"/>
        </w:rPr>
        <w:t>látcem DPH</w:t>
      </w:r>
    </w:p>
    <w:p w14:paraId="27F10555" w14:textId="09ADB909" w:rsidR="001B4E81" w:rsidRDefault="006019A7" w:rsidP="006019A7">
      <w:pPr>
        <w:spacing w:before="0" w:after="0"/>
        <w:rPr>
          <w:bCs/>
          <w:szCs w:val="22"/>
        </w:rPr>
      </w:pPr>
      <w:r w:rsidRPr="005B0D1A">
        <w:rPr>
          <w:bCs/>
          <w:szCs w:val="22"/>
        </w:rPr>
        <w:t xml:space="preserve">Bankovní spojení: </w:t>
      </w:r>
      <w:r w:rsidR="0002520A">
        <w:rPr>
          <w:bCs/>
          <w:szCs w:val="22"/>
        </w:rPr>
        <w:tab/>
      </w:r>
      <w:r w:rsidR="0002520A">
        <w:rPr>
          <w:bCs/>
          <w:szCs w:val="22"/>
        </w:rPr>
        <w:tab/>
      </w:r>
      <w:r w:rsidR="00DB3F77">
        <w:rPr>
          <w:bCs/>
          <w:szCs w:val="22"/>
        </w:rPr>
        <w:t>Fio banka</w:t>
      </w:r>
      <w:r w:rsidR="00F5005C">
        <w:rPr>
          <w:bCs/>
          <w:szCs w:val="22"/>
        </w:rPr>
        <w:t>, a.s.</w:t>
      </w:r>
      <w:r w:rsidR="000428C0">
        <w:rPr>
          <w:bCs/>
          <w:szCs w:val="22"/>
          <w:lang w:eastAsia="cs-CZ"/>
        </w:rPr>
        <w:t>, číslo účtu:</w:t>
      </w:r>
      <w:r w:rsidR="00DB3F77">
        <w:rPr>
          <w:bCs/>
          <w:szCs w:val="22"/>
          <w:lang w:eastAsia="cs-CZ"/>
        </w:rPr>
        <w:t xml:space="preserve"> 2000762215/2010</w:t>
      </w:r>
    </w:p>
    <w:p w14:paraId="6466434D" w14:textId="204FEDD9"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DB3F77">
        <w:rPr>
          <w:bCs/>
          <w:szCs w:val="22"/>
        </w:rPr>
        <w:t>Ing. Darek Lacina</w:t>
      </w:r>
    </w:p>
    <w:p w14:paraId="4230CE5E" w14:textId="2F04E488"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r w:rsidR="001C4DD9">
        <w:rPr>
          <w:bCs/>
          <w:szCs w:val="22"/>
          <w:lang w:eastAsia="cs-CZ"/>
        </w:rPr>
        <w:t>xxxxx</w:t>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5A695D48"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w:t>
      </w:r>
      <w:r w:rsidR="00781AE4">
        <w:rPr>
          <w:spacing w:val="0"/>
          <w:sz w:val="22"/>
          <w:szCs w:val="22"/>
          <w:lang w:val="cs-CZ"/>
        </w:rPr>
        <w:t>2</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0267C6">
        <w:rPr>
          <w:spacing w:val="0"/>
          <w:sz w:val="22"/>
          <w:szCs w:val="22"/>
          <w:lang w:val="cs-CZ"/>
        </w:rPr>
        <w:t>88</w:t>
      </w:r>
      <w:r w:rsidR="00394553" w:rsidRPr="00394553">
        <w:rPr>
          <w:spacing w:val="0"/>
          <w:sz w:val="22"/>
          <w:szCs w:val="22"/>
          <w:lang w:val="cs-CZ"/>
        </w:rPr>
        <w:t xml:space="preserve"> </w:t>
      </w:r>
      <w:r w:rsidR="004D4A9F">
        <w:rPr>
          <w:spacing w:val="0"/>
          <w:sz w:val="22"/>
          <w:szCs w:val="22"/>
          <w:lang w:val="cs-CZ"/>
        </w:rPr>
        <w:t>–</w:t>
      </w:r>
      <w:r w:rsidR="00394553" w:rsidRPr="00394553">
        <w:rPr>
          <w:spacing w:val="0"/>
          <w:sz w:val="22"/>
          <w:szCs w:val="22"/>
          <w:lang w:val="cs-CZ"/>
        </w:rPr>
        <w:t xml:space="preserve"> </w:t>
      </w:r>
      <w:r w:rsidR="000267C6">
        <w:rPr>
          <w:spacing w:val="0"/>
          <w:sz w:val="22"/>
          <w:szCs w:val="22"/>
          <w:lang w:val="cs-CZ"/>
        </w:rPr>
        <w:t>Rakovecké údolí</w:t>
      </w:r>
      <w:r w:rsidR="00262E64">
        <w:rPr>
          <w:spacing w:val="0"/>
          <w:sz w:val="22"/>
          <w:szCs w:val="22"/>
          <w:lang w:val="cs-CZ"/>
        </w:rPr>
        <w:t xml:space="preserve"> </w:t>
      </w:r>
      <w:r w:rsidR="00262E64">
        <w:rPr>
          <w:b w:val="0"/>
          <w:bCs w:val="0"/>
          <w:spacing w:val="0"/>
          <w:sz w:val="22"/>
          <w:szCs w:val="22"/>
          <w:lang w:val="cs-CZ"/>
        </w:rPr>
        <w:t>(</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B50B9">
      <w:pPr>
        <w:pStyle w:val="Odstavecseseznamem"/>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33C5E396" w:rsidR="00500E88" w:rsidRPr="00EC0BF2" w:rsidRDefault="00500E88" w:rsidP="00A863F6">
      <w:pPr>
        <w:pStyle w:val="Odstavecseseznamem"/>
        <w:keepNext/>
        <w:keepLines/>
        <w:tabs>
          <w:tab w:val="left" w:pos="567"/>
        </w:tabs>
        <w:ind w:left="567"/>
        <w:jc w:val="both"/>
        <w:rPr>
          <w:b/>
          <w:szCs w:val="22"/>
          <w:highlight w:val="yellow"/>
        </w:rPr>
      </w:pPr>
      <w:r w:rsidRPr="005A7D34">
        <w:rPr>
          <w:b/>
          <w:szCs w:val="22"/>
        </w:rPr>
        <w:t>Cena v Kč bez 21</w:t>
      </w:r>
      <w:r w:rsidRPr="00394553">
        <w:rPr>
          <w:b/>
          <w:szCs w:val="22"/>
        </w:rPr>
        <w:t xml:space="preserve">% DPH: </w:t>
      </w:r>
      <w:r w:rsidR="00386C47">
        <w:rPr>
          <w:b/>
          <w:szCs w:val="22"/>
        </w:rPr>
        <w:tab/>
      </w:r>
      <w:r w:rsidR="000267C6">
        <w:rPr>
          <w:b/>
          <w:szCs w:val="22"/>
        </w:rPr>
        <w:t>50</w:t>
      </w:r>
      <w:r w:rsidR="00DB3F77">
        <w:rPr>
          <w:b/>
          <w:szCs w:val="22"/>
        </w:rPr>
        <w:t xml:space="preserve"> </w:t>
      </w:r>
      <w:r w:rsidR="000267C6">
        <w:rPr>
          <w:b/>
          <w:szCs w:val="22"/>
        </w:rPr>
        <w:t>890</w:t>
      </w:r>
      <w:r w:rsidR="00394553" w:rsidRPr="00394553">
        <w:rPr>
          <w:b/>
          <w:szCs w:val="22"/>
        </w:rPr>
        <w:t xml:space="preserve"> Kč</w:t>
      </w:r>
    </w:p>
    <w:p w14:paraId="48EB9F14" w14:textId="49B8C869"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386C47">
        <w:rPr>
          <w:b/>
          <w:szCs w:val="22"/>
        </w:rPr>
        <w:tab/>
      </w:r>
      <w:r w:rsidR="000267C6">
        <w:rPr>
          <w:b/>
          <w:szCs w:val="22"/>
        </w:rPr>
        <w:t>50</w:t>
      </w:r>
      <w:r w:rsidR="001A3495">
        <w:rPr>
          <w:b/>
          <w:szCs w:val="22"/>
        </w:rPr>
        <w:t xml:space="preserve"> </w:t>
      </w:r>
      <w:r w:rsidR="000267C6">
        <w:rPr>
          <w:b/>
          <w:szCs w:val="22"/>
        </w:rPr>
        <w:t>890</w:t>
      </w:r>
      <w:r w:rsidR="00394553">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B50B9">
      <w:pPr>
        <w:pStyle w:val="nadpismj"/>
        <w:keepNext w:val="0"/>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B50B9">
      <w:pPr>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Pr>
          <w:rFonts w:eastAsia="Calibri"/>
          <w:bCs/>
          <w:kern w:val="28"/>
          <w:szCs w:val="22"/>
          <w:lang w:eastAsia="cs-CZ"/>
        </w:rPr>
        <w:t>Zhotovitel</w:t>
      </w:r>
      <w:r w:rsidRPr="00477D64">
        <w:rPr>
          <w:rFonts w:eastAsia="Calibri"/>
          <w:bCs/>
          <w:kern w:val="28"/>
          <w:szCs w:val="22"/>
          <w:lang w:eastAsia="cs-CZ"/>
        </w:rPr>
        <w:t>i poskytnuta odměna. Tato bude oproti odměně 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B50B9">
      <w:pPr>
        <w:pStyle w:val="nadpismj"/>
        <w:keepNext w:val="0"/>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26FA465" w:rsidR="00DB042F" w:rsidRPr="00EC0BF2" w:rsidRDefault="00360E7B" w:rsidP="00AB50B9">
      <w:pPr>
        <w:pStyle w:val="nadpismj"/>
        <w:keepNext w:val="0"/>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781AE4">
        <w:rPr>
          <w:spacing w:val="0"/>
          <w:sz w:val="22"/>
          <w:szCs w:val="22"/>
          <w:lang w:val="cs-CZ"/>
        </w:rPr>
        <w:t>2</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2F9E1661"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8E136D">
        <w:rPr>
          <w:b w:val="0"/>
          <w:spacing w:val="0"/>
          <w:sz w:val="22"/>
          <w:szCs w:val="22"/>
          <w:lang w:val="cs-CZ"/>
        </w:rPr>
        <w:t>2</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781AE4">
        <w:rPr>
          <w:b w:val="0"/>
          <w:spacing w:val="0"/>
          <w:sz w:val="22"/>
          <w:szCs w:val="22"/>
          <w:lang w:val="cs-CZ"/>
        </w:rPr>
        <w:t>3</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F908FA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 xml:space="preserve">zapsat do </w:t>
      </w:r>
      <w:r w:rsidR="006611BE">
        <w:rPr>
          <w:rFonts w:eastAsia="Calibri"/>
          <w:bCs/>
          <w:kern w:val="28"/>
          <w:szCs w:val="22"/>
          <w:lang w:eastAsia="cs-CZ"/>
        </w:rPr>
        <w:t>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781AE4">
        <w:rPr>
          <w:rFonts w:eastAsia="Calibri"/>
          <w:b/>
          <w:bCs/>
          <w:kern w:val="28"/>
          <w:szCs w:val="22"/>
          <w:lang w:eastAsia="cs-CZ"/>
        </w:rPr>
        <w:t>2</w:t>
      </w:r>
      <w:r w:rsidR="0086261C" w:rsidRPr="00EC0BF2">
        <w:rPr>
          <w:rFonts w:eastAsia="Calibri"/>
          <w:bCs/>
          <w:kern w:val="28"/>
          <w:szCs w:val="22"/>
          <w:lang w:eastAsia="cs-CZ"/>
        </w:rPr>
        <w:t xml:space="preserve">. </w:t>
      </w:r>
    </w:p>
    <w:p w14:paraId="5D71C8DE" w14:textId="67E40508"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781AE4">
        <w:rPr>
          <w:rFonts w:eastAsia="Calibri"/>
          <w:b/>
          <w:bCs/>
          <w:kern w:val="28"/>
          <w:szCs w:val="22"/>
          <w:lang w:eastAsia="cs-CZ"/>
        </w:rPr>
        <w:t>3</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3F650031"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6936CC">
        <w:rPr>
          <w:b w:val="0"/>
          <w:spacing w:val="0"/>
          <w:sz w:val="22"/>
          <w:szCs w:val="22"/>
          <w:lang w:val="cs-CZ"/>
        </w:rPr>
        <w:t>2</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781AE4">
        <w:rPr>
          <w:b w:val="0"/>
          <w:spacing w:val="0"/>
          <w:sz w:val="22"/>
          <w:szCs w:val="22"/>
          <w:lang w:val="cs-CZ"/>
        </w:rPr>
        <w:t>2</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4E3339">
      <w:pPr>
        <w:pStyle w:val="nadpismj"/>
        <w:keepLines/>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9FEF198"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781AE4">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781AE4">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0"/>
      <w:r w:rsidR="006F116D" w:rsidRPr="006F116D">
        <w:rPr>
          <w:rFonts w:eastAsia="Calibri"/>
          <w:bCs/>
          <w:kern w:val="28"/>
          <w:szCs w:val="22"/>
          <w:lang w:eastAsia="cs-CZ"/>
        </w:rPr>
        <w:t xml:space="preserve"> </w:t>
      </w:r>
    </w:p>
    <w:p w14:paraId="6893481B" w14:textId="6AFB5823"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781AE4">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101598">
      <w:pPr>
        <w:pStyle w:val="Odstavecseseznamem"/>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101598">
      <w:pPr>
        <w:pStyle w:val="Odstavecseseznamem"/>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101598">
      <w:pPr>
        <w:pStyle w:val="Odstavecseseznamem"/>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101598">
      <w:pPr>
        <w:pStyle w:val="Odstavecseseznamem"/>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101598">
      <w:pPr>
        <w:pStyle w:val="Odstavecseseznamem"/>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67A6E287" w:rsidR="00EB282C" w:rsidRPr="003958DA" w:rsidRDefault="00EB282C" w:rsidP="00004EA3">
      <w:pPr>
        <w:pStyle w:val="Zkladntextodsazen"/>
        <w:keepNext/>
        <w:keepLines/>
        <w:tabs>
          <w:tab w:val="left" w:pos="1125"/>
          <w:tab w:val="left" w:pos="1276"/>
        </w:tabs>
        <w:ind w:left="0"/>
      </w:pPr>
      <w:r w:rsidRPr="003958DA">
        <w:t xml:space="preserve">V </w:t>
      </w:r>
      <w:r w:rsidR="00093A23">
        <w:rPr>
          <w:lang w:val="cs-CZ"/>
        </w:rPr>
        <w:t>Praze</w:t>
      </w:r>
      <w:r w:rsidRPr="003958DA">
        <w:tab/>
      </w:r>
      <w:r w:rsidR="00004EA3">
        <w:rPr>
          <w:lang w:val="cs-CZ"/>
        </w:rPr>
        <w:t>26.4.2022</w:t>
      </w:r>
      <w:r w:rsidR="00093A23">
        <w:tab/>
      </w:r>
      <w:r w:rsidR="00093A23">
        <w:tab/>
      </w:r>
      <w:r w:rsidR="00093A23">
        <w:tab/>
      </w:r>
      <w:r w:rsidR="004636CC">
        <w:tab/>
      </w:r>
      <w:r w:rsidR="004636CC">
        <w:tab/>
      </w:r>
      <w:r w:rsidR="004636CC">
        <w:tab/>
      </w:r>
      <w:r w:rsidR="004636CC">
        <w:tab/>
      </w:r>
      <w:r w:rsidRPr="003958DA">
        <w:t>V</w:t>
      </w:r>
      <w:r w:rsidR="00004EA3">
        <w:rPr>
          <w:lang w:val="cs-CZ"/>
        </w:rPr>
        <w:t> </w:t>
      </w:r>
      <w:r w:rsidR="00386C47">
        <w:rPr>
          <w:lang w:val="cs-CZ"/>
        </w:rPr>
        <w:t>Brně</w:t>
      </w:r>
      <w:r w:rsidR="00004EA3">
        <w:rPr>
          <w:lang w:val="cs-CZ"/>
        </w:rPr>
        <w:t xml:space="preserve"> 1.3.2022</w:t>
      </w:r>
      <w:bookmarkStart w:id="1" w:name="_GoBack"/>
      <w:bookmarkEnd w:id="1"/>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6A6B2A4F" w:rsidR="00E233D0" w:rsidRPr="005B0D1A" w:rsidRDefault="00DB3F77" w:rsidP="005A1A1D">
            <w:pPr>
              <w:pStyle w:val="Zptenadresanaoblku"/>
              <w:keepNext/>
              <w:keepLines/>
              <w:tabs>
                <w:tab w:val="left" w:pos="5103"/>
              </w:tabs>
              <w:jc w:val="center"/>
              <w:rPr>
                <w:rFonts w:ascii="Arial" w:hAnsi="Arial" w:cs="Arial"/>
              </w:rPr>
            </w:pPr>
            <w:r>
              <w:rPr>
                <w:rFonts w:ascii="Arial" w:hAnsi="Arial" w:cs="Arial"/>
              </w:rPr>
              <w:t>Ing. Darek Lacina, jednatel</w:t>
            </w:r>
          </w:p>
        </w:tc>
      </w:tr>
      <w:tr w:rsidR="00E233D0" w:rsidRPr="003958DA" w14:paraId="548D3FD8" w14:textId="77777777" w:rsidTr="0003656E">
        <w:tc>
          <w:tcPr>
            <w:tcW w:w="3700" w:type="dxa"/>
          </w:tcPr>
          <w:p w14:paraId="26AD3CE9"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Ředitel AOPK ČR</w:t>
            </w: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738E28E5" w:rsidR="00E233D0" w:rsidRPr="005B0D1A" w:rsidRDefault="00DB3F77" w:rsidP="00DB3F77">
            <w:pPr>
              <w:pStyle w:val="Zptenadresanaoblku"/>
              <w:keepNext/>
              <w:keepLines/>
              <w:tabs>
                <w:tab w:val="left" w:pos="5103"/>
              </w:tabs>
              <w:jc w:val="center"/>
              <w:rPr>
                <w:rFonts w:ascii="Arial" w:hAnsi="Arial" w:cs="Arial"/>
              </w:rPr>
            </w:pPr>
            <w:r>
              <w:rPr>
                <w:rFonts w:ascii="Arial" w:hAnsi="Arial" w:cs="Arial"/>
              </w:rPr>
              <w:t>Projekty pro krajinu, s.r.o.</w:t>
            </w:r>
          </w:p>
        </w:tc>
      </w:tr>
      <w:tr w:rsidR="00DB3F77" w:rsidRPr="003958DA" w14:paraId="7C1D6976" w14:textId="77777777" w:rsidTr="0003656E">
        <w:tc>
          <w:tcPr>
            <w:tcW w:w="3700" w:type="dxa"/>
          </w:tcPr>
          <w:p w14:paraId="31B70AAC" w14:textId="77777777" w:rsidR="00DB3F77" w:rsidRDefault="00DB3F77" w:rsidP="00DB3F77">
            <w:pPr>
              <w:pStyle w:val="Zptenadresanaoblku"/>
              <w:keepNext/>
              <w:keepLines/>
              <w:tabs>
                <w:tab w:val="left" w:pos="5103"/>
              </w:tabs>
              <w:rPr>
                <w:rFonts w:ascii="Arial" w:hAnsi="Arial" w:cs="Arial"/>
              </w:rPr>
            </w:pPr>
          </w:p>
        </w:tc>
        <w:tc>
          <w:tcPr>
            <w:tcW w:w="1332" w:type="dxa"/>
          </w:tcPr>
          <w:p w14:paraId="56212540" w14:textId="77777777" w:rsidR="00DB3F77" w:rsidRPr="003958DA" w:rsidRDefault="00DB3F77" w:rsidP="005A1A1D">
            <w:pPr>
              <w:pStyle w:val="Zptenadresanaoblku"/>
              <w:keepNext/>
              <w:keepLines/>
              <w:tabs>
                <w:tab w:val="left" w:pos="5103"/>
              </w:tabs>
              <w:jc w:val="center"/>
              <w:rPr>
                <w:rFonts w:ascii="Arial" w:hAnsi="Arial" w:cs="Arial"/>
              </w:rPr>
            </w:pPr>
          </w:p>
        </w:tc>
        <w:tc>
          <w:tcPr>
            <w:tcW w:w="4178" w:type="dxa"/>
          </w:tcPr>
          <w:p w14:paraId="509EEE00" w14:textId="77777777" w:rsidR="00DB3F77" w:rsidRPr="005B0D1A" w:rsidRDefault="00DB3F77"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t>Příloha č. 1 smlouvy</w:t>
      </w:r>
    </w:p>
    <w:p w14:paraId="4565AF39" w14:textId="77777777" w:rsidR="00A27F07" w:rsidRPr="004A7022" w:rsidRDefault="00A27F07" w:rsidP="005A1A1D">
      <w:pPr>
        <w:keepNext/>
        <w:keepLines/>
        <w:tabs>
          <w:tab w:val="right" w:pos="9072"/>
        </w:tabs>
        <w:rPr>
          <w:b/>
          <w:bCs/>
          <w:szCs w:val="22"/>
        </w:rPr>
      </w:pPr>
      <w:bookmarkStart w:id="2" w:name="_Hlk88826456"/>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7F0D341C" w:rsidR="00A27F07" w:rsidRPr="004A7022" w:rsidRDefault="00DB3F77" w:rsidP="005A1A1D">
      <w:pPr>
        <w:keepNext/>
        <w:keepLines/>
        <w:tabs>
          <w:tab w:val="right" w:pos="9072"/>
        </w:tabs>
        <w:rPr>
          <w:szCs w:val="22"/>
        </w:rPr>
      </w:pPr>
      <w:r>
        <w:rPr>
          <w:bCs/>
          <w:szCs w:val="22"/>
          <w:lang w:eastAsia="cs-CZ"/>
        </w:rPr>
        <w:t>Ing. Darek Lacina</w:t>
      </w:r>
    </w:p>
    <w:p w14:paraId="7915BDAE" w14:textId="77777777" w:rsidR="00F52D22" w:rsidRDefault="00F52D22" w:rsidP="005B0D1A">
      <w:pPr>
        <w:pStyle w:val="Bezmezer"/>
        <w:rPr>
          <w:sz w:val="22"/>
          <w:szCs w:val="22"/>
        </w:rPr>
      </w:pPr>
    </w:p>
    <w:p w14:paraId="521AA795" w14:textId="5EED9C6A"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p w14:paraId="639BE435" w14:textId="14FF5CCB" w:rsidR="00A27F07" w:rsidRDefault="00542018" w:rsidP="00F52D22">
      <w:pPr>
        <w:keepNext/>
        <w:keepLines/>
        <w:tabs>
          <w:tab w:val="right" w:pos="9072"/>
        </w:tabs>
      </w:pPr>
      <w:r>
        <w:rPr>
          <w:szCs w:val="22"/>
        </w:rPr>
        <w:t>Jednatel</w:t>
      </w:r>
      <w:bookmarkEnd w:id="2"/>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D90FE" w14:textId="77777777" w:rsidR="000D4FC6" w:rsidRDefault="000D4FC6" w:rsidP="00307694">
      <w:pPr>
        <w:spacing w:before="0" w:after="0" w:line="240" w:lineRule="auto"/>
      </w:pPr>
      <w:r>
        <w:separator/>
      </w:r>
    </w:p>
    <w:p w14:paraId="6CA027FA" w14:textId="77777777" w:rsidR="000D4FC6" w:rsidRDefault="000D4FC6"/>
  </w:endnote>
  <w:endnote w:type="continuationSeparator" w:id="0">
    <w:p w14:paraId="189C7D1B" w14:textId="77777777" w:rsidR="000D4FC6" w:rsidRDefault="000D4FC6" w:rsidP="00307694">
      <w:pPr>
        <w:spacing w:before="0" w:after="0" w:line="240" w:lineRule="auto"/>
      </w:pPr>
      <w:r>
        <w:continuationSeparator/>
      </w:r>
    </w:p>
    <w:p w14:paraId="46783519" w14:textId="77777777" w:rsidR="000D4FC6" w:rsidRDefault="000D4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0021BA3F" w:rsidR="00C178DA" w:rsidRPr="00EC0BF2" w:rsidRDefault="00C178DA" w:rsidP="00EC0BF2">
    <w:pPr>
      <w:pStyle w:val="Zpat"/>
      <w:jc w:val="center"/>
      <w:rPr>
        <w:lang w:val="cs-CZ"/>
      </w:rPr>
    </w:pPr>
    <w:r>
      <w:fldChar w:fldCharType="begin"/>
    </w:r>
    <w:r>
      <w:instrText>PAGE   \* MERGEFORMAT</w:instrText>
    </w:r>
    <w:r>
      <w:fldChar w:fldCharType="separate"/>
    </w:r>
    <w:r w:rsidR="00004EA3" w:rsidRPr="00004EA3">
      <w:rPr>
        <w:noProof/>
        <w:lang w:val="cs-CZ"/>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4B851" w14:textId="77777777" w:rsidR="000D4FC6" w:rsidRDefault="000D4FC6" w:rsidP="00307694">
      <w:pPr>
        <w:spacing w:before="0" w:after="0" w:line="240" w:lineRule="auto"/>
      </w:pPr>
      <w:r>
        <w:separator/>
      </w:r>
    </w:p>
    <w:p w14:paraId="757FCFCB" w14:textId="77777777" w:rsidR="000D4FC6" w:rsidRDefault="000D4FC6"/>
  </w:footnote>
  <w:footnote w:type="continuationSeparator" w:id="0">
    <w:p w14:paraId="774E0151" w14:textId="77777777" w:rsidR="000D4FC6" w:rsidRDefault="000D4FC6" w:rsidP="00307694">
      <w:pPr>
        <w:spacing w:before="0" w:after="0" w:line="240" w:lineRule="auto"/>
      </w:pPr>
      <w:r>
        <w:continuationSeparator/>
      </w:r>
    </w:p>
    <w:p w14:paraId="06958700" w14:textId="77777777" w:rsidR="000D4FC6" w:rsidRDefault="000D4F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4EA3"/>
    <w:rsid w:val="00006A44"/>
    <w:rsid w:val="000134AA"/>
    <w:rsid w:val="000233BA"/>
    <w:rsid w:val="0002520A"/>
    <w:rsid w:val="0002602D"/>
    <w:rsid w:val="000263BD"/>
    <w:rsid w:val="000267C6"/>
    <w:rsid w:val="00031A0C"/>
    <w:rsid w:val="000346CA"/>
    <w:rsid w:val="0003656E"/>
    <w:rsid w:val="000428C0"/>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29AB"/>
    <w:rsid w:val="000B6897"/>
    <w:rsid w:val="000C3EE7"/>
    <w:rsid w:val="000C66D2"/>
    <w:rsid w:val="000C72FE"/>
    <w:rsid w:val="000D4FC6"/>
    <w:rsid w:val="000E184E"/>
    <w:rsid w:val="000F3806"/>
    <w:rsid w:val="000F5B6D"/>
    <w:rsid w:val="00101598"/>
    <w:rsid w:val="001036D6"/>
    <w:rsid w:val="001044F7"/>
    <w:rsid w:val="00122593"/>
    <w:rsid w:val="00122A19"/>
    <w:rsid w:val="00122B63"/>
    <w:rsid w:val="00127750"/>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3495"/>
    <w:rsid w:val="001A51C1"/>
    <w:rsid w:val="001A5825"/>
    <w:rsid w:val="001A700A"/>
    <w:rsid w:val="001A76E3"/>
    <w:rsid w:val="001A7870"/>
    <w:rsid w:val="001B0C0D"/>
    <w:rsid w:val="001B1B2A"/>
    <w:rsid w:val="001B2A31"/>
    <w:rsid w:val="001B4E81"/>
    <w:rsid w:val="001B678C"/>
    <w:rsid w:val="001B6A8C"/>
    <w:rsid w:val="001C12BE"/>
    <w:rsid w:val="001C49A8"/>
    <w:rsid w:val="001C4DD9"/>
    <w:rsid w:val="001C6F64"/>
    <w:rsid w:val="001C72B8"/>
    <w:rsid w:val="001D0061"/>
    <w:rsid w:val="001D4322"/>
    <w:rsid w:val="001D4F30"/>
    <w:rsid w:val="001D57B3"/>
    <w:rsid w:val="001E2FF5"/>
    <w:rsid w:val="001E31F3"/>
    <w:rsid w:val="001F1E26"/>
    <w:rsid w:val="001F2198"/>
    <w:rsid w:val="002009CA"/>
    <w:rsid w:val="00200FCC"/>
    <w:rsid w:val="00203720"/>
    <w:rsid w:val="00203A94"/>
    <w:rsid w:val="002057E6"/>
    <w:rsid w:val="0021267E"/>
    <w:rsid w:val="00213DBE"/>
    <w:rsid w:val="00214B28"/>
    <w:rsid w:val="00216098"/>
    <w:rsid w:val="00216C3B"/>
    <w:rsid w:val="0022272D"/>
    <w:rsid w:val="00226E6B"/>
    <w:rsid w:val="00233B9B"/>
    <w:rsid w:val="00235E66"/>
    <w:rsid w:val="00237BC1"/>
    <w:rsid w:val="00244CA6"/>
    <w:rsid w:val="0024676A"/>
    <w:rsid w:val="002479AC"/>
    <w:rsid w:val="00255F9F"/>
    <w:rsid w:val="00256358"/>
    <w:rsid w:val="00262E64"/>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2F7C5A"/>
    <w:rsid w:val="0030082D"/>
    <w:rsid w:val="003052F5"/>
    <w:rsid w:val="00305701"/>
    <w:rsid w:val="0030584C"/>
    <w:rsid w:val="00307694"/>
    <w:rsid w:val="00311CB3"/>
    <w:rsid w:val="00313866"/>
    <w:rsid w:val="00316768"/>
    <w:rsid w:val="00320D10"/>
    <w:rsid w:val="0032169F"/>
    <w:rsid w:val="00324AC4"/>
    <w:rsid w:val="00331804"/>
    <w:rsid w:val="003340DF"/>
    <w:rsid w:val="003353CB"/>
    <w:rsid w:val="003425C0"/>
    <w:rsid w:val="00346453"/>
    <w:rsid w:val="00353221"/>
    <w:rsid w:val="00353984"/>
    <w:rsid w:val="003543F1"/>
    <w:rsid w:val="00360E7B"/>
    <w:rsid w:val="003616C4"/>
    <w:rsid w:val="00364684"/>
    <w:rsid w:val="00366006"/>
    <w:rsid w:val="00366769"/>
    <w:rsid w:val="00371712"/>
    <w:rsid w:val="00373319"/>
    <w:rsid w:val="00384B5E"/>
    <w:rsid w:val="00386327"/>
    <w:rsid w:val="00386C47"/>
    <w:rsid w:val="00386DF6"/>
    <w:rsid w:val="00392641"/>
    <w:rsid w:val="00392758"/>
    <w:rsid w:val="00393CDE"/>
    <w:rsid w:val="00394553"/>
    <w:rsid w:val="003A32AD"/>
    <w:rsid w:val="003A4C9F"/>
    <w:rsid w:val="003A58D3"/>
    <w:rsid w:val="003B7C23"/>
    <w:rsid w:val="003C6E47"/>
    <w:rsid w:val="003E0D6D"/>
    <w:rsid w:val="003E268F"/>
    <w:rsid w:val="003E42A8"/>
    <w:rsid w:val="003F42AA"/>
    <w:rsid w:val="003F50F6"/>
    <w:rsid w:val="004023B1"/>
    <w:rsid w:val="00403F8A"/>
    <w:rsid w:val="00410641"/>
    <w:rsid w:val="004123CD"/>
    <w:rsid w:val="00413E3B"/>
    <w:rsid w:val="0042038F"/>
    <w:rsid w:val="00422C44"/>
    <w:rsid w:val="004266FE"/>
    <w:rsid w:val="00430B25"/>
    <w:rsid w:val="00431825"/>
    <w:rsid w:val="00435067"/>
    <w:rsid w:val="00437072"/>
    <w:rsid w:val="004428F0"/>
    <w:rsid w:val="00443611"/>
    <w:rsid w:val="0044579F"/>
    <w:rsid w:val="0044676F"/>
    <w:rsid w:val="00451D8A"/>
    <w:rsid w:val="00453A07"/>
    <w:rsid w:val="00455B8A"/>
    <w:rsid w:val="00455E2F"/>
    <w:rsid w:val="00457131"/>
    <w:rsid w:val="00461EDA"/>
    <w:rsid w:val="004636CC"/>
    <w:rsid w:val="00464841"/>
    <w:rsid w:val="00473901"/>
    <w:rsid w:val="00477D64"/>
    <w:rsid w:val="0048367A"/>
    <w:rsid w:val="00486E58"/>
    <w:rsid w:val="004914E9"/>
    <w:rsid w:val="0049537E"/>
    <w:rsid w:val="004A1169"/>
    <w:rsid w:val="004A3050"/>
    <w:rsid w:val="004A5F10"/>
    <w:rsid w:val="004A7022"/>
    <w:rsid w:val="004B13FC"/>
    <w:rsid w:val="004B356C"/>
    <w:rsid w:val="004B53D9"/>
    <w:rsid w:val="004C6E10"/>
    <w:rsid w:val="004C6E2F"/>
    <w:rsid w:val="004C71F5"/>
    <w:rsid w:val="004D1587"/>
    <w:rsid w:val="004D3F45"/>
    <w:rsid w:val="004D4A9F"/>
    <w:rsid w:val="004D4B96"/>
    <w:rsid w:val="004D4C6E"/>
    <w:rsid w:val="004D578F"/>
    <w:rsid w:val="004D74F0"/>
    <w:rsid w:val="004E21C0"/>
    <w:rsid w:val="004E3339"/>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018"/>
    <w:rsid w:val="00542A7D"/>
    <w:rsid w:val="00542D96"/>
    <w:rsid w:val="005431E7"/>
    <w:rsid w:val="005527CE"/>
    <w:rsid w:val="005537EC"/>
    <w:rsid w:val="00556CEC"/>
    <w:rsid w:val="005574EF"/>
    <w:rsid w:val="00561250"/>
    <w:rsid w:val="00567E47"/>
    <w:rsid w:val="005775C7"/>
    <w:rsid w:val="00587348"/>
    <w:rsid w:val="005925AB"/>
    <w:rsid w:val="005957AC"/>
    <w:rsid w:val="0059777D"/>
    <w:rsid w:val="005A1A1D"/>
    <w:rsid w:val="005A2CD1"/>
    <w:rsid w:val="005A7D34"/>
    <w:rsid w:val="005B08A8"/>
    <w:rsid w:val="005B0D1A"/>
    <w:rsid w:val="005B2AC3"/>
    <w:rsid w:val="005B76C5"/>
    <w:rsid w:val="005B7F28"/>
    <w:rsid w:val="005C0FB7"/>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36CC"/>
    <w:rsid w:val="00695B2A"/>
    <w:rsid w:val="00696827"/>
    <w:rsid w:val="006A1A20"/>
    <w:rsid w:val="006B0F55"/>
    <w:rsid w:val="006B2328"/>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56B8"/>
    <w:rsid w:val="00826DDF"/>
    <w:rsid w:val="00830FBC"/>
    <w:rsid w:val="00831D82"/>
    <w:rsid w:val="00835839"/>
    <w:rsid w:val="00836F04"/>
    <w:rsid w:val="0084239D"/>
    <w:rsid w:val="00842B82"/>
    <w:rsid w:val="00843CC1"/>
    <w:rsid w:val="008463E7"/>
    <w:rsid w:val="00846BF4"/>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E136D"/>
    <w:rsid w:val="008E4A17"/>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0B9"/>
    <w:rsid w:val="00AB51EA"/>
    <w:rsid w:val="00AC1417"/>
    <w:rsid w:val="00AC2BA6"/>
    <w:rsid w:val="00AC368E"/>
    <w:rsid w:val="00AC3977"/>
    <w:rsid w:val="00AD3ABC"/>
    <w:rsid w:val="00AD52F0"/>
    <w:rsid w:val="00AD7A1C"/>
    <w:rsid w:val="00AE1E39"/>
    <w:rsid w:val="00AE207E"/>
    <w:rsid w:val="00AF21F2"/>
    <w:rsid w:val="00AF33C7"/>
    <w:rsid w:val="00AF5ED0"/>
    <w:rsid w:val="00B0046F"/>
    <w:rsid w:val="00B072A6"/>
    <w:rsid w:val="00B0747E"/>
    <w:rsid w:val="00B15055"/>
    <w:rsid w:val="00B2129E"/>
    <w:rsid w:val="00B259A5"/>
    <w:rsid w:val="00B322E8"/>
    <w:rsid w:val="00B36B65"/>
    <w:rsid w:val="00B402B7"/>
    <w:rsid w:val="00B447C3"/>
    <w:rsid w:val="00B50906"/>
    <w:rsid w:val="00B50E76"/>
    <w:rsid w:val="00B52570"/>
    <w:rsid w:val="00B5446F"/>
    <w:rsid w:val="00B55B1C"/>
    <w:rsid w:val="00B57DA9"/>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E5D6C"/>
    <w:rsid w:val="00BF09CF"/>
    <w:rsid w:val="00C03FDD"/>
    <w:rsid w:val="00C15A71"/>
    <w:rsid w:val="00C178DA"/>
    <w:rsid w:val="00C270F4"/>
    <w:rsid w:val="00C3408B"/>
    <w:rsid w:val="00C40AB3"/>
    <w:rsid w:val="00C43693"/>
    <w:rsid w:val="00C44D8A"/>
    <w:rsid w:val="00C46FCE"/>
    <w:rsid w:val="00C51423"/>
    <w:rsid w:val="00C52252"/>
    <w:rsid w:val="00C562E1"/>
    <w:rsid w:val="00C620A1"/>
    <w:rsid w:val="00C62B50"/>
    <w:rsid w:val="00C64561"/>
    <w:rsid w:val="00C64FD9"/>
    <w:rsid w:val="00C66805"/>
    <w:rsid w:val="00C703B3"/>
    <w:rsid w:val="00C72001"/>
    <w:rsid w:val="00C72226"/>
    <w:rsid w:val="00C755DE"/>
    <w:rsid w:val="00C75968"/>
    <w:rsid w:val="00C75B75"/>
    <w:rsid w:val="00C82EC6"/>
    <w:rsid w:val="00C86816"/>
    <w:rsid w:val="00CA08F3"/>
    <w:rsid w:val="00CA47A5"/>
    <w:rsid w:val="00CA5178"/>
    <w:rsid w:val="00CB06D5"/>
    <w:rsid w:val="00CB1614"/>
    <w:rsid w:val="00CB5306"/>
    <w:rsid w:val="00CB5503"/>
    <w:rsid w:val="00CB62F1"/>
    <w:rsid w:val="00CB7995"/>
    <w:rsid w:val="00CC0D7C"/>
    <w:rsid w:val="00CD0420"/>
    <w:rsid w:val="00CD0780"/>
    <w:rsid w:val="00CD47AC"/>
    <w:rsid w:val="00CD4AC7"/>
    <w:rsid w:val="00CD5321"/>
    <w:rsid w:val="00CD75B6"/>
    <w:rsid w:val="00CE202D"/>
    <w:rsid w:val="00CE3D3F"/>
    <w:rsid w:val="00CE4C29"/>
    <w:rsid w:val="00CF71E4"/>
    <w:rsid w:val="00D00432"/>
    <w:rsid w:val="00D06EDF"/>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65E"/>
    <w:rsid w:val="00D80AA3"/>
    <w:rsid w:val="00D84E3C"/>
    <w:rsid w:val="00D92B14"/>
    <w:rsid w:val="00D92CE1"/>
    <w:rsid w:val="00D95741"/>
    <w:rsid w:val="00DA039E"/>
    <w:rsid w:val="00DA0CED"/>
    <w:rsid w:val="00DA2215"/>
    <w:rsid w:val="00DA2622"/>
    <w:rsid w:val="00DA39D6"/>
    <w:rsid w:val="00DA4922"/>
    <w:rsid w:val="00DA735A"/>
    <w:rsid w:val="00DB042F"/>
    <w:rsid w:val="00DB313B"/>
    <w:rsid w:val="00DB3F77"/>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3615"/>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C21A2"/>
    <w:rsid w:val="00ED4AD9"/>
    <w:rsid w:val="00ED4F7D"/>
    <w:rsid w:val="00ED5B31"/>
    <w:rsid w:val="00ED6BE4"/>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005C"/>
    <w:rsid w:val="00F52D22"/>
    <w:rsid w:val="00F54C19"/>
    <w:rsid w:val="00F57740"/>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7172-781B-4CF4-95BD-0AC82573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11</TotalTime>
  <Pages>10</Pages>
  <Words>3502</Words>
  <Characters>20603</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Marie Hoffmanová</cp:lastModifiedBy>
  <cp:revision>7</cp:revision>
  <cp:lastPrinted>2014-09-12T08:52:00Z</cp:lastPrinted>
  <dcterms:created xsi:type="dcterms:W3CDTF">2022-01-19T14:17:00Z</dcterms:created>
  <dcterms:modified xsi:type="dcterms:W3CDTF">2022-04-29T07:49:00Z</dcterms:modified>
</cp:coreProperties>
</file>