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1217" w14:textId="77777777" w:rsidR="00A73404" w:rsidRDefault="00EF7141" w:rsidP="00EF7141">
      <w:pPr>
        <w:spacing w:after="57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73B6A7" w14:textId="77777777" w:rsidR="00A73404" w:rsidRDefault="00EF7141">
      <w:pPr>
        <w:spacing w:after="0" w:line="259" w:lineRule="auto"/>
        <w:ind w:left="1576" w:firstLine="0"/>
        <w:jc w:val="left"/>
      </w:pPr>
      <w:r>
        <w:rPr>
          <w:sz w:val="16"/>
        </w:rPr>
        <w:t xml:space="preserve"> </w:t>
      </w:r>
      <w:r>
        <w:rPr>
          <w:sz w:val="16"/>
        </w:rPr>
        <w:t xml:space="preserve"> </w:t>
      </w:r>
    </w:p>
    <w:p w14:paraId="0932E449" w14:textId="77777777" w:rsidR="00A73404" w:rsidRDefault="00EF7141">
      <w:pPr>
        <w:pStyle w:val="Nadpis1"/>
      </w:pPr>
      <w:r>
        <w:t xml:space="preserve">SMLOUVA O DODÁVKÁCH </w:t>
      </w:r>
    </w:p>
    <w:p w14:paraId="006C802B" w14:textId="77777777" w:rsidR="00A73404" w:rsidRDefault="00EF7141">
      <w:pPr>
        <w:spacing w:after="57" w:line="259" w:lineRule="auto"/>
        <w:ind w:left="60" w:firstLine="0"/>
        <w:jc w:val="center"/>
      </w:pPr>
      <w:r>
        <w:rPr>
          <w:b/>
        </w:rPr>
        <w:t xml:space="preserve"> </w:t>
      </w:r>
    </w:p>
    <w:p w14:paraId="5D7D9536" w14:textId="77777777" w:rsidR="00A73404" w:rsidRDefault="00EF7141">
      <w:pPr>
        <w:pStyle w:val="Nadpis2"/>
        <w:spacing w:after="11"/>
      </w:pPr>
      <w:r>
        <w:t xml:space="preserve">DROGISTICKÉHO ZBOŽÍ </w:t>
      </w:r>
    </w:p>
    <w:p w14:paraId="35D21D2C" w14:textId="77777777" w:rsidR="00A73404" w:rsidRDefault="00EF7141">
      <w:pPr>
        <w:spacing w:after="19" w:line="259" w:lineRule="auto"/>
        <w:ind w:left="60" w:firstLine="0"/>
        <w:jc w:val="center"/>
      </w:pPr>
      <w:r>
        <w:t xml:space="preserve"> </w:t>
      </w:r>
    </w:p>
    <w:p w14:paraId="58B5FD25" w14:textId="77777777" w:rsidR="00A73404" w:rsidRDefault="00EF7141">
      <w:pPr>
        <w:spacing w:after="49" w:line="259" w:lineRule="auto"/>
        <w:ind w:left="60" w:firstLine="0"/>
        <w:jc w:val="center"/>
      </w:pPr>
      <w:r>
        <w:t xml:space="preserve"> </w:t>
      </w:r>
    </w:p>
    <w:p w14:paraId="58BD5E50" w14:textId="77777777" w:rsidR="00A73404" w:rsidRDefault="00EF7141">
      <w:pPr>
        <w:spacing w:after="10"/>
        <w:ind w:left="3337" w:hanging="2893"/>
      </w:pPr>
      <w:r>
        <w:t>podle § 1746 odst. 2 zákona č. 89/2012 Sb., občanský zákoník, ve znění pozdějších předpisů, (dále jen „</w:t>
      </w:r>
      <w:r>
        <w:rPr>
          <w:b/>
          <w:i/>
        </w:rPr>
        <w:t>OZ</w:t>
      </w:r>
      <w:r>
        <w:t xml:space="preserve">“) </w:t>
      </w:r>
    </w:p>
    <w:p w14:paraId="73D81626" w14:textId="77777777" w:rsidR="00A73404" w:rsidRDefault="00EF7141">
      <w:pPr>
        <w:spacing w:after="101"/>
        <w:ind w:left="2174"/>
      </w:pPr>
      <w:r>
        <w:t xml:space="preserve">uzavřená mezi smluvními stranami, kterými jsou: </w:t>
      </w:r>
    </w:p>
    <w:p w14:paraId="43D6B002" w14:textId="77777777" w:rsidR="00A73404" w:rsidRDefault="00EF7141">
      <w:pPr>
        <w:spacing w:after="138" w:line="259" w:lineRule="auto"/>
        <w:ind w:left="426" w:firstLine="0"/>
        <w:jc w:val="left"/>
      </w:pPr>
      <w:r>
        <w:rPr>
          <w:b/>
        </w:rPr>
        <w:t xml:space="preserve"> </w:t>
      </w:r>
    </w:p>
    <w:p w14:paraId="1E2B0E7A" w14:textId="77777777" w:rsidR="00A73404" w:rsidRDefault="00EF7141">
      <w:pPr>
        <w:pStyle w:val="Nadpis2"/>
        <w:spacing w:after="0" w:line="259" w:lineRule="auto"/>
        <w:ind w:left="436" w:right="0"/>
        <w:jc w:val="left"/>
      </w:pPr>
      <w:r>
        <w:t xml:space="preserve">Objednatel </w:t>
      </w:r>
    </w:p>
    <w:tbl>
      <w:tblPr>
        <w:tblStyle w:val="TableGrid"/>
        <w:tblW w:w="8709" w:type="dxa"/>
        <w:tblInd w:w="425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157"/>
      </w:tblGrid>
      <w:tr w:rsidR="00A73404" w14:paraId="17F71E9C" w14:textId="77777777">
        <w:trPr>
          <w:trHeight w:val="24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D71850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ACCA587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Národní divadlo </w:t>
            </w:r>
            <w:r>
              <w:t xml:space="preserve"> </w:t>
            </w:r>
          </w:p>
        </w:tc>
      </w:tr>
      <w:tr w:rsidR="00A73404" w14:paraId="6A84B5D1" w14:textId="77777777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5E162B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A85651B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Ostrovní 1, </w:t>
            </w:r>
            <w:r>
              <w:t xml:space="preserve">112 30 Praha 1 </w:t>
            </w:r>
          </w:p>
        </w:tc>
      </w:tr>
      <w:tr w:rsidR="00A73404" w14:paraId="3D909B16" w14:textId="77777777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3FFA42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31705599" w14:textId="77777777" w:rsidR="00A73404" w:rsidRDefault="00EF7141">
            <w:pPr>
              <w:tabs>
                <w:tab w:val="center" w:pos="1271"/>
              </w:tabs>
              <w:spacing w:after="0" w:line="259" w:lineRule="auto"/>
              <w:ind w:left="0" w:firstLine="0"/>
              <w:jc w:val="left"/>
            </w:pPr>
            <w:r>
              <w:t xml:space="preserve">00023337 </w:t>
            </w:r>
            <w:r>
              <w:tab/>
              <w:t xml:space="preserve"> </w:t>
            </w:r>
          </w:p>
        </w:tc>
      </w:tr>
      <w:tr w:rsidR="00A73404" w14:paraId="58588CB3" w14:textId="77777777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9A6E4F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1286CC4E" w14:textId="77777777" w:rsidR="00A73404" w:rsidRDefault="00EF7141">
            <w:pPr>
              <w:tabs>
                <w:tab w:val="center" w:pos="1979"/>
              </w:tabs>
              <w:spacing w:after="0" w:line="259" w:lineRule="auto"/>
              <w:ind w:left="0" w:firstLine="0"/>
              <w:jc w:val="left"/>
            </w:pPr>
            <w:r>
              <w:t xml:space="preserve">CZ00023337 </w:t>
            </w:r>
            <w:r>
              <w:tab/>
              <w:t xml:space="preserve"> </w:t>
            </w:r>
          </w:p>
        </w:tc>
      </w:tr>
      <w:tr w:rsidR="00A73404" w14:paraId="03781D8B" w14:textId="77777777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1A89FD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Zastoupen: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0D2C9C62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prof. </w:t>
            </w:r>
            <w:proofErr w:type="spellStart"/>
            <w:r>
              <w:t>MgA</w:t>
            </w:r>
            <w:proofErr w:type="spellEnd"/>
            <w:r>
              <w:t xml:space="preserve">. Janem Burianem, ředitelem ND </w:t>
            </w:r>
          </w:p>
        </w:tc>
      </w:tr>
      <w:tr w:rsidR="00A73404" w14:paraId="0D519E21" w14:textId="77777777">
        <w:trPr>
          <w:trHeight w:val="5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120AFB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Kontaktní osoba: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93BFC79" w14:textId="77777777" w:rsidR="00A73404" w:rsidRDefault="00EF7141" w:rsidP="00EF7141">
            <w:pPr>
              <w:spacing w:after="0" w:line="259" w:lineRule="auto"/>
              <w:ind w:left="0" w:firstLine="0"/>
              <w:jc w:val="left"/>
            </w:pPr>
            <w:r>
              <w:t xml:space="preserve">ing. Dagmar Růžičková, tel. č.: 224 901 508, e-mail: </w:t>
            </w:r>
            <w:proofErr w:type="spellStart"/>
            <w:r>
              <w:t>xx</w:t>
            </w:r>
            <w:proofErr w:type="spellEnd"/>
            <w:r>
              <w:t xml:space="preserve"> </w:t>
            </w:r>
          </w:p>
        </w:tc>
      </w:tr>
      <w:tr w:rsidR="00A73404" w14:paraId="0D1C08E7" w14:textId="77777777">
        <w:trPr>
          <w:trHeight w:val="24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2C0852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2747EB56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a další osoby uvedené ve výzvách k dodávce </w:t>
            </w:r>
          </w:p>
        </w:tc>
      </w:tr>
    </w:tbl>
    <w:p w14:paraId="078E4469" w14:textId="77777777" w:rsidR="00A73404" w:rsidRDefault="00EF7141">
      <w:pPr>
        <w:spacing w:after="100" w:line="259" w:lineRule="auto"/>
        <w:ind w:left="421"/>
        <w:jc w:val="left"/>
      </w:pPr>
      <w:r>
        <w:rPr>
          <w:i/>
        </w:rPr>
        <w:t>(dále také jen „</w:t>
      </w:r>
      <w:r>
        <w:rPr>
          <w:b/>
          <w:i/>
        </w:rPr>
        <w:t>Objednatel</w:t>
      </w:r>
      <w:r>
        <w:rPr>
          <w:i/>
        </w:rPr>
        <w:t xml:space="preserve">“) </w:t>
      </w:r>
    </w:p>
    <w:p w14:paraId="77E33659" w14:textId="77777777" w:rsidR="00A73404" w:rsidRDefault="00EF7141">
      <w:pPr>
        <w:spacing w:after="138" w:line="259" w:lineRule="auto"/>
        <w:ind w:left="426" w:firstLine="0"/>
        <w:jc w:val="left"/>
      </w:pPr>
      <w:r>
        <w:rPr>
          <w:b/>
        </w:rPr>
        <w:t xml:space="preserve"> </w:t>
      </w:r>
    </w:p>
    <w:p w14:paraId="62A8FC1A" w14:textId="77777777" w:rsidR="00A73404" w:rsidRDefault="00EF7141">
      <w:pPr>
        <w:pStyle w:val="Nadpis2"/>
        <w:spacing w:after="0" w:line="259" w:lineRule="auto"/>
        <w:ind w:left="436" w:right="0"/>
        <w:jc w:val="left"/>
      </w:pPr>
      <w:r>
        <w:t xml:space="preserve">Dodavatel </w:t>
      </w:r>
    </w:p>
    <w:tbl>
      <w:tblPr>
        <w:tblStyle w:val="TableGrid"/>
        <w:tblW w:w="7275" w:type="dxa"/>
        <w:tblInd w:w="425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4159"/>
      </w:tblGrid>
      <w:tr w:rsidR="00A73404" w14:paraId="2A047866" w14:textId="77777777">
        <w:trPr>
          <w:trHeight w:val="252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C5062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Obchodní firma/název/jméno:  Janeček a Lebeda, s.r.o. </w:t>
            </w:r>
          </w:p>
        </w:tc>
      </w:tr>
      <w:tr w:rsidR="00A73404" w14:paraId="55D15963" w14:textId="77777777">
        <w:trPr>
          <w:trHeight w:val="249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88BAEC2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71BC09D0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Jana Želivského 2, 130 00 Praha 3 </w:t>
            </w:r>
          </w:p>
        </w:tc>
      </w:tr>
      <w:tr w:rsidR="00A73404" w14:paraId="2E2E3A0F" w14:textId="77777777">
        <w:trPr>
          <w:trHeight w:val="25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B5F094C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67F49CBF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25108913 </w:t>
            </w:r>
          </w:p>
        </w:tc>
      </w:tr>
      <w:tr w:rsidR="00A73404" w14:paraId="45D65E1A" w14:textId="77777777">
        <w:trPr>
          <w:trHeight w:val="25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E760FCA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52489704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CZ25108913 </w:t>
            </w:r>
          </w:p>
        </w:tc>
      </w:tr>
      <w:tr w:rsidR="00A73404" w14:paraId="643E75D9" w14:textId="77777777">
        <w:trPr>
          <w:trHeight w:val="25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BE4E9A1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Zastoupen: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7E3ABB1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Vladimír Janeček, jednatel </w:t>
            </w:r>
          </w:p>
        </w:tc>
      </w:tr>
      <w:tr w:rsidR="00A73404" w14:paraId="006EFE2A" w14:textId="77777777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B3BE9C9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Zápis v obchodním rejstříku: 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5484A9B2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Městský soud v Praze, C 50336 </w:t>
            </w:r>
          </w:p>
        </w:tc>
      </w:tr>
      <w:tr w:rsidR="00A73404" w14:paraId="5CE1AB12" w14:textId="77777777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D194555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0D85B0F0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19-3932490277/0100 </w:t>
            </w:r>
          </w:p>
        </w:tc>
      </w:tr>
      <w:tr w:rsidR="00A73404" w14:paraId="2BD0AD54" w14:textId="77777777">
        <w:trPr>
          <w:trHeight w:val="253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86CC11B" w14:textId="77777777" w:rsidR="00A73404" w:rsidRDefault="00EF7141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Kontaktní osoba:  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5F391467" w14:textId="77777777" w:rsidR="00A73404" w:rsidRDefault="00EF7141">
            <w:pPr>
              <w:spacing w:after="0" w:line="259" w:lineRule="auto"/>
              <w:ind w:left="0" w:firstLine="0"/>
            </w:pPr>
            <w:r>
              <w:t xml:space="preserve">Ing. Soňa </w:t>
            </w:r>
            <w:proofErr w:type="spellStart"/>
            <w:r>
              <w:t>Stražáková</w:t>
            </w:r>
            <w:proofErr w:type="spellEnd"/>
            <w:r>
              <w:t xml:space="preserve">, tel. č.: 267 314 516 </w:t>
            </w:r>
          </w:p>
        </w:tc>
      </w:tr>
      <w:tr w:rsidR="00A73404" w14:paraId="2897A4C0" w14:textId="77777777">
        <w:trPr>
          <w:trHeight w:val="249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F96374B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40D438E6" w14:textId="77777777" w:rsidR="00A73404" w:rsidRDefault="00EF7141" w:rsidP="00EF7141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proofErr w:type="spellStart"/>
            <w:r>
              <w:t>xx</w:t>
            </w:r>
            <w:proofErr w:type="spellEnd"/>
            <w:r>
              <w:t xml:space="preserve"> </w:t>
            </w:r>
          </w:p>
        </w:tc>
      </w:tr>
    </w:tbl>
    <w:p w14:paraId="5C982161" w14:textId="77777777" w:rsidR="00A73404" w:rsidRDefault="00EF7141">
      <w:pPr>
        <w:spacing w:after="61"/>
        <w:ind w:left="435"/>
      </w:pPr>
      <w:r>
        <w:t>E-</w:t>
      </w:r>
      <w:r>
        <w:t xml:space="preserve">mailová adresa pro zasílání výzev k dodávce: </w:t>
      </w:r>
      <w:proofErr w:type="spellStart"/>
      <w:r>
        <w:rPr>
          <w:color w:val="0000FF"/>
          <w:u w:val="single" w:color="0000FF"/>
        </w:rPr>
        <w:t>xx</w:t>
      </w:r>
      <w:proofErr w:type="spellEnd"/>
      <w:r>
        <w:t xml:space="preserve"> </w:t>
      </w:r>
    </w:p>
    <w:p w14:paraId="534578F4" w14:textId="77777777" w:rsidR="00A73404" w:rsidRDefault="00EF7141">
      <w:pPr>
        <w:spacing w:after="124" w:line="259" w:lineRule="auto"/>
        <w:ind w:left="425" w:firstLine="0"/>
        <w:jc w:val="left"/>
      </w:pPr>
      <w:r>
        <w:t xml:space="preserve">  </w:t>
      </w:r>
    </w:p>
    <w:p w14:paraId="2B3E0601" w14:textId="77777777" w:rsidR="00A73404" w:rsidRDefault="00EF7141">
      <w:pPr>
        <w:spacing w:after="100" w:line="259" w:lineRule="auto"/>
        <w:ind w:left="421"/>
        <w:jc w:val="left"/>
      </w:pPr>
      <w:r>
        <w:rPr>
          <w:i/>
        </w:rPr>
        <w:t>(dále také jen „</w:t>
      </w:r>
      <w:r>
        <w:rPr>
          <w:b/>
          <w:i/>
        </w:rPr>
        <w:t>Dodavatel</w:t>
      </w:r>
      <w:r>
        <w:rPr>
          <w:i/>
        </w:rPr>
        <w:t>“; Dodavatel společně s Objednatelem jen „</w:t>
      </w:r>
      <w:r>
        <w:rPr>
          <w:b/>
          <w:i/>
        </w:rPr>
        <w:t>Smluvní strany</w:t>
      </w:r>
      <w:r>
        <w:rPr>
          <w:i/>
        </w:rPr>
        <w:t xml:space="preserve">“) </w:t>
      </w:r>
    </w:p>
    <w:p w14:paraId="05791448" w14:textId="77777777" w:rsidR="00A73404" w:rsidRDefault="00EF7141">
      <w:pPr>
        <w:spacing w:after="138" w:line="259" w:lineRule="auto"/>
        <w:ind w:left="426" w:firstLine="0"/>
        <w:jc w:val="left"/>
      </w:pPr>
      <w:r>
        <w:t xml:space="preserve"> </w:t>
      </w:r>
    </w:p>
    <w:p w14:paraId="110BBF50" w14:textId="77777777" w:rsidR="00A73404" w:rsidRDefault="00EF7141">
      <w:pPr>
        <w:spacing w:after="97"/>
        <w:ind w:left="436"/>
      </w:pPr>
      <w:r>
        <w:t xml:space="preserve">Smluvní strany uzavírají tuto smlouvu o dodávkách drogistického zboží </w:t>
      </w:r>
      <w:r>
        <w:rPr>
          <w:i/>
        </w:rPr>
        <w:t>(dále jen „</w:t>
      </w:r>
      <w:r>
        <w:rPr>
          <w:b/>
          <w:i/>
        </w:rPr>
        <w:t>Smlouva</w:t>
      </w:r>
      <w:r>
        <w:rPr>
          <w:i/>
        </w:rPr>
        <w:t>“)</w:t>
      </w:r>
      <w:r>
        <w:t>,</w:t>
      </w:r>
      <w:r>
        <w:t xml:space="preserve"> a to jako výsledek zadání veřejné zakázky Dodávky drogistického zboží 012020 </w:t>
      </w:r>
      <w:r>
        <w:rPr>
          <w:i/>
        </w:rPr>
        <w:t>(dále jen „</w:t>
      </w:r>
      <w:r>
        <w:rPr>
          <w:b/>
          <w:i/>
        </w:rPr>
        <w:t>Veřejná zakázka</w:t>
      </w:r>
      <w:r>
        <w:rPr>
          <w:i/>
        </w:rPr>
        <w:t>“)</w:t>
      </w:r>
      <w:r>
        <w:t xml:space="preserve">.   </w:t>
      </w:r>
    </w:p>
    <w:p w14:paraId="0AB71989" w14:textId="77777777" w:rsidR="00A73404" w:rsidRDefault="00EF7141">
      <w:pPr>
        <w:spacing w:after="62"/>
        <w:ind w:left="436"/>
      </w:pPr>
      <w:r>
        <w:rPr>
          <w:b/>
        </w:rPr>
        <w:t>Označení Smlouvy:</w:t>
      </w:r>
      <w:r>
        <w:t xml:space="preserve"> Kód položky dle Přílohy č. 1 </w:t>
      </w:r>
    </w:p>
    <w:p w14:paraId="2D5B5C76" w14:textId="77777777" w:rsidR="00A73404" w:rsidRDefault="00EF7141">
      <w:pPr>
        <w:spacing w:after="0" w:line="259" w:lineRule="auto"/>
        <w:ind w:left="426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24F6DD7B" w14:textId="77777777" w:rsidR="00A73404" w:rsidRDefault="00EF7141">
      <w:pPr>
        <w:pStyle w:val="Nadpis2"/>
        <w:tabs>
          <w:tab w:val="center" w:pos="3384"/>
          <w:tab w:val="center" w:pos="482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ab/>
      </w:r>
      <w:r>
        <w:t xml:space="preserve">I. </w:t>
      </w:r>
      <w:r>
        <w:tab/>
        <w:t xml:space="preserve">Předmět Smlouvy </w:t>
      </w:r>
    </w:p>
    <w:p w14:paraId="2D9B7D85" w14:textId="77777777" w:rsidR="00A73404" w:rsidRDefault="00EF7141">
      <w:pPr>
        <w:ind w:left="856" w:hanging="856"/>
      </w:pPr>
      <w:r>
        <w:t xml:space="preserve">I. 1) </w:t>
      </w:r>
      <w:r>
        <w:t>Dodavatel se zavazuje, že Objednateli dle jeho aktuálních potřeb na základě jednotlivých výzev k dodávce provede dodávky a že splní další s tím související závazky. Objednatel se za dodávky zavazuje Dodavateli zaplatit dohodnutou cenu, jejíž způsob výpočtu</w:t>
      </w:r>
      <w:r>
        <w:t xml:space="preserve"> je uveden v čl. IV. této Smlouvy. </w:t>
      </w:r>
    </w:p>
    <w:p w14:paraId="412B15E2" w14:textId="77777777" w:rsidR="00A73404" w:rsidRDefault="00EF7141">
      <w:pPr>
        <w:spacing w:after="40"/>
        <w:ind w:left="10"/>
      </w:pPr>
      <w:r>
        <w:t>I. 2) Předmětem dodávek bude drogistické zboží, jehož vlastnosti jsou specifikovány zejména v příloze č. 1 Smlouvy. I. 3) Dodavatel prohlašuje, že: I. 3) a) je či bude výlučným vlastníkem předmětu jednotlivých dodávek, j</w:t>
      </w:r>
      <w:r>
        <w:t xml:space="preserve">akož i veškerých materiálů, výrobků a dalších věcí, které jsou či budou součástí předmětu dodávky, a to nejpozději před předáním předmětu dodávky </w:t>
      </w:r>
    </w:p>
    <w:p w14:paraId="2CF34C47" w14:textId="77777777" w:rsidR="00A73404" w:rsidRDefault="00EF7141">
      <w:pPr>
        <w:ind w:left="1271"/>
      </w:pPr>
      <w:r>
        <w:t xml:space="preserve">Objednateli, </w:t>
      </w:r>
    </w:p>
    <w:p w14:paraId="0CC21D15" w14:textId="77777777" w:rsidR="00A73404" w:rsidRDefault="00EF7141">
      <w:pPr>
        <w:ind w:left="1276" w:hanging="1134"/>
      </w:pPr>
      <w:r>
        <w:t xml:space="preserve">I. 3) b) </w:t>
      </w:r>
      <w:r>
        <w:tab/>
        <w:t>předmět dodávek je nový, tzn. nikoli dříve použitý; vhodné použití recyklovaných mate</w:t>
      </w:r>
      <w:r>
        <w:t xml:space="preserve">riálů tím není dotčeno,    </w:t>
      </w:r>
    </w:p>
    <w:p w14:paraId="0DE26794" w14:textId="77777777" w:rsidR="00A73404" w:rsidRDefault="00EF7141">
      <w:pPr>
        <w:ind w:left="1276" w:hanging="1134"/>
      </w:pPr>
      <w:r>
        <w:t xml:space="preserve">I. 3) c) provedení předmětu dodávek bude odpovídat vážnosti, kterou Objednatel, jakož i jeho pracovníci požívají, </w:t>
      </w:r>
    </w:p>
    <w:p w14:paraId="41AC4E0A" w14:textId="77777777" w:rsidR="00A73404" w:rsidRDefault="00EF7141">
      <w:pPr>
        <w:spacing w:after="604"/>
        <w:ind w:left="1276" w:hanging="1134"/>
      </w:pPr>
      <w:r>
        <w:t xml:space="preserve">I. 3) d) dodávky provede ve shodě se Smlouvou; tzn., že jednotlivé dodávky zejména </w:t>
      </w:r>
      <w:r>
        <w:t>budou mít veškeré vlastnosti, které si Smluvní strany ujednaly, a chybí-li ujednání, takové vlastnosti, které Dodavatel nebo jejich výrobce popsal nebo které Objednatel očekával s ohledem na povahu předmětu dodávky a na základě reklamy jimi prováděné, popř</w:t>
      </w:r>
      <w:r>
        <w:t xml:space="preserve">. vlastnosti obvyklé, že se hodí k účelu, který Smluvní strany uvádí nebo ke kterému se dodávky tohoto druhu obvykle provádí, že vyhovují požadavkům právních předpisů a že jsou bez jakýchkoli vad, a to i právních. </w:t>
      </w:r>
    </w:p>
    <w:p w14:paraId="0A3AB518" w14:textId="77777777" w:rsidR="00A73404" w:rsidRDefault="00EF7141">
      <w:pPr>
        <w:pStyle w:val="Nadpis2"/>
        <w:tabs>
          <w:tab w:val="center" w:pos="3463"/>
          <w:tab w:val="center" w:pos="482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II. </w:t>
      </w:r>
      <w:r>
        <w:tab/>
        <w:t xml:space="preserve">Výzvy k dodávce  </w:t>
      </w:r>
    </w:p>
    <w:p w14:paraId="09421CEF" w14:textId="77777777" w:rsidR="00A73404" w:rsidRDefault="00EF7141">
      <w:pPr>
        <w:ind w:left="856" w:hanging="856"/>
      </w:pPr>
      <w:r>
        <w:t xml:space="preserve">II. 1) Doručením </w:t>
      </w:r>
      <w:r>
        <w:t xml:space="preserve">výzvy k dodávce </w:t>
      </w:r>
      <w:r>
        <w:rPr>
          <w:i/>
        </w:rPr>
        <w:t>(dále jen „</w:t>
      </w:r>
      <w:r>
        <w:rPr>
          <w:b/>
          <w:i/>
        </w:rPr>
        <w:t>Výzva</w:t>
      </w:r>
      <w:r>
        <w:rPr>
          <w:i/>
        </w:rPr>
        <w:t>“)</w:t>
      </w:r>
      <w:r>
        <w:t xml:space="preserve"> Dodavateli je závazek Dodavatele provést dodávku specifikovanou ve Výzvě účinný. </w:t>
      </w:r>
    </w:p>
    <w:p w14:paraId="485CADAD" w14:textId="77777777" w:rsidR="00A73404" w:rsidRDefault="00EF7141">
      <w:pPr>
        <w:ind w:left="856" w:hanging="856"/>
      </w:pPr>
      <w:r>
        <w:t xml:space="preserve">II. 2) Každá jednotlivá výzva k dodávce bude zahrnovat plnění v minimální výši 1 500,- Kč bez DPH. </w:t>
      </w:r>
    </w:p>
    <w:p w14:paraId="267FB02C" w14:textId="77777777" w:rsidR="00A73404" w:rsidRDefault="00EF7141">
      <w:pPr>
        <w:ind w:left="856" w:hanging="856"/>
      </w:pPr>
      <w:r>
        <w:t>II. 3) Výzvy budou Objednatelem zasílán</w:t>
      </w:r>
      <w:r>
        <w:t xml:space="preserve">y na e-mailovou adresu Dodavatele uvedenou v záhlaví Smlouvy, nebude-li mezi Objednatelem a Dodavatelem dohodnuto jinak. </w:t>
      </w:r>
    </w:p>
    <w:p w14:paraId="0B965829" w14:textId="77777777" w:rsidR="00A73404" w:rsidRDefault="00EF7141">
      <w:pPr>
        <w:tabs>
          <w:tab w:val="center" w:pos="2917"/>
        </w:tabs>
        <w:ind w:left="0" w:firstLine="0"/>
        <w:jc w:val="left"/>
      </w:pPr>
      <w:r>
        <w:t xml:space="preserve">II. 4) </w:t>
      </w:r>
      <w:r>
        <w:tab/>
        <w:t xml:space="preserve">Ve Výzvě Objednatel vždy uvede alespoň: </w:t>
      </w:r>
    </w:p>
    <w:p w14:paraId="21C0DE02" w14:textId="77777777" w:rsidR="00A73404" w:rsidRDefault="00EF7141">
      <w:pPr>
        <w:numPr>
          <w:ilvl w:val="0"/>
          <w:numId w:val="1"/>
        </w:numPr>
        <w:ind w:hanging="426"/>
      </w:pPr>
      <w:r>
        <w:t xml:space="preserve">specifikaci předmětu dodávky, </w:t>
      </w:r>
    </w:p>
    <w:p w14:paraId="7F11C6A5" w14:textId="77777777" w:rsidR="00A73404" w:rsidRDefault="00EF7141">
      <w:pPr>
        <w:numPr>
          <w:ilvl w:val="0"/>
          <w:numId w:val="1"/>
        </w:numPr>
        <w:ind w:hanging="426"/>
      </w:pPr>
      <w:r>
        <w:t xml:space="preserve">Číslo objednávky, </w:t>
      </w:r>
    </w:p>
    <w:p w14:paraId="67FE9290" w14:textId="77777777" w:rsidR="00A73404" w:rsidRDefault="00EF7141">
      <w:pPr>
        <w:numPr>
          <w:ilvl w:val="0"/>
          <w:numId w:val="1"/>
        </w:numPr>
        <w:ind w:hanging="426"/>
      </w:pPr>
      <w:r>
        <w:t>místo předání předmětu dodávky Obje</w:t>
      </w:r>
      <w:r>
        <w:t xml:space="preserve">dnateli a </w:t>
      </w:r>
    </w:p>
    <w:p w14:paraId="2C498A70" w14:textId="77777777" w:rsidR="00A73404" w:rsidRDefault="00EF7141">
      <w:pPr>
        <w:numPr>
          <w:ilvl w:val="0"/>
          <w:numId w:val="1"/>
        </w:numPr>
        <w:spacing w:after="65"/>
        <w:ind w:hanging="426"/>
      </w:pPr>
      <w:r>
        <w:t xml:space="preserve">kontaktní osobu Objednatele. </w:t>
      </w:r>
    </w:p>
    <w:p w14:paraId="1C50A249" w14:textId="77777777" w:rsidR="00A73404" w:rsidRDefault="00EF7141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5C6E9BD1" w14:textId="77777777" w:rsidR="00A73404" w:rsidRDefault="00EF7141">
      <w:pPr>
        <w:tabs>
          <w:tab w:val="center" w:pos="4305"/>
        </w:tabs>
        <w:ind w:left="0" w:firstLine="0"/>
        <w:jc w:val="left"/>
      </w:pPr>
      <w:r>
        <w:t xml:space="preserve">II. 5) </w:t>
      </w:r>
      <w:r>
        <w:tab/>
        <w:t xml:space="preserve">Výzvu je Objednatel oprávněn doručit Dodavateli kdykoli do </w:t>
      </w:r>
      <w:proofErr w:type="gramStart"/>
      <w:r>
        <w:t>22.4.2023</w:t>
      </w:r>
      <w:proofErr w:type="gramEnd"/>
      <w:r>
        <w:t xml:space="preserve">. </w:t>
      </w:r>
    </w:p>
    <w:p w14:paraId="1A5C7DD7" w14:textId="77777777" w:rsidR="00A73404" w:rsidRDefault="00EF7141">
      <w:pPr>
        <w:spacing w:after="599"/>
        <w:ind w:left="856" w:hanging="856"/>
      </w:pPr>
      <w:r>
        <w:lastRenderedPageBreak/>
        <w:t xml:space="preserve">II. 6) Smluvní strany výslovně stvrzují, že doručením Výzvy není uzavřena žádná další (dílčí) smlouva; Výzva je pouze pobídkou k </w:t>
      </w:r>
      <w:r>
        <w:t xml:space="preserve">faktickému plnění ze Smlouvy. </w:t>
      </w:r>
    </w:p>
    <w:p w14:paraId="69545D92" w14:textId="77777777" w:rsidR="00A73404" w:rsidRDefault="00EF7141">
      <w:pPr>
        <w:pStyle w:val="Nadpis2"/>
        <w:tabs>
          <w:tab w:val="center" w:pos="2816"/>
          <w:tab w:val="center" w:pos="482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III. </w:t>
      </w:r>
      <w:r>
        <w:tab/>
        <w:t xml:space="preserve">Podmínky provádění dodávek </w:t>
      </w:r>
    </w:p>
    <w:p w14:paraId="64969A48" w14:textId="77777777" w:rsidR="00A73404" w:rsidRDefault="00EF7141">
      <w:pPr>
        <w:tabs>
          <w:tab w:val="center" w:pos="3315"/>
        </w:tabs>
        <w:ind w:left="0" w:firstLine="0"/>
        <w:jc w:val="left"/>
      </w:pPr>
      <w:r>
        <w:t xml:space="preserve">III. 1) </w:t>
      </w:r>
      <w:r>
        <w:tab/>
        <w:t xml:space="preserve">Dodávka je provedena, je-li dokončena a předána.  </w:t>
      </w:r>
    </w:p>
    <w:p w14:paraId="00A999BF" w14:textId="77777777" w:rsidR="00A73404" w:rsidRDefault="00EF7141">
      <w:pPr>
        <w:tabs>
          <w:tab w:val="center" w:pos="3625"/>
        </w:tabs>
        <w:ind w:left="0" w:firstLine="0"/>
        <w:jc w:val="left"/>
      </w:pPr>
      <w:r>
        <w:t xml:space="preserve">III. 2) </w:t>
      </w:r>
      <w:r>
        <w:tab/>
        <w:t xml:space="preserve">Závazek Dodavatele provést dodávku zahrnuje zejména: </w:t>
      </w:r>
    </w:p>
    <w:p w14:paraId="057BE2D9" w14:textId="77777777" w:rsidR="00A73404" w:rsidRDefault="00EF7141">
      <w:pPr>
        <w:numPr>
          <w:ilvl w:val="0"/>
          <w:numId w:val="2"/>
        </w:numPr>
        <w:ind w:hanging="426"/>
      </w:pPr>
      <w:r>
        <w:t xml:space="preserve">pořízení, výrobu či jiné opatření předmětu dodávky a </w:t>
      </w:r>
    </w:p>
    <w:p w14:paraId="7CBA439F" w14:textId="77777777" w:rsidR="00A73404" w:rsidRDefault="00EF7141">
      <w:pPr>
        <w:numPr>
          <w:ilvl w:val="0"/>
          <w:numId w:val="2"/>
        </w:numPr>
        <w:ind w:hanging="426"/>
      </w:pPr>
      <w:r>
        <w:t>dopravu předm</w:t>
      </w:r>
      <w:r>
        <w:t xml:space="preserve">ětu dodávky na místo jeho předání Objednateli. </w:t>
      </w:r>
    </w:p>
    <w:p w14:paraId="10C11738" w14:textId="77777777" w:rsidR="00A73404" w:rsidRDefault="00EF7141">
      <w:pPr>
        <w:spacing w:after="21" w:line="413" w:lineRule="auto"/>
        <w:ind w:left="142" w:right="3659" w:hanging="142"/>
      </w:pPr>
      <w:r>
        <w:t xml:space="preserve">III. 3) </w:t>
      </w:r>
      <w:r>
        <w:tab/>
      </w:r>
      <w:r>
        <w:rPr>
          <w:b/>
        </w:rPr>
        <w:t xml:space="preserve">Místo a čas předání dodávky Objednateli </w:t>
      </w:r>
      <w:r>
        <w:t xml:space="preserve">III. 3) a) </w:t>
      </w:r>
      <w:r>
        <w:tab/>
        <w:t xml:space="preserve">Seznam adres – míst předání dodávky: </w:t>
      </w:r>
    </w:p>
    <w:p w14:paraId="5AA47B83" w14:textId="77777777" w:rsidR="00A73404" w:rsidRDefault="00EF7141">
      <w:pPr>
        <w:ind w:left="1271"/>
      </w:pPr>
      <w:r>
        <w:t xml:space="preserve">Provozní budova, Ostrovní 1, 112 30  Praha 1 </w:t>
      </w:r>
    </w:p>
    <w:p w14:paraId="732324F5" w14:textId="77777777" w:rsidR="00A73404" w:rsidRDefault="00EF7141">
      <w:pPr>
        <w:ind w:left="1271"/>
      </w:pPr>
      <w:r>
        <w:t xml:space="preserve">Historická budova ND, Divadelní 2, Praha 1,  </w:t>
      </w:r>
    </w:p>
    <w:p w14:paraId="264DB913" w14:textId="77777777" w:rsidR="00A73404" w:rsidRDefault="00EF7141">
      <w:pPr>
        <w:ind w:left="1271"/>
      </w:pPr>
      <w:r>
        <w:t>Stavovské divadlo</w:t>
      </w:r>
      <w:r>
        <w:t xml:space="preserve">, Železná 540/11, Praha 1 </w:t>
      </w:r>
    </w:p>
    <w:p w14:paraId="0EC1E14D" w14:textId="77777777" w:rsidR="00A73404" w:rsidRDefault="00EF7141">
      <w:pPr>
        <w:ind w:left="1271"/>
      </w:pPr>
      <w:r>
        <w:t xml:space="preserve">Státní opera, Legerova 612/75, Praha 1 </w:t>
      </w:r>
    </w:p>
    <w:p w14:paraId="3EED00D1" w14:textId="77777777" w:rsidR="00A73404" w:rsidRDefault="00EF7141">
      <w:pPr>
        <w:ind w:left="1271"/>
      </w:pPr>
      <w:r>
        <w:t xml:space="preserve">Ateliéry a dílny, Vinohradská 117  Praha 3 </w:t>
      </w:r>
    </w:p>
    <w:p w14:paraId="25453475" w14:textId="77777777" w:rsidR="00A73404" w:rsidRDefault="00EF7141">
      <w:pPr>
        <w:ind w:left="1271"/>
      </w:pPr>
      <w:r>
        <w:t xml:space="preserve">Anenský areál, Anenské náměstí 211/2  Praha 1 </w:t>
      </w:r>
    </w:p>
    <w:p w14:paraId="6AFA40DF" w14:textId="77777777" w:rsidR="00A73404" w:rsidRDefault="00EF7141">
      <w:pPr>
        <w:ind w:left="1271"/>
      </w:pPr>
      <w:r>
        <w:t xml:space="preserve">Areál Apolinář, Viničná 438/3  Praha 2 </w:t>
      </w:r>
    </w:p>
    <w:p w14:paraId="1D979915" w14:textId="77777777" w:rsidR="00A73404" w:rsidRDefault="00EF7141">
      <w:pPr>
        <w:ind w:left="1276" w:hanging="1134"/>
      </w:pPr>
      <w:r>
        <w:t xml:space="preserve">III. 3) b) Dodavatel předá dodávku Objednateli </w:t>
      </w:r>
      <w:r>
        <w:t xml:space="preserve">na adrese uvedené ve Výzvě a ve lhůtě do 10 kalendářních dnů, příp. v delší lhůtě uvedené ve Výzvě. </w:t>
      </w:r>
    </w:p>
    <w:p w14:paraId="5BD88E06" w14:textId="77777777" w:rsidR="00A73404" w:rsidRDefault="00EF7141">
      <w:pPr>
        <w:ind w:left="1276" w:hanging="1134"/>
      </w:pPr>
      <w:r>
        <w:t>III. 3) c) Dodavatel je oprávněn Objednateli navrhnout do 2 pracovních dní ode dne doručení Výzvy delší lhůtu pro předání dodávky, než jaká vyplývá z předc</w:t>
      </w:r>
      <w:r>
        <w:t xml:space="preserve">hozího ustanovení. Bude-li s ní Objednatel souhlasit, platí tato delší lhůta; návrh Dodavatele ani souhlas Objednatele nemusí být v písemné podobě. </w:t>
      </w:r>
    </w:p>
    <w:p w14:paraId="1DCD5C64" w14:textId="77777777" w:rsidR="00A73404" w:rsidRDefault="00EF7141">
      <w:pPr>
        <w:tabs>
          <w:tab w:val="center" w:pos="3631"/>
        </w:tabs>
        <w:ind w:left="0" w:firstLine="0"/>
        <w:jc w:val="left"/>
      </w:pPr>
      <w:r>
        <w:t xml:space="preserve">III. 3) d) </w:t>
      </w:r>
      <w:r>
        <w:tab/>
        <w:t xml:space="preserve">Lhůta pro předání dodávky se rovněž prodlužuje  </w:t>
      </w:r>
    </w:p>
    <w:p w14:paraId="6A5E247E" w14:textId="77777777" w:rsidR="00A73404" w:rsidRDefault="00EF7141">
      <w:pPr>
        <w:numPr>
          <w:ilvl w:val="0"/>
          <w:numId w:val="3"/>
        </w:numPr>
        <w:ind w:hanging="426"/>
      </w:pPr>
      <w:r>
        <w:t xml:space="preserve">o dobu prodlení na straně Objednatele,  </w:t>
      </w:r>
    </w:p>
    <w:p w14:paraId="38AAF082" w14:textId="77777777" w:rsidR="00A73404" w:rsidRDefault="00EF7141">
      <w:pPr>
        <w:numPr>
          <w:ilvl w:val="0"/>
          <w:numId w:val="3"/>
        </w:numPr>
        <w:ind w:hanging="426"/>
      </w:pPr>
      <w:r>
        <w:t xml:space="preserve">v </w:t>
      </w:r>
      <w:r>
        <w:t xml:space="preserve">případě zjištění skrytých překážek na straně Objednatele znemožňujících provést dodávku dohodnutým způsobem či  </w:t>
      </w:r>
    </w:p>
    <w:p w14:paraId="10D972F0" w14:textId="77777777" w:rsidR="00A73404" w:rsidRDefault="00EF7141">
      <w:pPr>
        <w:numPr>
          <w:ilvl w:val="0"/>
          <w:numId w:val="3"/>
        </w:numPr>
        <w:spacing w:after="106"/>
        <w:ind w:hanging="426"/>
      </w:pPr>
      <w:r>
        <w:t xml:space="preserve">v případě mimořádných nepředvídatelných a nepřekonatelných překážek ve smyslu § 2913 odst. 2 OZ. </w:t>
      </w:r>
    </w:p>
    <w:p w14:paraId="011B0E26" w14:textId="77777777" w:rsidR="00A73404" w:rsidRDefault="00EF7141">
      <w:pPr>
        <w:ind w:left="1276" w:hanging="1134"/>
      </w:pPr>
      <w:r>
        <w:t>III. 3) e) Dodavatel je povinen informovat ko</w:t>
      </w:r>
      <w:r>
        <w:t xml:space="preserve">ntaktní osobu Objednatele o přesném termínu, ve kterém dodávku předá, a to alespoň pracovní den předem, </w:t>
      </w:r>
      <w:proofErr w:type="spellStart"/>
      <w:r>
        <w:t>nebudeli</w:t>
      </w:r>
      <w:proofErr w:type="spellEnd"/>
      <w:r>
        <w:t xml:space="preserve"> mezi Objednatelem a Dodavatelem dohodnuto jinak. Nesplní-li Dodavatel tuto povinnost, je Objednatel oprávněn předání dodávky odmítnout. </w:t>
      </w:r>
    </w:p>
    <w:p w14:paraId="05FA7AAF" w14:textId="77777777" w:rsidR="00A73404" w:rsidRDefault="00EF7141">
      <w:pPr>
        <w:ind w:left="1276" w:hanging="1134"/>
      </w:pPr>
      <w:r>
        <w:t>III. 3</w:t>
      </w:r>
      <w:r>
        <w:t xml:space="preserve">) f) Připadne-li poslední den lhůty pro předání dodávky na sobotu, neděli nebo svátek, je posledním dnem lhůty pracovní den nejblíže následující. Nebude-li </w:t>
      </w:r>
    </w:p>
    <w:p w14:paraId="75414BDC" w14:textId="77777777" w:rsidR="00A73404" w:rsidRDefault="00EF7141">
      <w:pPr>
        <w:ind w:left="1271"/>
      </w:pPr>
      <w:r>
        <w:lastRenderedPageBreak/>
        <w:t>mezi Objednatelem a Dodavatelem dohodnuto jinak, platí, že předání dodávky proběhne v době od 10:00</w:t>
      </w:r>
      <w:r>
        <w:t xml:space="preserve"> do 15:00. </w:t>
      </w:r>
    </w:p>
    <w:p w14:paraId="65083CC6" w14:textId="77777777" w:rsidR="00A73404" w:rsidRDefault="00EF7141">
      <w:pPr>
        <w:pStyle w:val="Nadpis2"/>
        <w:tabs>
          <w:tab w:val="center" w:pos="2512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III. 4) </w:t>
      </w:r>
      <w:r>
        <w:rPr>
          <w:b w:val="0"/>
        </w:rPr>
        <w:tab/>
      </w:r>
      <w:r>
        <w:t xml:space="preserve">Převzetí dodávky Objednatelem </w:t>
      </w:r>
    </w:p>
    <w:p w14:paraId="081070A5" w14:textId="77777777" w:rsidR="00A73404" w:rsidRDefault="00EF7141">
      <w:pPr>
        <w:ind w:left="1276" w:hanging="1134"/>
      </w:pPr>
      <w:r>
        <w:t>III. 4) a) Objednatel není povinen převzít dodávku, vykazuje-li vady, byť ojedinělé drobné, které by samy o sobě ani ve spojení s jinými nebránily řádnému užívání předmětu dodávky nebo jeho užívání podsta</w:t>
      </w:r>
      <w:r>
        <w:t xml:space="preserve">tným způsobem neomezovaly.  </w:t>
      </w:r>
    </w:p>
    <w:p w14:paraId="79BE0EF4" w14:textId="77777777" w:rsidR="00A73404" w:rsidRDefault="00EF7141">
      <w:pPr>
        <w:ind w:left="1276" w:hanging="1134"/>
      </w:pPr>
      <w:r>
        <w:t>III. 4) b) Nevyužije-li Objednatel svého práva nepřevzít dodávku vykazující vady, sepíše Dodavatel zjištěné vady včetně Objednatelem uplatněných práv z vadného plnění. Práva z takto oznámených vad se Dodavatel zavazuje uspokoji</w:t>
      </w:r>
      <w:r>
        <w:t xml:space="preserve">t v souladu s uplatněným právem Objednatele bezodkladně, nejpozději však do 5 dnů ode dne jejich oznámení, nebude-li mezi Objednatelem a Dodavatelem dohodnuto jinak. </w:t>
      </w:r>
    </w:p>
    <w:p w14:paraId="0B509C82" w14:textId="77777777" w:rsidR="00A73404" w:rsidRDefault="00EF7141">
      <w:pPr>
        <w:spacing w:after="604"/>
        <w:ind w:left="1276" w:hanging="1134"/>
      </w:pPr>
      <w:r>
        <w:t xml:space="preserve">III. 4) c) Neoznámení vad dle </w:t>
      </w:r>
      <w:proofErr w:type="spellStart"/>
      <w:r>
        <w:t>ust</w:t>
      </w:r>
      <w:proofErr w:type="spellEnd"/>
      <w:r>
        <w:t>. III. 4) Smlouvy nevylučuje pozdější uplatnění práv Obj</w:t>
      </w:r>
      <w:r>
        <w:t xml:space="preserve">ednatele z vadného plnění Dodavatele z důvodu těchto vad v záruční době. </w:t>
      </w:r>
    </w:p>
    <w:p w14:paraId="2E90D010" w14:textId="77777777" w:rsidR="00A73404" w:rsidRDefault="00EF7141">
      <w:pPr>
        <w:pStyle w:val="Nadpis2"/>
        <w:tabs>
          <w:tab w:val="center" w:pos="2547"/>
          <w:tab w:val="center" w:pos="482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IV. </w:t>
      </w:r>
      <w:r>
        <w:tab/>
        <w:t xml:space="preserve">Cena dodávek a platební podmínky </w:t>
      </w:r>
    </w:p>
    <w:p w14:paraId="048ACF6E" w14:textId="77777777" w:rsidR="00A73404" w:rsidRDefault="00EF7141">
      <w:pPr>
        <w:ind w:left="856" w:hanging="856"/>
      </w:pPr>
      <w:r>
        <w:t>IV. 1) Cena dodávek je stanovena dle jejich obsahu a rozsahu uvedeného ve Výzvě, a to na základě jednotkových cen uvedených v příloze č. 1 Sml</w:t>
      </w:r>
      <w:r>
        <w:t xml:space="preserve">ouvy. Smluvní strany výslovně stvrzují, že na základě Smlouvy bez konkrétní Výzvy nevzniká Dodavateli právo na jakoukoli úplatu a že výše ceny dodávek není nijak závislá na skutečném množství dodávek, ke kterým bude Dodavatel vyzván.  </w:t>
      </w:r>
    </w:p>
    <w:p w14:paraId="5C446BBA" w14:textId="77777777" w:rsidR="00A73404" w:rsidRDefault="00EF7141">
      <w:pPr>
        <w:ind w:left="856" w:hanging="856"/>
      </w:pPr>
      <w:r>
        <w:t xml:space="preserve">IV. 2) Dodavatel je </w:t>
      </w:r>
      <w:r>
        <w:t xml:space="preserve">oprávněn k ceně dodávky připočíst daň z přidané hodnoty </w:t>
      </w:r>
      <w:r>
        <w:rPr>
          <w:i/>
        </w:rPr>
        <w:t>(dále jen „</w:t>
      </w:r>
      <w:r>
        <w:rPr>
          <w:b/>
          <w:i/>
        </w:rPr>
        <w:t>DPH</w:t>
      </w:r>
      <w:r>
        <w:rPr>
          <w:i/>
        </w:rPr>
        <w:t>“)</w:t>
      </w:r>
      <w:r>
        <w:t xml:space="preserve"> ve výši stanovené dle zákona č. 235/2004 Sb., o dani z přidané hodnoty, ve znění pozdějších předpisů, </w:t>
      </w:r>
      <w:r>
        <w:rPr>
          <w:i/>
        </w:rPr>
        <w:t>(dále jen „</w:t>
      </w:r>
      <w:r>
        <w:rPr>
          <w:b/>
          <w:i/>
        </w:rPr>
        <w:t>ZDPH</w:t>
      </w:r>
      <w:r>
        <w:rPr>
          <w:i/>
        </w:rPr>
        <w:t>“)</w:t>
      </w:r>
      <w:r>
        <w:t xml:space="preserve">, a to k datu uskutečnění zdanitelného plnění </w:t>
      </w:r>
      <w:r>
        <w:rPr>
          <w:i/>
        </w:rPr>
        <w:t>(dále jen „</w:t>
      </w:r>
      <w:r>
        <w:rPr>
          <w:b/>
          <w:i/>
        </w:rPr>
        <w:t>DUZP</w:t>
      </w:r>
      <w:r>
        <w:rPr>
          <w:i/>
        </w:rPr>
        <w:t>“)</w:t>
      </w:r>
      <w:r>
        <w:t>.</w:t>
      </w:r>
      <w:r>
        <w:t xml:space="preserve"> DUZP je den převzetí dodávky. </w:t>
      </w:r>
    </w:p>
    <w:p w14:paraId="47E5A453" w14:textId="77777777" w:rsidR="00A73404" w:rsidRDefault="00EF7141">
      <w:pPr>
        <w:ind w:left="856" w:hanging="856"/>
      </w:pPr>
      <w:r>
        <w:t>IV. 3) Dodavatel prohlašuje, že jednotkové ceny uvedené v příloze č. 1 Smlouvy obsahují jeho veškeré nutné náklady nezbytné pro řádné a včasné provedení dodávky včetně všech nákladů souvisejících při zohlednění veškerých riz</w:t>
      </w:r>
      <w:r>
        <w:t xml:space="preserve">ik a vlivů, o nichž lze během provádění dodávky, jakož i plnění Smlouvy uvažovat. Dodavatel přebírá nebezpečí změny okolností.    </w:t>
      </w:r>
    </w:p>
    <w:p w14:paraId="4FDDD141" w14:textId="77777777" w:rsidR="00A73404" w:rsidRDefault="00EF7141">
      <w:pPr>
        <w:pStyle w:val="Nadpis2"/>
        <w:tabs>
          <w:tab w:val="center" w:pos="2605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IV. 4) </w:t>
      </w:r>
      <w:r>
        <w:rPr>
          <w:b w:val="0"/>
        </w:rPr>
        <w:tab/>
      </w:r>
      <w:r>
        <w:t xml:space="preserve">Právo na zaplacení ceny dodávky </w:t>
      </w:r>
    </w:p>
    <w:p w14:paraId="0BB180EF" w14:textId="77777777" w:rsidR="00A73404" w:rsidRDefault="00EF7141">
      <w:pPr>
        <w:ind w:left="866"/>
      </w:pPr>
      <w:r>
        <w:t xml:space="preserve">Právo na zaplacení ceny dodávky vzniká Dodavateli převzetím dodávky Objednatelem. </w:t>
      </w:r>
    </w:p>
    <w:p w14:paraId="33AC0DE4" w14:textId="77777777" w:rsidR="00A73404" w:rsidRDefault="00EF7141">
      <w:pPr>
        <w:pStyle w:val="Nadpis2"/>
        <w:tabs>
          <w:tab w:val="center" w:pos="1993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IV. 5) </w:t>
      </w:r>
      <w:r>
        <w:rPr>
          <w:b w:val="0"/>
        </w:rPr>
        <w:tab/>
      </w:r>
      <w:r>
        <w:t xml:space="preserve">Úhrada ceny dodávky </w:t>
      </w:r>
    </w:p>
    <w:p w14:paraId="6A9DBF17" w14:textId="77777777" w:rsidR="00A73404" w:rsidRDefault="00EF7141">
      <w:pPr>
        <w:ind w:left="1276" w:hanging="1134"/>
      </w:pPr>
      <w:r>
        <w:t xml:space="preserve">IV. 5) a) Cena dodávky bude uhrazena na základě řádně vystaveného daňového dokladu </w:t>
      </w:r>
      <w:r>
        <w:rPr>
          <w:i/>
        </w:rPr>
        <w:t>(dále jen „</w:t>
      </w:r>
      <w:r>
        <w:rPr>
          <w:b/>
          <w:i/>
        </w:rPr>
        <w:t>Faktura</w:t>
      </w:r>
      <w:r>
        <w:rPr>
          <w:i/>
        </w:rPr>
        <w:t>“)</w:t>
      </w:r>
      <w:r>
        <w:t xml:space="preserve">. </w:t>
      </w:r>
    </w:p>
    <w:p w14:paraId="40B8B856" w14:textId="77777777" w:rsidR="00A73404" w:rsidRDefault="00EF7141">
      <w:pPr>
        <w:tabs>
          <w:tab w:val="center" w:pos="4383"/>
        </w:tabs>
        <w:ind w:left="0" w:firstLine="0"/>
        <w:jc w:val="left"/>
      </w:pPr>
      <w:r>
        <w:t xml:space="preserve">IV. 5) b) </w:t>
      </w:r>
      <w:r>
        <w:tab/>
        <w:t xml:space="preserve">Splatnost Faktury je 30 dní ode dne jejího doručení Objednateli. </w:t>
      </w:r>
    </w:p>
    <w:p w14:paraId="09849310" w14:textId="77777777" w:rsidR="00A73404" w:rsidRDefault="00EF7141">
      <w:pPr>
        <w:spacing w:after="0"/>
        <w:ind w:left="1276" w:hanging="1134"/>
      </w:pPr>
      <w:r>
        <w:lastRenderedPageBreak/>
        <w:t>IV. 5) c) Cena dodávky bude Objednatelem uhr</w:t>
      </w:r>
      <w:r>
        <w:t xml:space="preserve">azena bezhotovostním převodem na bankovní účet Dodavatele uvedený v záhlaví Smlouvy. Uvede-li Dodavatel </w:t>
      </w:r>
      <w:proofErr w:type="gramStart"/>
      <w:r>
        <w:t>na</w:t>
      </w:r>
      <w:proofErr w:type="gramEnd"/>
      <w:r>
        <w:t xml:space="preserve"> </w:t>
      </w:r>
    </w:p>
    <w:p w14:paraId="3E0A7BCB" w14:textId="77777777" w:rsidR="00A73404" w:rsidRDefault="00EF7141">
      <w:pPr>
        <w:ind w:left="1271"/>
      </w:pPr>
      <w:r>
        <w:t>Faktuře bankovní účet odlišný, má se za to, že požaduje provedení úhrady na bankovní účet uvedený na Faktuře. Závazek Objednatele uhradit cenu dodáv</w:t>
      </w:r>
      <w:r>
        <w:t>ky se považuje za splněný v den, kdy je dlužná částka odepsána z bankovního účtu Objednatele ve prospěch bankovního účtu Dodavatele.</w:t>
      </w:r>
      <w:r>
        <w:rPr>
          <w:b/>
        </w:rPr>
        <w:t xml:space="preserve"> </w:t>
      </w:r>
    </w:p>
    <w:p w14:paraId="333BF051" w14:textId="77777777" w:rsidR="00A73404" w:rsidRDefault="00EF7141">
      <w:pPr>
        <w:pStyle w:val="Nadpis2"/>
        <w:tabs>
          <w:tab w:val="center" w:pos="1834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IV. 6) </w:t>
      </w:r>
      <w:r>
        <w:rPr>
          <w:b w:val="0"/>
        </w:rPr>
        <w:tab/>
      </w:r>
      <w:r>
        <w:t xml:space="preserve">Náležitosti Faktury </w:t>
      </w:r>
    </w:p>
    <w:p w14:paraId="1D7F178A" w14:textId="77777777" w:rsidR="00A73404" w:rsidRDefault="00EF7141">
      <w:pPr>
        <w:ind w:left="866"/>
      </w:pPr>
      <w:r>
        <w:t>Faktura bude splňovat veškeré zákonné a smluvené náležitosti, zejména</w:t>
      </w:r>
      <w:r>
        <w:rPr>
          <w:b/>
        </w:rPr>
        <w:t xml:space="preserve"> </w:t>
      </w:r>
    </w:p>
    <w:p w14:paraId="2FB6C0E1" w14:textId="77777777" w:rsidR="00A73404" w:rsidRDefault="00EF7141">
      <w:pPr>
        <w:numPr>
          <w:ilvl w:val="0"/>
          <w:numId w:val="4"/>
        </w:numPr>
        <w:ind w:hanging="426"/>
      </w:pPr>
      <w:r>
        <w:t>náležitosti daňového d</w:t>
      </w:r>
      <w:r>
        <w:t xml:space="preserve">okladu dle § 26 a násl. ZDPH, </w:t>
      </w:r>
    </w:p>
    <w:p w14:paraId="111256FA" w14:textId="77777777" w:rsidR="00A73404" w:rsidRDefault="00EF7141">
      <w:pPr>
        <w:numPr>
          <w:ilvl w:val="0"/>
          <w:numId w:val="4"/>
        </w:numPr>
        <w:ind w:hanging="426"/>
      </w:pPr>
      <w:r>
        <w:t xml:space="preserve">náležitosti účetního dokladu stanovené v zákoně č. 563/1991 Sb., o účetnictví, ve znění pozdějších předpisů, </w:t>
      </w:r>
    </w:p>
    <w:p w14:paraId="079F6321" w14:textId="77777777" w:rsidR="00A73404" w:rsidRDefault="00EF7141">
      <w:pPr>
        <w:numPr>
          <w:ilvl w:val="0"/>
          <w:numId w:val="4"/>
        </w:numPr>
        <w:ind w:hanging="426"/>
      </w:pPr>
      <w:r>
        <w:t xml:space="preserve">uvedení informace o lhůtě splatnosti, </w:t>
      </w:r>
    </w:p>
    <w:p w14:paraId="08AAA635" w14:textId="77777777" w:rsidR="00A73404" w:rsidRDefault="00EF7141">
      <w:pPr>
        <w:numPr>
          <w:ilvl w:val="0"/>
          <w:numId w:val="4"/>
        </w:numPr>
        <w:ind w:hanging="426"/>
      </w:pPr>
      <w:r>
        <w:t xml:space="preserve">uvedení údajů bankovního spojení Dodavatele a  </w:t>
      </w:r>
    </w:p>
    <w:p w14:paraId="15B70218" w14:textId="77777777" w:rsidR="00A73404" w:rsidRDefault="00EF7141">
      <w:pPr>
        <w:numPr>
          <w:ilvl w:val="0"/>
          <w:numId w:val="4"/>
        </w:numPr>
        <w:ind w:hanging="426"/>
      </w:pPr>
      <w:r>
        <w:t xml:space="preserve">Číslo objednávky. </w:t>
      </w:r>
    </w:p>
    <w:p w14:paraId="28D80718" w14:textId="77777777" w:rsidR="00A73404" w:rsidRDefault="00EF7141">
      <w:pPr>
        <w:ind w:left="866"/>
      </w:pPr>
      <w:r>
        <w:t xml:space="preserve">Objednatel si vyhrazuje právo vrátit Fakturu Dodavateli bez úhrady, jestliže tato nebude splňovat požadované náležitosti. V tomto případě bude lhůta splatnosti Faktury přerušena a nová 30denní lhůta splatnosti bude započata po doručení Faktury opravené. V </w:t>
      </w:r>
      <w:r>
        <w:t xml:space="preserve">tomto případě není Objednatel v prodlení s úhradou příslušné částky, na kterou Faktura zní. </w:t>
      </w:r>
    </w:p>
    <w:p w14:paraId="0294FC4A" w14:textId="77777777" w:rsidR="00A73404" w:rsidRDefault="00EF7141">
      <w:pPr>
        <w:ind w:left="10"/>
      </w:pPr>
      <w:r>
        <w:t>IV. 7) V případě, že Faktura nebude obsahovat předepsané náležitosti a tuto skutečnost zjistí až příslušný správce daně či jiný orgán oprávněný k výkonu kontroly u</w:t>
      </w:r>
      <w:r>
        <w:t xml:space="preserve"> Dodavatele nebo Objednatele, odpovídá Dodavatel Objednateli za veškeré následky z tohoto plynoucí. IV. 8) V případě, že </w:t>
      </w:r>
    </w:p>
    <w:p w14:paraId="289F4AD2" w14:textId="77777777" w:rsidR="00A73404" w:rsidRDefault="00EF7141">
      <w:pPr>
        <w:numPr>
          <w:ilvl w:val="0"/>
          <w:numId w:val="5"/>
        </w:numPr>
        <w:ind w:hanging="426"/>
      </w:pPr>
      <w:r>
        <w:t>úhrada ceny dodávky má být provedena zcela nebo zčásti bezhotovostním převodem na účet vedený poskytovatelem platebních služeb mimo tu</w:t>
      </w:r>
      <w:r>
        <w:t xml:space="preserve">zemsko ve smyslu § 109 odst. 2 písm. b) ZDPH nebo že </w:t>
      </w:r>
    </w:p>
    <w:p w14:paraId="02062D04" w14:textId="77777777" w:rsidR="00A73404" w:rsidRDefault="00EF7141">
      <w:pPr>
        <w:numPr>
          <w:ilvl w:val="0"/>
          <w:numId w:val="5"/>
        </w:numPr>
        <w:spacing w:after="604"/>
        <w:ind w:hanging="426"/>
      </w:pPr>
      <w:r>
        <w:t xml:space="preserve">číslo bankovního účtu Dodavatele uvedené ve Smlouvě či na Faktuře nebude uveřejněno způsobem umožňujícím dálkový přístup ve smyslu § 109 odst. 2 písm. c) ZDPH, je Objednatel oprávněn uhradit Dodavateli </w:t>
      </w:r>
      <w:r>
        <w:t>pouze tu část peněžitého závazku vyplývajícího z Faktury, jež odpovídá výši základu DPH, a zbylou část pak ve smyslu § 109a ZDPH uhradit přímo správci daně. Stane-li se Dodavatel nespolehlivým plátcem ve smyslu § 106a ZDPH, použije se tohoto ustanovení obd</w:t>
      </w:r>
      <w:r>
        <w:t xml:space="preserve">obně. </w:t>
      </w:r>
    </w:p>
    <w:p w14:paraId="41F9AAF3" w14:textId="77777777" w:rsidR="00A73404" w:rsidRDefault="00EF7141">
      <w:pPr>
        <w:pStyle w:val="Nadpis2"/>
        <w:tabs>
          <w:tab w:val="center" w:pos="3501"/>
          <w:tab w:val="center" w:pos="482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V. </w:t>
      </w:r>
      <w:r>
        <w:tab/>
        <w:t xml:space="preserve">Záruka za jakost </w:t>
      </w:r>
    </w:p>
    <w:p w14:paraId="22200479" w14:textId="77777777" w:rsidR="00A73404" w:rsidRDefault="00EF7141">
      <w:pPr>
        <w:spacing w:after="94"/>
        <w:ind w:left="856" w:hanging="856"/>
      </w:pPr>
      <w:r>
        <w:t>V. 1) Smluvní strany sjednávají, že předměty dodávek si shodu se Smlouvou udrží a že práva z jejich vad lze uplatňovat i po smluvenou záruční dobu. Smluvní strany výslovně utvrzují, že v záruční době lze uplatnit jakoukoli vad</w:t>
      </w:r>
      <w:r>
        <w:t xml:space="preserve">u, kterou předměty dodávek mají, </w:t>
      </w:r>
      <w:r>
        <w:lastRenderedPageBreak/>
        <w:t xml:space="preserve">mj. tedy zcela bez ohledu na to, zda vznikla před či po jejich převzetí Objednatelem, nebo kdy ji Objednatel měl či mohl zjistit, nebo kdy ji zjistil, a to i v případě vad zjevných.  </w:t>
      </w:r>
    </w:p>
    <w:p w14:paraId="4158586B" w14:textId="77777777" w:rsidR="00A73404" w:rsidRDefault="00EF7141">
      <w:pPr>
        <w:spacing w:after="0" w:line="259" w:lineRule="auto"/>
        <w:ind w:left="0" w:firstLine="0"/>
        <w:jc w:val="left"/>
      </w:pPr>
      <w:r>
        <w:t xml:space="preserve"> </w:t>
      </w:r>
    </w:p>
    <w:p w14:paraId="7544DF21" w14:textId="77777777" w:rsidR="00A73404" w:rsidRDefault="00EF7141">
      <w:pPr>
        <w:pStyle w:val="Nadpis2"/>
        <w:tabs>
          <w:tab w:val="center" w:pos="1712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V. 2) </w:t>
      </w:r>
      <w:r>
        <w:rPr>
          <w:b w:val="0"/>
        </w:rPr>
        <w:tab/>
      </w:r>
      <w:r>
        <w:t xml:space="preserve">Záruka za jakost </w:t>
      </w:r>
    </w:p>
    <w:p w14:paraId="6E30E228" w14:textId="77777777" w:rsidR="00A73404" w:rsidRDefault="00EF7141">
      <w:pPr>
        <w:tabs>
          <w:tab w:val="center" w:pos="4792"/>
        </w:tabs>
        <w:ind w:left="0" w:firstLine="0"/>
        <w:jc w:val="left"/>
      </w:pPr>
      <w:r>
        <w:t xml:space="preserve">V. 2) a) </w:t>
      </w:r>
      <w:r>
        <w:tab/>
        <w:t>Do</w:t>
      </w:r>
      <w:r>
        <w:t xml:space="preserve">davatel poskytuje záruku za jakost dodávky do uplynutí 24 měsíců </w:t>
      </w:r>
      <w:proofErr w:type="gramStart"/>
      <w:r>
        <w:t>od</w:t>
      </w:r>
      <w:proofErr w:type="gramEnd"/>
      <w:r>
        <w:t xml:space="preserve"> </w:t>
      </w:r>
    </w:p>
    <w:p w14:paraId="64610B65" w14:textId="77777777" w:rsidR="00A73404" w:rsidRDefault="00EF7141">
      <w:pPr>
        <w:numPr>
          <w:ilvl w:val="0"/>
          <w:numId w:val="6"/>
        </w:numPr>
        <w:ind w:hanging="426"/>
      </w:pPr>
      <w:r>
        <w:t xml:space="preserve">převzetí dodávky nebo </w:t>
      </w:r>
    </w:p>
    <w:p w14:paraId="79FF0D0F" w14:textId="77777777" w:rsidR="00A73404" w:rsidRDefault="00EF7141">
      <w:pPr>
        <w:numPr>
          <w:ilvl w:val="0"/>
          <w:numId w:val="6"/>
        </w:numPr>
        <w:ind w:hanging="426"/>
      </w:pPr>
      <w:r>
        <w:t>odstranění poslední vady zjištěné při převzetí dodávky, byla-li dodávka Objednatelem převzata s alespoň jednou vadou, u níž Objednatel požadoval uspokojení práv z v</w:t>
      </w:r>
      <w:r>
        <w:t xml:space="preserve">ad jejím odstraněním. </w:t>
      </w:r>
    </w:p>
    <w:p w14:paraId="48A503D1" w14:textId="77777777" w:rsidR="00A73404" w:rsidRDefault="00EF7141">
      <w:pPr>
        <w:ind w:left="1144"/>
      </w:pPr>
      <w:r>
        <w:t xml:space="preserve">Pro ty části dodávky, které mají vlastní záruční listy se záruční dobou delší, platí tato delší záruční doba. </w:t>
      </w:r>
    </w:p>
    <w:p w14:paraId="7D903D11" w14:textId="77777777" w:rsidR="00A73404" w:rsidRDefault="00EF7141">
      <w:pPr>
        <w:ind w:left="1276" w:hanging="1134"/>
      </w:pPr>
      <w:r>
        <w:t xml:space="preserve">V. 2) b) Byla-li dodávka Objednatelem převzata s alespoň jednou vadou a do začátku běhu záruční doby na ní </w:t>
      </w:r>
      <w:r>
        <w:t>vznikne nebo Objednatel zjistí další vadu, dohodly se Smluvní strany, že na takovou vadu budou hledět, jako by byla vadou, která vznikla nebo byla zjištěna v záruční době, a to se všemi důsledky, které se s takovými vadami pojí.</w:t>
      </w:r>
      <w:r>
        <w:rPr>
          <w:b/>
        </w:rPr>
        <w:t xml:space="preserve"> </w:t>
      </w:r>
    </w:p>
    <w:p w14:paraId="2183B4B5" w14:textId="77777777" w:rsidR="00A73404" w:rsidRDefault="00EF7141">
      <w:pPr>
        <w:tabs>
          <w:tab w:val="center" w:pos="4864"/>
        </w:tabs>
        <w:ind w:left="0" w:firstLine="0"/>
        <w:jc w:val="left"/>
      </w:pPr>
      <w:r>
        <w:t xml:space="preserve">V. 2) c) </w:t>
      </w:r>
      <w:r>
        <w:tab/>
        <w:t xml:space="preserve">Není-li dodávka </w:t>
      </w:r>
      <w:r>
        <w:t xml:space="preserve">ve shodě se Smlouvou, má Objednatel právo zejména </w:t>
      </w:r>
      <w:proofErr w:type="gramStart"/>
      <w:r>
        <w:t>na</w:t>
      </w:r>
      <w:proofErr w:type="gramEnd"/>
      <w:r>
        <w:rPr>
          <w:color w:val="FF0000"/>
        </w:rPr>
        <w:t xml:space="preserve">  </w:t>
      </w:r>
    </w:p>
    <w:p w14:paraId="54B83D39" w14:textId="77777777" w:rsidR="00A73404" w:rsidRDefault="00EF7141">
      <w:pPr>
        <w:numPr>
          <w:ilvl w:val="0"/>
          <w:numId w:val="7"/>
        </w:numPr>
        <w:ind w:hanging="426"/>
      </w:pPr>
      <w:r>
        <w:t xml:space="preserve">na odstranění vady novým provedením její vadné části nebo provedením její chybějící části, </w:t>
      </w:r>
    </w:p>
    <w:p w14:paraId="3B1199C3" w14:textId="77777777" w:rsidR="00A73404" w:rsidRDefault="00EF7141">
      <w:pPr>
        <w:numPr>
          <w:ilvl w:val="0"/>
          <w:numId w:val="7"/>
        </w:numPr>
        <w:ind w:hanging="426"/>
      </w:pPr>
      <w:r>
        <w:t xml:space="preserve">na odstranění vady opravou, je-li vada tímto způsobem odstranitelná, nebo </w:t>
      </w:r>
    </w:p>
    <w:p w14:paraId="2D449074" w14:textId="77777777" w:rsidR="00A73404" w:rsidRDefault="00EF7141">
      <w:pPr>
        <w:numPr>
          <w:ilvl w:val="0"/>
          <w:numId w:val="7"/>
        </w:numPr>
        <w:ind w:hanging="426"/>
      </w:pPr>
      <w:r>
        <w:t xml:space="preserve">na přiměřenou slevu.  </w:t>
      </w:r>
    </w:p>
    <w:p w14:paraId="3A6677F9" w14:textId="77777777" w:rsidR="00A73404" w:rsidRDefault="00EF7141">
      <w:pPr>
        <w:spacing w:after="106"/>
        <w:ind w:left="1144"/>
      </w:pPr>
      <w:r>
        <w:t xml:space="preserve">Objednatel </w:t>
      </w:r>
      <w:r>
        <w:t xml:space="preserve">je oprávněn zvolit si a uplatnit kterékoli z uvedených práv dle svého uvážení, případně zvolit a uplatnit kombinaci těchto práv. </w:t>
      </w:r>
    </w:p>
    <w:p w14:paraId="08157064" w14:textId="77777777" w:rsidR="00A73404" w:rsidRDefault="00EF7141">
      <w:pPr>
        <w:spacing w:after="116" w:line="304" w:lineRule="auto"/>
        <w:ind w:left="127" w:right="-12" w:hanging="142"/>
        <w:jc w:val="left"/>
      </w:pPr>
      <w:r>
        <w:t xml:space="preserve">V. 3) </w:t>
      </w:r>
      <w:r>
        <w:tab/>
      </w:r>
      <w:r>
        <w:rPr>
          <w:b/>
        </w:rPr>
        <w:t xml:space="preserve">Reklamace vad v záruční době </w:t>
      </w:r>
      <w:r>
        <w:t xml:space="preserve">V. 3) a) </w:t>
      </w:r>
      <w:r>
        <w:tab/>
        <w:t xml:space="preserve">Práva z vad v záruční době uplatní Objednatel oznámením Dodavateli </w:t>
      </w:r>
      <w:r>
        <w:rPr>
          <w:i/>
        </w:rPr>
        <w:t>(dále jen „</w:t>
      </w:r>
      <w:r>
        <w:rPr>
          <w:b/>
          <w:i/>
        </w:rPr>
        <w:t>Re</w:t>
      </w:r>
      <w:r>
        <w:rPr>
          <w:b/>
          <w:i/>
        </w:rPr>
        <w:t>klamace</w:t>
      </w:r>
      <w:r>
        <w:rPr>
          <w:i/>
        </w:rPr>
        <w:t>“)</w:t>
      </w:r>
      <w:r>
        <w:t xml:space="preserve">, a to kdykoli po zjištění vady. I Reklamace odeslaná Objednatelem poslední den záruční doby se považuje za včas uplatněnou. </w:t>
      </w:r>
    </w:p>
    <w:p w14:paraId="39855324" w14:textId="77777777" w:rsidR="00A73404" w:rsidRDefault="00EF7141">
      <w:pPr>
        <w:ind w:left="1276" w:hanging="1134"/>
      </w:pPr>
      <w:r>
        <w:t>V. 3) b) Uplatnění práv z vad Objednatelem, jakož i plnění jim odpovídajících povinností Dodavatele není podmíněno ani ji</w:t>
      </w:r>
      <w:r>
        <w:t xml:space="preserve">nak spojeno s poskytnutím jakékoli další úplaty Objednatele Dodavateli, příp. jiné osobě. </w:t>
      </w:r>
    </w:p>
    <w:p w14:paraId="4AD3695D" w14:textId="77777777" w:rsidR="00A73404" w:rsidRDefault="00EF7141">
      <w:pPr>
        <w:ind w:left="1276" w:hanging="1134"/>
      </w:pPr>
      <w:r>
        <w:t>V. 3) c) Objednateli náleží i náhrada nákladů účelně vynaložených při uplatnění práv z vad.</w:t>
      </w:r>
      <w:r>
        <w:rPr>
          <w:b/>
        </w:rPr>
        <w:t xml:space="preserve"> </w:t>
      </w:r>
    </w:p>
    <w:p w14:paraId="2B7DF418" w14:textId="77777777" w:rsidR="00A73404" w:rsidRDefault="00EF7141">
      <w:pPr>
        <w:ind w:left="1276" w:hanging="1134"/>
      </w:pPr>
      <w:r>
        <w:t>V. 3) d) Uplatněná práva Objednatele z vad se Dodavatel zavazuje plně us</w:t>
      </w:r>
      <w:r>
        <w:t xml:space="preserve">pokojit bezodkladně, nejpozději však do 30 dnů ode dne obdržení Reklamace, </w:t>
      </w:r>
      <w:proofErr w:type="spellStart"/>
      <w:r>
        <w:t>nebudeli</w:t>
      </w:r>
      <w:proofErr w:type="spellEnd"/>
      <w:r>
        <w:t xml:space="preserve"> mezi Objednatelem a Dodavatelem dohodnuto jinak.  </w:t>
      </w:r>
    </w:p>
    <w:p w14:paraId="1A0A185C" w14:textId="77777777" w:rsidR="00A73404" w:rsidRDefault="00EF7141">
      <w:pPr>
        <w:ind w:left="1276" w:hanging="1134"/>
      </w:pPr>
      <w:r>
        <w:t xml:space="preserve">V. 3) e) Při odstraňování vad se Dodavatel zavazuje poskytovat Objednateli veškerou potřebnou součinnost. </w:t>
      </w:r>
    </w:p>
    <w:p w14:paraId="10553A85" w14:textId="77777777" w:rsidR="00A73404" w:rsidRDefault="00EF7141">
      <w:pPr>
        <w:pStyle w:val="Nadpis2"/>
        <w:tabs>
          <w:tab w:val="center" w:pos="1956"/>
        </w:tabs>
        <w:spacing w:after="145" w:line="259" w:lineRule="auto"/>
        <w:ind w:left="-15" w:right="0" w:firstLine="0"/>
        <w:jc w:val="left"/>
      </w:pPr>
      <w:r>
        <w:rPr>
          <w:b w:val="0"/>
        </w:rPr>
        <w:lastRenderedPageBreak/>
        <w:t xml:space="preserve">V. 4) </w:t>
      </w:r>
      <w:r>
        <w:rPr>
          <w:b w:val="0"/>
        </w:rPr>
        <w:tab/>
      </w:r>
      <w:r>
        <w:t>Stavení</w:t>
      </w:r>
      <w:r>
        <w:t xml:space="preserve"> záruční doby </w:t>
      </w:r>
    </w:p>
    <w:p w14:paraId="30B2C387" w14:textId="77777777" w:rsidR="00A73404" w:rsidRDefault="00EF7141">
      <w:pPr>
        <w:spacing w:after="93"/>
        <w:ind w:left="866"/>
      </w:pPr>
      <w:r>
        <w:t xml:space="preserve">Záruční doba neběží od okamžiku Reklamace až do dne odstranění vady, příp. do dne uhrazení přiměřené slevy </w:t>
      </w:r>
    </w:p>
    <w:p w14:paraId="5503E942" w14:textId="77777777" w:rsidR="00A73404" w:rsidRDefault="00EF7141">
      <w:pPr>
        <w:spacing w:after="0" w:line="259" w:lineRule="auto"/>
        <w:ind w:left="0" w:firstLine="0"/>
        <w:jc w:val="left"/>
      </w:pPr>
      <w:r>
        <w:t xml:space="preserve"> </w:t>
      </w:r>
    </w:p>
    <w:p w14:paraId="1218734E" w14:textId="77777777" w:rsidR="00A73404" w:rsidRDefault="00EF7141">
      <w:pPr>
        <w:pStyle w:val="Nadpis2"/>
        <w:tabs>
          <w:tab w:val="center" w:pos="2400"/>
          <w:tab w:val="center" w:pos="482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VI. </w:t>
      </w:r>
      <w:r>
        <w:tab/>
        <w:t xml:space="preserve">Smluvní pokuty a související ujednání  </w:t>
      </w:r>
    </w:p>
    <w:p w14:paraId="4F0C2125" w14:textId="77777777" w:rsidR="00A73404" w:rsidRDefault="00EF7141">
      <w:pPr>
        <w:ind w:left="856" w:hanging="856"/>
      </w:pPr>
      <w:r>
        <w:t xml:space="preserve">VI. 1) </w:t>
      </w:r>
      <w:r>
        <w:t>V případě prodlení Dodavatele oproti lhůtě pro předání dodávky se Dodavatel zavazuje Objednateli zaplatit za každý započatý den prodlení smluvní pokutu ve výši 0,3 % z ceny dodávky bez DPH, nejméně však 1.000,- Kč.</w:t>
      </w:r>
      <w:r>
        <w:rPr>
          <w:b/>
        </w:rPr>
        <w:t xml:space="preserve">  </w:t>
      </w:r>
    </w:p>
    <w:p w14:paraId="1F606FEB" w14:textId="77777777" w:rsidR="00A73404" w:rsidRDefault="00EF7141">
      <w:pPr>
        <w:ind w:left="856" w:hanging="856"/>
      </w:pPr>
      <w:r>
        <w:t>VI. 2) V případě prodlení Dodavatele op</w:t>
      </w:r>
      <w:r>
        <w:t xml:space="preserve">roti lhůtě dle </w:t>
      </w:r>
      <w:proofErr w:type="spellStart"/>
      <w:r>
        <w:t>ust</w:t>
      </w:r>
      <w:proofErr w:type="spellEnd"/>
      <w:r>
        <w:t>. III. 4) b) Smlouvy se Dodavatel zavazuje Objednateli zaplatit za každý započatý den prodlení smluvní pokutu ve výši 1.000,- Kč.</w:t>
      </w:r>
      <w:r>
        <w:rPr>
          <w:b/>
        </w:rPr>
        <w:t xml:space="preserve"> </w:t>
      </w:r>
    </w:p>
    <w:p w14:paraId="51B25E4A" w14:textId="77777777" w:rsidR="00A73404" w:rsidRDefault="00EF7141">
      <w:pPr>
        <w:tabs>
          <w:tab w:val="center" w:pos="2776"/>
        </w:tabs>
        <w:ind w:left="0" w:firstLine="0"/>
        <w:jc w:val="left"/>
      </w:pPr>
      <w:r>
        <w:t xml:space="preserve">VI. 3) </w:t>
      </w:r>
      <w:r>
        <w:tab/>
        <w:t>Smluvní pokuta je splatná tehdy, pokud</w:t>
      </w:r>
      <w:r>
        <w:rPr>
          <w:b/>
        </w:rPr>
        <w:t xml:space="preserve"> </w:t>
      </w:r>
    </w:p>
    <w:p w14:paraId="42D82782" w14:textId="77777777" w:rsidR="00A73404" w:rsidRDefault="00EF7141">
      <w:pPr>
        <w:numPr>
          <w:ilvl w:val="0"/>
          <w:numId w:val="8"/>
        </w:numPr>
        <w:ind w:hanging="426"/>
      </w:pPr>
      <w:r>
        <w:t>je prodlení Dodavatele delší než 5 dní, přičemž</w:t>
      </w:r>
      <w:r>
        <w:rPr>
          <w:b/>
        </w:rPr>
        <w:t xml:space="preserve"> </w:t>
      </w:r>
    </w:p>
    <w:p w14:paraId="79706BE8" w14:textId="77777777" w:rsidR="00A73404" w:rsidRDefault="00EF7141">
      <w:pPr>
        <w:numPr>
          <w:ilvl w:val="0"/>
          <w:numId w:val="8"/>
        </w:numPr>
        <w:ind w:hanging="426"/>
      </w:pPr>
      <w:r>
        <w:t xml:space="preserve">Dodavatel </w:t>
      </w:r>
      <w:r>
        <w:t xml:space="preserve">skutečnost, že stvrzenou povinnost nesplní, u Objednatele předem neomluvil, a to spolu s návrhem dodatečné lhůty či termínu pro její splnění, se kterým Objednatel souhlasil. </w:t>
      </w:r>
      <w:r>
        <w:rPr>
          <w:b/>
        </w:rPr>
        <w:t xml:space="preserve"> </w:t>
      </w:r>
    </w:p>
    <w:p w14:paraId="68E8A0A2" w14:textId="77777777" w:rsidR="00A73404" w:rsidRDefault="00EF7141">
      <w:pPr>
        <w:ind w:left="856" w:hanging="856"/>
      </w:pPr>
      <w:r>
        <w:t>VI. 4) Smluvní pokuty se stávají splatnými dnem následujícím po dni, ve kterém n</w:t>
      </w:r>
      <w:r>
        <w:t xml:space="preserve">a ně vzniklo právo. Objednatel si vyhrazuje právo započíst smluvní pokuty vůči pohledávkám Dodavatele za Objednatelem. </w:t>
      </w:r>
    </w:p>
    <w:p w14:paraId="3F6762B5" w14:textId="77777777" w:rsidR="00A73404" w:rsidRDefault="00EF7141">
      <w:pPr>
        <w:spacing w:after="606"/>
        <w:ind w:left="856" w:hanging="856"/>
      </w:pPr>
      <w:r>
        <w:t>VI. 5) Zaplacením smluvní pokuty není dotčen nárok Objednatele na náhradu škody způsobené mu porušením povinnosti Dodavatele, ke které s</w:t>
      </w:r>
      <w:r>
        <w:t xml:space="preserve">e vztahuje smluvní pokuta. To platí i tehdy, bude-li smluvní pokuta snížena rozhodnutím soudu. </w:t>
      </w:r>
    </w:p>
    <w:p w14:paraId="7C429D41" w14:textId="77777777" w:rsidR="00A73404" w:rsidRDefault="00EF7141">
      <w:pPr>
        <w:pStyle w:val="Nadpis2"/>
        <w:ind w:right="2"/>
      </w:pPr>
      <w:r>
        <w:t xml:space="preserve">VII. Výpověď; osvědčení Objednatele </w:t>
      </w:r>
    </w:p>
    <w:p w14:paraId="2297CF36" w14:textId="77777777" w:rsidR="00A73404" w:rsidRDefault="00EF7141">
      <w:pPr>
        <w:tabs>
          <w:tab w:val="center" w:pos="1326"/>
        </w:tabs>
        <w:ind w:left="0" w:firstLine="0"/>
        <w:jc w:val="left"/>
      </w:pPr>
      <w:r>
        <w:t xml:space="preserve">VII. 1) </w:t>
      </w:r>
      <w:r>
        <w:tab/>
      </w:r>
      <w:r>
        <w:rPr>
          <w:b/>
        </w:rPr>
        <w:t xml:space="preserve">Výpověď </w:t>
      </w:r>
    </w:p>
    <w:p w14:paraId="34F50330" w14:textId="77777777" w:rsidR="00A73404" w:rsidRDefault="00EF7141">
      <w:pPr>
        <w:ind w:left="866"/>
      </w:pPr>
      <w:r>
        <w:t xml:space="preserve">Strany se dohodly, že závazky ze Smlouvy mohou zaniknout výpovědí, a to za níže uvedených podmínek.  </w:t>
      </w:r>
    </w:p>
    <w:p w14:paraId="36882799" w14:textId="77777777" w:rsidR="00A73404" w:rsidRDefault="00EF7141">
      <w:pPr>
        <w:ind w:left="1276" w:hanging="1134"/>
      </w:pPr>
      <w:r>
        <w:t>VII</w:t>
      </w:r>
      <w:r>
        <w:t xml:space="preserve">. 1) a) </w:t>
      </w:r>
      <w:r>
        <w:tab/>
        <w:t xml:space="preserve">Objednatel je oprávněn závazky kdykoli částečně nebo v celém rozsahu vypovědět. </w:t>
      </w:r>
    </w:p>
    <w:p w14:paraId="2063E649" w14:textId="77777777" w:rsidR="00A73404" w:rsidRDefault="00EF7141">
      <w:pPr>
        <w:ind w:left="1276" w:hanging="1134"/>
      </w:pPr>
      <w:r>
        <w:t>VII. 1) b) Dodavatel je oprávněn závazky vypovědět pouze v celém rozsahu Smlouvy. Strany pro případ výpovědi ze strany Dodavatele sjednávají tříměsíční výpovědní dobu</w:t>
      </w:r>
      <w:r>
        <w:t xml:space="preserve">, která počíná běžet od počátku kalendářního měsíce následujícího po měsíci, v němž byla výpověď Objednateli doručena. </w:t>
      </w:r>
    </w:p>
    <w:p w14:paraId="33863FDC" w14:textId="77777777" w:rsidR="00A73404" w:rsidRDefault="00EF7141">
      <w:pPr>
        <w:tabs>
          <w:tab w:val="center" w:pos="4051"/>
        </w:tabs>
        <w:ind w:left="0" w:firstLine="0"/>
        <w:jc w:val="left"/>
      </w:pPr>
      <w:r>
        <w:t xml:space="preserve">VII. 1) c) </w:t>
      </w:r>
      <w:r>
        <w:tab/>
        <w:t xml:space="preserve">Výpověď závazků ze Smlouvy musí mít písemnou formu.   </w:t>
      </w:r>
    </w:p>
    <w:p w14:paraId="404C9D62" w14:textId="77777777" w:rsidR="00A73404" w:rsidRDefault="00EF7141">
      <w:pPr>
        <w:pStyle w:val="Nadpis2"/>
        <w:tabs>
          <w:tab w:val="center" w:pos="2071"/>
        </w:tabs>
        <w:spacing w:after="176" w:line="259" w:lineRule="auto"/>
        <w:ind w:left="-15" w:right="0" w:firstLine="0"/>
        <w:jc w:val="left"/>
      </w:pPr>
      <w:r>
        <w:rPr>
          <w:b w:val="0"/>
        </w:rPr>
        <w:lastRenderedPageBreak/>
        <w:t xml:space="preserve">VII. 2) </w:t>
      </w:r>
      <w:r>
        <w:rPr>
          <w:b w:val="0"/>
        </w:rPr>
        <w:tab/>
      </w:r>
      <w:r>
        <w:t xml:space="preserve">Osvědčení Objednatele </w:t>
      </w:r>
    </w:p>
    <w:p w14:paraId="563E96DC" w14:textId="77777777" w:rsidR="00A73404" w:rsidRDefault="00EF7141">
      <w:pPr>
        <w:spacing w:after="92"/>
        <w:ind w:left="866"/>
      </w:pPr>
      <w:r>
        <w:t xml:space="preserve">Objednatel na žádost Dodavatele na konci účinnosti Smlouvy vystaví osvědčení o řádném provádění dodávek. Osvědčení Objednatel nevystaví, pokud u Dodavatele uplatnil více než jednu smluvní pokutu sjednanou ve Smlouvě. </w:t>
      </w:r>
    </w:p>
    <w:p w14:paraId="3A2E6318" w14:textId="77777777" w:rsidR="00A73404" w:rsidRDefault="00EF7141">
      <w:pPr>
        <w:numPr>
          <w:ilvl w:val="0"/>
          <w:numId w:val="9"/>
        </w:numPr>
        <w:ind w:right="1" w:hanging="568"/>
      </w:pPr>
      <w:r>
        <w:t xml:space="preserve">3) </w:t>
      </w:r>
      <w:r>
        <w:tab/>
        <w:t xml:space="preserve">Pokud Objednatel </w:t>
      </w:r>
    </w:p>
    <w:p w14:paraId="209C5C26" w14:textId="77777777" w:rsidR="00A73404" w:rsidRDefault="00EF7141">
      <w:pPr>
        <w:numPr>
          <w:ilvl w:val="1"/>
          <w:numId w:val="9"/>
        </w:numPr>
        <w:ind w:hanging="426"/>
      </w:pPr>
      <w:r>
        <w:t>závazky ze Smlou</w:t>
      </w:r>
      <w:r>
        <w:t xml:space="preserve">vy vypověděl pro případ podstatného porušení Smlouvy Dodavatelem, příp.  </w:t>
      </w:r>
    </w:p>
    <w:p w14:paraId="2987DBC6" w14:textId="77777777" w:rsidR="00A73404" w:rsidRDefault="00EF7141">
      <w:pPr>
        <w:numPr>
          <w:ilvl w:val="1"/>
          <w:numId w:val="9"/>
        </w:numPr>
        <w:ind w:hanging="426"/>
      </w:pPr>
      <w:r>
        <w:t xml:space="preserve">uplatnil u Dodavatele více než tři smluvní pokuty sjednané ve Smlouvě, </w:t>
      </w:r>
    </w:p>
    <w:p w14:paraId="5C06F6B9" w14:textId="77777777" w:rsidR="00A73404" w:rsidRDefault="00EF7141">
      <w:pPr>
        <w:spacing w:after="608"/>
        <w:ind w:left="866"/>
      </w:pPr>
      <w:r>
        <w:t>přijímá to Dodavatel rovněž jako důvod pro svoje vyloučení z dalších zadávacích či výběrových řízení Objednate</w:t>
      </w:r>
      <w:r>
        <w:t xml:space="preserve">le ve smyslu ustanovení § 48 odst. 5 písm. d) zákona č. 134/2016 Sb., o zadávání veřejných zakázek, ve znění pozdějších předpisů. </w:t>
      </w:r>
    </w:p>
    <w:p w14:paraId="1233EF1A" w14:textId="77777777" w:rsidR="00A73404" w:rsidRDefault="00EF7141">
      <w:pPr>
        <w:numPr>
          <w:ilvl w:val="0"/>
          <w:numId w:val="9"/>
        </w:numPr>
        <w:spacing w:after="411" w:line="265" w:lineRule="auto"/>
        <w:ind w:right="1" w:hanging="568"/>
      </w:pPr>
      <w:r>
        <w:rPr>
          <w:b/>
        </w:rPr>
        <w:t xml:space="preserve">Komunikace Smluvních stran </w:t>
      </w:r>
    </w:p>
    <w:p w14:paraId="6D686E64" w14:textId="77777777" w:rsidR="00A73404" w:rsidRDefault="00EF7141">
      <w:pPr>
        <w:pStyle w:val="Nadpis2"/>
        <w:spacing w:after="176" w:line="259" w:lineRule="auto"/>
        <w:ind w:left="-5" w:right="0"/>
        <w:jc w:val="left"/>
      </w:pPr>
      <w:r>
        <w:rPr>
          <w:b w:val="0"/>
        </w:rPr>
        <w:t xml:space="preserve">VIII. 1) </w:t>
      </w:r>
      <w:r>
        <w:t xml:space="preserve">Písemná forma komunikace </w:t>
      </w:r>
    </w:p>
    <w:p w14:paraId="5A5FEA23" w14:textId="77777777" w:rsidR="00A73404" w:rsidRDefault="00EF7141">
      <w:pPr>
        <w:spacing w:after="116" w:line="304" w:lineRule="auto"/>
        <w:ind w:left="1286" w:right="-12" w:hanging="1144"/>
        <w:jc w:val="left"/>
      </w:pPr>
      <w:r>
        <w:t xml:space="preserve">VIII. 1) a) Za </w:t>
      </w:r>
      <w:r>
        <w:tab/>
        <w:t xml:space="preserve">písemnou </w:t>
      </w:r>
      <w:r>
        <w:tab/>
        <w:t xml:space="preserve">formu </w:t>
      </w:r>
      <w:r>
        <w:tab/>
        <w:t xml:space="preserve">komunikace </w:t>
      </w:r>
      <w:r>
        <w:tab/>
        <w:t xml:space="preserve">se </w:t>
      </w:r>
      <w:r>
        <w:tab/>
        <w:t xml:space="preserve">považuje </w:t>
      </w:r>
      <w:r>
        <w:tab/>
        <w:t>rov</w:t>
      </w:r>
      <w:r>
        <w:t xml:space="preserve">něž </w:t>
      </w:r>
      <w:r>
        <w:tab/>
        <w:t xml:space="preserve">komunikace prostřednictvím e-mailových adres uvedených ve Smlouvě, příp. používaných v souladu </w:t>
      </w:r>
      <w:r>
        <w:tab/>
        <w:t xml:space="preserve">se </w:t>
      </w:r>
      <w:r>
        <w:tab/>
        <w:t xml:space="preserve">Smlouvou, </w:t>
      </w:r>
      <w:r>
        <w:tab/>
        <w:t xml:space="preserve">či </w:t>
      </w:r>
      <w:r>
        <w:tab/>
        <w:t xml:space="preserve">jinými </w:t>
      </w:r>
      <w:r>
        <w:tab/>
        <w:t xml:space="preserve">elektronickými </w:t>
      </w:r>
      <w:r>
        <w:tab/>
        <w:t xml:space="preserve">prostředky, </w:t>
      </w:r>
      <w:r>
        <w:tab/>
        <w:t>zejména prostřednictvím datových schránek, a to i tehdy, kdy jednotlivé zprávy nejsou opatřeny zaru</w:t>
      </w:r>
      <w:r>
        <w:t xml:space="preserve">čenými elektronickými podpisy.  </w:t>
      </w:r>
    </w:p>
    <w:p w14:paraId="2CA62BA4" w14:textId="77777777" w:rsidR="00A73404" w:rsidRDefault="00EF7141">
      <w:pPr>
        <w:ind w:left="152"/>
      </w:pPr>
      <w:r>
        <w:t xml:space="preserve">VIII. 1) b) Formu komunikace dle předchozího ustanovení nelze použít pro  </w:t>
      </w:r>
    </w:p>
    <w:p w14:paraId="7DE4EDC5" w14:textId="77777777" w:rsidR="00A73404" w:rsidRDefault="00EF7141">
      <w:pPr>
        <w:numPr>
          <w:ilvl w:val="0"/>
          <w:numId w:val="10"/>
        </w:numPr>
        <w:ind w:hanging="426"/>
      </w:pPr>
      <w:r>
        <w:t xml:space="preserve">uzavření Smlouvy,  </w:t>
      </w:r>
    </w:p>
    <w:p w14:paraId="52828B70" w14:textId="77777777" w:rsidR="00A73404" w:rsidRDefault="00EF7141">
      <w:pPr>
        <w:numPr>
          <w:ilvl w:val="0"/>
          <w:numId w:val="10"/>
        </w:numPr>
        <w:ind w:hanging="426"/>
      </w:pPr>
      <w:r>
        <w:t xml:space="preserve">uzavření dodatku ke Smlouvě, </w:t>
      </w:r>
    </w:p>
    <w:p w14:paraId="752C1EAD" w14:textId="77777777" w:rsidR="00A73404" w:rsidRDefault="00EF7141">
      <w:pPr>
        <w:numPr>
          <w:ilvl w:val="0"/>
          <w:numId w:val="10"/>
        </w:numPr>
        <w:ind w:hanging="426"/>
      </w:pPr>
      <w:r>
        <w:t xml:space="preserve">výpověď závazků ze Smlouvy, </w:t>
      </w:r>
    </w:p>
    <w:p w14:paraId="38A1CEA1" w14:textId="77777777" w:rsidR="00A73404" w:rsidRDefault="00EF7141">
      <w:pPr>
        <w:numPr>
          <w:ilvl w:val="0"/>
          <w:numId w:val="10"/>
        </w:numPr>
        <w:ind w:hanging="426"/>
      </w:pPr>
      <w:r>
        <w:t xml:space="preserve">odstoupení od Smlouvy ani pro </w:t>
      </w:r>
    </w:p>
    <w:p w14:paraId="3280D307" w14:textId="77777777" w:rsidR="00A73404" w:rsidRDefault="00EF7141">
      <w:pPr>
        <w:numPr>
          <w:ilvl w:val="0"/>
          <w:numId w:val="10"/>
        </w:numPr>
        <w:ind w:hanging="426"/>
      </w:pPr>
      <w:r>
        <w:t xml:space="preserve">ustanovení Smlouvy, z jejichž úpravy to vyplývá. </w:t>
      </w:r>
    </w:p>
    <w:p w14:paraId="132C7389" w14:textId="77777777" w:rsidR="00A73404" w:rsidRDefault="00EF7141">
      <w:pPr>
        <w:ind w:left="1271"/>
      </w:pPr>
      <w:r>
        <w:t xml:space="preserve">V případech uvedených v tomto ustanovení se Smluvní strany dohodly na písemné komunikaci v elektronické podobě potvrzené zaručeným elektronickým podpisem, není-li výslovně sjednáno jinak.    </w:t>
      </w:r>
    </w:p>
    <w:p w14:paraId="2B5906E4" w14:textId="77777777" w:rsidR="00A73404" w:rsidRDefault="00EF7141">
      <w:pPr>
        <w:ind w:left="1276" w:hanging="1134"/>
      </w:pPr>
      <w:r>
        <w:t>VIII. 1) c) Př</w:t>
      </w:r>
      <w:r>
        <w:t xml:space="preserve">ípadnou změnu kontaktních údajů je Smluvní strana povinna oznámit předem druhé Smluvní straně, jinak se jí nemůže dovolávat. </w:t>
      </w:r>
    </w:p>
    <w:p w14:paraId="116A348B" w14:textId="77777777" w:rsidR="00A73404" w:rsidRDefault="00EF7141">
      <w:pPr>
        <w:ind w:left="1276" w:hanging="1134"/>
      </w:pPr>
      <w:r>
        <w:t>VIII. 1) d) Smluvní strany mohou namítnout neplatnost změny Smlouvy z důvodu nedodržení formy kdykoliv, i poté, co bylo započato s</w:t>
      </w:r>
      <w:r>
        <w:t xml:space="preserve"> plněním. </w:t>
      </w:r>
    </w:p>
    <w:p w14:paraId="326E7890" w14:textId="77777777" w:rsidR="00A73404" w:rsidRDefault="00EF7141">
      <w:pPr>
        <w:numPr>
          <w:ilvl w:val="0"/>
          <w:numId w:val="11"/>
        </w:numPr>
        <w:spacing w:after="609"/>
        <w:ind w:right="2" w:hanging="568"/>
      </w:pPr>
      <w:r>
        <w:t xml:space="preserve">2) Ustanovení Smlouvy, která se uvozují nebo k nimž se dodává „nebude-li mezi Objednatelem a Dodavatelem dohodnuto jinak“, Smluvní strany považují za ustanovení pořádkového charakteru, kdy je v zájmu obou Smluvních stran mít možnost pružně </w:t>
      </w:r>
      <w:r>
        <w:lastRenderedPageBreak/>
        <w:t>reago</w:t>
      </w:r>
      <w:r>
        <w:t xml:space="preserve">vat na průběh a podmínky plnění závazků ze Smlouvy. Takové dohody jinak Smluvní strany nepovažují za změny Smlouvy a mohou být provedeny i ústně, přičemž se má za to, že osobami k nim oprávněnými za Smluvní strany jsou i jejich kontaktní osoby. </w:t>
      </w:r>
    </w:p>
    <w:p w14:paraId="5313EB67" w14:textId="77777777" w:rsidR="00A73404" w:rsidRDefault="00EF7141">
      <w:pPr>
        <w:numPr>
          <w:ilvl w:val="0"/>
          <w:numId w:val="11"/>
        </w:numPr>
        <w:spacing w:after="411" w:line="265" w:lineRule="auto"/>
        <w:ind w:right="2" w:hanging="568"/>
      </w:pPr>
      <w:r>
        <w:rPr>
          <w:b/>
        </w:rPr>
        <w:t xml:space="preserve">Závěrečná </w:t>
      </w:r>
      <w:r>
        <w:rPr>
          <w:b/>
        </w:rPr>
        <w:t xml:space="preserve">ustanovení </w:t>
      </w:r>
    </w:p>
    <w:p w14:paraId="3E3AA602" w14:textId="77777777" w:rsidR="00A73404" w:rsidRDefault="00EF7141">
      <w:pPr>
        <w:pStyle w:val="Nadpis2"/>
        <w:tabs>
          <w:tab w:val="center" w:pos="2995"/>
        </w:tabs>
        <w:spacing w:after="176" w:line="259" w:lineRule="auto"/>
        <w:ind w:left="-15" w:right="0" w:firstLine="0"/>
        <w:jc w:val="left"/>
      </w:pPr>
      <w:r>
        <w:rPr>
          <w:b w:val="0"/>
        </w:rPr>
        <w:t xml:space="preserve">IX. 1) </w:t>
      </w:r>
      <w:r>
        <w:rPr>
          <w:b w:val="0"/>
        </w:rPr>
        <w:tab/>
      </w:r>
      <w:r>
        <w:t xml:space="preserve">Uzavření, uveřejnění a účinnost Smlouvy </w:t>
      </w:r>
    </w:p>
    <w:p w14:paraId="6AFF8187" w14:textId="77777777" w:rsidR="00A73404" w:rsidRDefault="00EF7141">
      <w:pPr>
        <w:ind w:left="1276" w:hanging="1134"/>
      </w:pPr>
      <w:r>
        <w:t xml:space="preserve">IX. 1) a) </w:t>
      </w:r>
      <w:r>
        <w:tab/>
        <w:t xml:space="preserve">Smlouva je uzavřena dnem posledního podpisu oprávněných zástupců Smluvních stran. </w:t>
      </w:r>
    </w:p>
    <w:p w14:paraId="6718F9F9" w14:textId="77777777" w:rsidR="00A73404" w:rsidRDefault="00EF7141">
      <w:pPr>
        <w:ind w:left="1276" w:hanging="1134"/>
      </w:pPr>
      <w:r>
        <w:t>IX. 1) b) Dodavatel se zavazuje strpět uveřejnění Smlouvy dle zákona č. 340/2015 Sb., o zvláštních po</w:t>
      </w:r>
      <w:r>
        <w:t xml:space="preserve">dmínkách účinnosti některých smluv, uveřejňování těchto smluv a </w:t>
      </w:r>
    </w:p>
    <w:p w14:paraId="443AAEE2" w14:textId="77777777" w:rsidR="00A73404" w:rsidRDefault="00EF7141">
      <w:pPr>
        <w:ind w:left="1271"/>
      </w:pPr>
      <w:r>
        <w:t>o registru smluv (zákon o registru smluv), ve znění pozdějších předpisů, a to ve znění, v jakém byla uzavřena. Uvedené pla</w:t>
      </w:r>
      <w:r>
        <w:t xml:space="preserve">tí obdobně i pro případné dodatky Smlouvy. </w:t>
      </w:r>
    </w:p>
    <w:p w14:paraId="1A53DD62" w14:textId="77777777" w:rsidR="00A73404" w:rsidRDefault="00EF7141">
      <w:pPr>
        <w:ind w:left="1276" w:hanging="1134"/>
      </w:pPr>
      <w:r>
        <w:t xml:space="preserve">IX. 1) c) </w:t>
      </w:r>
      <w:r>
        <w:tab/>
        <w:t xml:space="preserve">Smlouva nabývá účinnosti dnem uveřejnění v registru smluv ve smyslu předchozího ustanovení. </w:t>
      </w:r>
    </w:p>
    <w:p w14:paraId="1E60C4CE" w14:textId="77777777" w:rsidR="00A73404" w:rsidRDefault="00EF7141">
      <w:pPr>
        <w:ind w:left="856" w:hanging="856"/>
      </w:pPr>
      <w:r>
        <w:t xml:space="preserve">IX. 2) Nedílnou součástí Smlouvy je její příloha č. 1, Specifikace dodávek. Smluvní strany sjednávají, že v </w:t>
      </w:r>
      <w:r>
        <w:t xml:space="preserve">případě nesrovnalostí či kontradikcí mají ustanovení této kmenové části Smlouvy přednost před ustanoveními přílohy č. 1 této Smlouvy. </w:t>
      </w:r>
    </w:p>
    <w:p w14:paraId="016AE244" w14:textId="77777777" w:rsidR="00A73404" w:rsidRDefault="00EF7141">
      <w:pPr>
        <w:ind w:left="856" w:hanging="856"/>
      </w:pPr>
      <w:r>
        <w:t>IX. 3) Není-li ve Smlouvě dohodnuto jinak, řídí se práva a povinnosti Smlouvou neupravené či výslovně nevyloučené přísluš</w:t>
      </w:r>
      <w:r>
        <w:t xml:space="preserve">nými ustanoveními OZ a dalšími právními předpisy účinnými ke dni uzavření Smlouvy. </w:t>
      </w:r>
    </w:p>
    <w:p w14:paraId="7C76EC7E" w14:textId="77777777" w:rsidR="00A73404" w:rsidRDefault="00EF7141">
      <w:pPr>
        <w:ind w:left="856" w:hanging="856"/>
      </w:pPr>
      <w:r>
        <w:t>IX. 4) Pokud se stane některé ustanovení Smlouvy neplatné nebo neúčinné, nedotýká se to ostatních ustanovení Smlouvy, která zůstávají platná a účinná. Smluvní strany se v t</w:t>
      </w:r>
      <w:r>
        <w:t xml:space="preserve">akovém případě zavazují nahradit dohodou ustanovení neplatné nebo neúčinné ustanovením platným a účinným, které nejlépe odpovídá původně zamýšlenému účelu ustanovení neplatného nebo neúčinného. </w:t>
      </w:r>
    </w:p>
    <w:p w14:paraId="795B9AE7" w14:textId="77777777" w:rsidR="00A73404" w:rsidRDefault="00EF7141">
      <w:pPr>
        <w:spacing w:after="91"/>
        <w:ind w:left="856" w:hanging="856"/>
      </w:pPr>
      <w:r>
        <w:t>IX. 5) Dodavatel je oprávněn převést svoje práva a povinnosti</w:t>
      </w:r>
      <w:r>
        <w:t xml:space="preserve"> ze Smlouvy na třetí osobu pouze s předchozím písemným souhlasem Objednatele; § 1879 OZ se nepoužije.  </w:t>
      </w:r>
    </w:p>
    <w:p w14:paraId="4A528255" w14:textId="77777777" w:rsidR="00A73404" w:rsidRDefault="00EF7141">
      <w:pPr>
        <w:spacing w:after="100" w:line="259" w:lineRule="auto"/>
        <w:ind w:left="0" w:firstLine="0"/>
        <w:jc w:val="left"/>
      </w:pPr>
      <w:r>
        <w:t xml:space="preserve"> </w:t>
      </w:r>
    </w:p>
    <w:p w14:paraId="5A5EDECE" w14:textId="77777777" w:rsidR="00A73404" w:rsidRDefault="00EF7141">
      <w:pPr>
        <w:spacing w:after="0" w:line="259" w:lineRule="auto"/>
        <w:ind w:left="0" w:firstLine="0"/>
        <w:jc w:val="left"/>
      </w:pPr>
      <w:r>
        <w:t xml:space="preserve"> </w:t>
      </w:r>
    </w:p>
    <w:p w14:paraId="04965C35" w14:textId="77777777" w:rsidR="00A73404" w:rsidRDefault="00A73404">
      <w:pPr>
        <w:spacing w:after="0" w:line="259" w:lineRule="auto"/>
        <w:ind w:left="-1440" w:right="10460" w:firstLine="0"/>
        <w:jc w:val="left"/>
      </w:pPr>
      <w:bookmarkStart w:id="0" w:name="_GoBack"/>
      <w:bookmarkEnd w:id="0"/>
    </w:p>
    <w:tbl>
      <w:tblPr>
        <w:tblStyle w:val="TableGrid"/>
        <w:tblW w:w="9636" w:type="dxa"/>
        <w:tblInd w:w="-425" w:type="dxa"/>
        <w:tblCellMar>
          <w:top w:w="19" w:type="dxa"/>
          <w:left w:w="2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290"/>
        <w:gridCol w:w="5594"/>
        <w:gridCol w:w="1752"/>
      </w:tblGrid>
      <w:tr w:rsidR="00A73404" w14:paraId="689371C2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08CA" w14:textId="77777777" w:rsidR="00A73404" w:rsidRDefault="00EF7141">
            <w:pPr>
              <w:spacing w:after="0" w:line="259" w:lineRule="auto"/>
              <w:ind w:left="5" w:firstLine="0"/>
              <w:jc w:val="left"/>
            </w:pPr>
            <w:r>
              <w:rPr>
                <w:rFonts w:ascii="Verdana" w:eastAsia="Verdana" w:hAnsi="Verdana" w:cs="Verdana"/>
                <w:b/>
                <w:sz w:val="13"/>
              </w:rPr>
              <w:t>ID Nomenklatury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F550" w14:textId="77777777" w:rsidR="00A73404" w:rsidRDefault="00EF7141">
            <w:pPr>
              <w:spacing w:after="0" w:line="259" w:lineRule="auto"/>
              <w:ind w:left="5" w:firstLine="0"/>
              <w:jc w:val="left"/>
            </w:pPr>
            <w:r>
              <w:rPr>
                <w:rFonts w:ascii="Verdana" w:eastAsia="Verdana" w:hAnsi="Verdana" w:cs="Verdana"/>
                <w:b/>
                <w:sz w:val="13"/>
              </w:rPr>
              <w:t>Název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E64A" w14:textId="77777777" w:rsidR="00A73404" w:rsidRDefault="00EF7141">
            <w:pPr>
              <w:spacing w:after="0" w:line="259" w:lineRule="auto"/>
              <w:ind w:left="5" w:firstLine="0"/>
              <w:jc w:val="left"/>
            </w:pPr>
            <w:r>
              <w:rPr>
                <w:rFonts w:ascii="Verdana" w:eastAsia="Verdana" w:hAnsi="Verdana" w:cs="Verdana"/>
                <w:b/>
                <w:sz w:val="13"/>
              </w:rPr>
              <w:t>Cena za jednotku</w:t>
            </w:r>
          </w:p>
        </w:tc>
      </w:tr>
      <w:tr w:rsidR="00A73404" w14:paraId="69A9A7F8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0740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0100000009003600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120A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Mycí prostředek na nádobí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0A22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1,1500 Kč</w:t>
            </w:r>
          </w:p>
        </w:tc>
      </w:tr>
      <w:tr w:rsidR="00A73404" w14:paraId="2E306B52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CB6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0100000009003603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275A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rFonts w:ascii="Verdana" w:eastAsia="Verdana" w:hAnsi="Verdana" w:cs="Verdana"/>
                <w:sz w:val="13"/>
              </w:rPr>
              <w:t>Čistící</w:t>
            </w:r>
            <w:proofErr w:type="gramEnd"/>
            <w:r>
              <w:rPr>
                <w:rFonts w:ascii="Verdana" w:eastAsia="Verdana" w:hAnsi="Verdana" w:cs="Verdana"/>
                <w:sz w:val="13"/>
              </w:rPr>
              <w:t xml:space="preserve"> prostředek na podlahy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87FB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0,8580 Kč</w:t>
            </w:r>
          </w:p>
        </w:tc>
      </w:tr>
      <w:tr w:rsidR="00A73404" w14:paraId="559FF6CA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F90A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0100000009003607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BCB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Čistič skvrn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8848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3,1200 Kč</w:t>
            </w:r>
          </w:p>
        </w:tc>
      </w:tr>
      <w:tr w:rsidR="00A73404" w14:paraId="00695D34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8BE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0100000009003575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2C0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Papírové ručníky Z-Z, skládané bílé, 1-vrstvé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0659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11,9000 Kč</w:t>
            </w:r>
          </w:p>
        </w:tc>
      </w:tr>
      <w:tr w:rsidR="00A73404" w14:paraId="02BADC12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3156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0100000009003584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98D7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Tekuté mýdlo, 5l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6E36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39,5000 Kč</w:t>
            </w:r>
          </w:p>
        </w:tc>
      </w:tr>
      <w:tr w:rsidR="00A73404" w14:paraId="431DF081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58D5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0100000009003585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C95B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Pevné toaletní mýdlo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A112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4,9000 Kč</w:t>
            </w:r>
          </w:p>
        </w:tc>
      </w:tr>
      <w:tr w:rsidR="00A73404" w14:paraId="5DAB8F40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4AD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0100000009003586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3356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Dezinfekční prostř</w:t>
            </w:r>
            <w:r>
              <w:rPr>
                <w:rFonts w:ascii="Verdana" w:eastAsia="Verdana" w:hAnsi="Verdana" w:cs="Verdana"/>
                <w:sz w:val="13"/>
              </w:rPr>
              <w:t>edek na ruce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2F41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65,9000 Kč</w:t>
            </w:r>
          </w:p>
        </w:tc>
      </w:tr>
      <w:tr w:rsidR="00A73404" w14:paraId="2D7DC075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84C3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lastRenderedPageBreak/>
              <w:t>0100000009003587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DFA4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 xml:space="preserve">Tekuté mýdlo s dávkovačem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7644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0,0159 Kč</w:t>
            </w:r>
          </w:p>
        </w:tc>
      </w:tr>
      <w:tr w:rsidR="00A73404" w14:paraId="716CFEC3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135B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0100000009003589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581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Krém na ruce univerzální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C1D5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0,0990 Kč</w:t>
            </w:r>
          </w:p>
        </w:tc>
      </w:tr>
      <w:tr w:rsidR="00A73404" w14:paraId="77E757C3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7EBD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0100000009003596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1B43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Rukavice gumové, velikost 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A3E5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8,3000 Kč</w:t>
            </w:r>
          </w:p>
        </w:tc>
      </w:tr>
      <w:tr w:rsidR="00A73404" w14:paraId="03DFC313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D04D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0100000009003597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C236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Rukavice gumové, velikost M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59D9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8,3000 Kč</w:t>
            </w:r>
          </w:p>
        </w:tc>
      </w:tr>
      <w:tr w:rsidR="00A73404" w14:paraId="4A833C8D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549E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0100000009003598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0B62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Rukavice gumové, velikost 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B492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8,3000 Kč</w:t>
            </w:r>
          </w:p>
        </w:tc>
      </w:tr>
      <w:tr w:rsidR="00A73404" w14:paraId="5F8681B6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BC46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0100000009003599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951C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Rukavice gumové, velikost XL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182E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8,3000 Kč</w:t>
            </w:r>
          </w:p>
        </w:tc>
      </w:tr>
      <w:tr w:rsidR="00A73404" w14:paraId="628B2CDD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1DA0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0100000009004921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5C49" w14:textId="77777777" w:rsidR="00A73404" w:rsidRDefault="00EF7141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>Dezinfekční prostředek na ruce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6290" w14:textId="77777777" w:rsidR="00A73404" w:rsidRDefault="00EF714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159,8000 Kč</w:t>
            </w:r>
          </w:p>
        </w:tc>
      </w:tr>
      <w:tr w:rsidR="00A73404" w14:paraId="77A6328C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128C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0100000009003667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4CCA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odbarvovač na omylem odbarvené prádlo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C99C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2,1500 Kč</w:t>
            </w:r>
          </w:p>
        </w:tc>
      </w:tr>
      <w:tr w:rsidR="00A73404" w14:paraId="2010BCB4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0CA3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0100000009003670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92B8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Tekutý prací prostředek na předpírání a bělení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7DF3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24,9200 Kč</w:t>
            </w:r>
          </w:p>
        </w:tc>
      </w:tr>
      <w:tr w:rsidR="00A73404" w14:paraId="6907B2F0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0EAC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0100000009003706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A8B0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vatové tyčinky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375D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8,9500 Kč</w:t>
            </w:r>
          </w:p>
        </w:tc>
      </w:tr>
      <w:tr w:rsidR="00A73404" w14:paraId="4781AA3D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9E51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0100000009003707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704E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kosmetické tampony kulaté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22DE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13,9000 Kč</w:t>
            </w:r>
          </w:p>
        </w:tc>
      </w:tr>
      <w:tr w:rsidR="00A73404" w14:paraId="531CE50A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CF49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0100000009003628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F749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 xml:space="preserve">Švédská utěrka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AE93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8,5000 Kč</w:t>
            </w:r>
          </w:p>
        </w:tc>
      </w:tr>
      <w:tr w:rsidR="00A73404" w14:paraId="2D3A9117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8DD9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0100000009003632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6FD0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Hadr mycí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37F6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9,9000 Kč</w:t>
            </w:r>
          </w:p>
        </w:tc>
      </w:tr>
      <w:tr w:rsidR="00A73404" w14:paraId="06E37420" w14:textId="77777777">
        <w:trPr>
          <w:trHeight w:val="228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FD17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0100000009003638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3E1C" w14:textId="77777777" w:rsidR="00A73404" w:rsidRDefault="00EF7141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3"/>
              </w:rPr>
              <w:t>úklidový set (třásňový mop rotační + kbelík se ždímacím košem)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A171" w14:textId="77777777" w:rsidR="00A73404" w:rsidRDefault="00EF7141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Calibri" w:eastAsia="Calibri" w:hAnsi="Calibri" w:cs="Calibri"/>
                <w:sz w:val="17"/>
              </w:rPr>
              <w:t>79,0000 Kč</w:t>
            </w:r>
          </w:p>
        </w:tc>
      </w:tr>
    </w:tbl>
    <w:p w14:paraId="5EEA9DB4" w14:textId="77777777" w:rsidR="00000000" w:rsidRDefault="00EF7141"/>
    <w:sectPr w:rsidR="00000000">
      <w:footerReference w:type="even" r:id="rId10"/>
      <w:footerReference w:type="default" r:id="rId11"/>
      <w:footerReference w:type="first" r:id="rId12"/>
      <w:pgSz w:w="11900" w:h="16840"/>
      <w:pgMar w:top="1141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8389" w14:textId="77777777" w:rsidR="00000000" w:rsidRDefault="00EF7141">
      <w:pPr>
        <w:spacing w:after="0" w:line="240" w:lineRule="auto"/>
      </w:pPr>
      <w:r>
        <w:separator/>
      </w:r>
    </w:p>
  </w:endnote>
  <w:endnote w:type="continuationSeparator" w:id="0">
    <w:p w14:paraId="524E4423" w14:textId="77777777" w:rsidR="00000000" w:rsidRDefault="00EF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0061" w14:textId="77777777" w:rsidR="00A73404" w:rsidRDefault="00A7340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38EF" w14:textId="77777777" w:rsidR="00A73404" w:rsidRDefault="00A7340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2297" w14:textId="77777777" w:rsidR="00A73404" w:rsidRDefault="00A734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D218" w14:textId="77777777" w:rsidR="00000000" w:rsidRDefault="00EF7141">
      <w:pPr>
        <w:spacing w:after="0" w:line="240" w:lineRule="auto"/>
      </w:pPr>
      <w:r>
        <w:separator/>
      </w:r>
    </w:p>
  </w:footnote>
  <w:footnote w:type="continuationSeparator" w:id="0">
    <w:p w14:paraId="3CBB73B6" w14:textId="77777777" w:rsidR="00000000" w:rsidRDefault="00EF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34"/>
    <w:multiLevelType w:val="hybridMultilevel"/>
    <w:tmpl w:val="95A66D10"/>
    <w:lvl w:ilvl="0" w:tplc="83FCFFBE">
      <w:start w:val="8"/>
      <w:numFmt w:val="upperRoman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FF64">
      <w:start w:val="1"/>
      <w:numFmt w:val="lowerLetter"/>
      <w:lvlText w:val="%2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A9008">
      <w:start w:val="1"/>
      <w:numFmt w:val="lowerRoman"/>
      <w:lvlText w:val="%3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C0184">
      <w:start w:val="1"/>
      <w:numFmt w:val="decimal"/>
      <w:lvlText w:val="%4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61CFE">
      <w:start w:val="1"/>
      <w:numFmt w:val="lowerLetter"/>
      <w:lvlText w:val="%5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A5682">
      <w:start w:val="1"/>
      <w:numFmt w:val="lowerRoman"/>
      <w:lvlText w:val="%6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62158">
      <w:start w:val="1"/>
      <w:numFmt w:val="decimal"/>
      <w:lvlText w:val="%7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8D594">
      <w:start w:val="1"/>
      <w:numFmt w:val="lowerLetter"/>
      <w:lvlText w:val="%8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66E50">
      <w:start w:val="1"/>
      <w:numFmt w:val="lowerRoman"/>
      <w:lvlText w:val="%9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94F69"/>
    <w:multiLevelType w:val="hybridMultilevel"/>
    <w:tmpl w:val="74D81988"/>
    <w:lvl w:ilvl="0" w:tplc="D3806E02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4C3E2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AE44A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CA7E2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C2146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E7014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E7878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6E5CA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E0206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8500B"/>
    <w:multiLevelType w:val="hybridMultilevel"/>
    <w:tmpl w:val="F25E82DE"/>
    <w:lvl w:ilvl="0" w:tplc="0456A912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43B10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6E71A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4ACCE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3836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699D0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C9B22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0B7EE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21884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B03BC"/>
    <w:multiLevelType w:val="hybridMultilevel"/>
    <w:tmpl w:val="C0ECADCA"/>
    <w:lvl w:ilvl="0" w:tplc="93D6E4BE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0AF3A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438CA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83F6A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250BC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448C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CE1E6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8EEC6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E1576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B5E57"/>
    <w:multiLevelType w:val="hybridMultilevel"/>
    <w:tmpl w:val="EBDE611A"/>
    <w:lvl w:ilvl="0" w:tplc="934C7774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2F26E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A97AE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07C70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0DC6E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20C3C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AB2A2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853F6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0B3F2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524EA"/>
    <w:multiLevelType w:val="hybridMultilevel"/>
    <w:tmpl w:val="A58EAF88"/>
    <w:lvl w:ilvl="0" w:tplc="72349A14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07F64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28C7C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2D284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449252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0B7C0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84814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C5FA6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23D32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C174AF"/>
    <w:multiLevelType w:val="hybridMultilevel"/>
    <w:tmpl w:val="78A24354"/>
    <w:lvl w:ilvl="0" w:tplc="4D96C914">
      <w:start w:val="1"/>
      <w:numFmt w:val="decimal"/>
      <w:lvlText w:val="%1.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AF212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2DE70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6C196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4FC4E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0BC62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00EE4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238A8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CE67C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B5DF2"/>
    <w:multiLevelType w:val="hybridMultilevel"/>
    <w:tmpl w:val="C2AE47D2"/>
    <w:lvl w:ilvl="0" w:tplc="B0121DC6">
      <w:start w:val="7"/>
      <w:numFmt w:val="upperRoman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6F8B8">
      <w:start w:val="1"/>
      <w:numFmt w:val="decimal"/>
      <w:lvlText w:val="%2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C7BC0">
      <w:start w:val="1"/>
      <w:numFmt w:val="lowerRoman"/>
      <w:lvlText w:val="%3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8727A">
      <w:start w:val="1"/>
      <w:numFmt w:val="decimal"/>
      <w:lvlText w:val="%4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A1468">
      <w:start w:val="1"/>
      <w:numFmt w:val="lowerLetter"/>
      <w:lvlText w:val="%5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47CA">
      <w:start w:val="1"/>
      <w:numFmt w:val="lowerRoman"/>
      <w:lvlText w:val="%6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46E8E">
      <w:start w:val="1"/>
      <w:numFmt w:val="decimal"/>
      <w:lvlText w:val="%7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6A5AE">
      <w:start w:val="1"/>
      <w:numFmt w:val="lowerLetter"/>
      <w:lvlText w:val="%8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4182E">
      <w:start w:val="1"/>
      <w:numFmt w:val="lowerRoman"/>
      <w:lvlText w:val="%9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DA3BFC"/>
    <w:multiLevelType w:val="hybridMultilevel"/>
    <w:tmpl w:val="EC0059BE"/>
    <w:lvl w:ilvl="0" w:tplc="2F3A1DCC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47CC6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BEC6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0B8A6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68672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2AD4E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2CD2C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3BF2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E3576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1700E"/>
    <w:multiLevelType w:val="hybridMultilevel"/>
    <w:tmpl w:val="2C449142"/>
    <w:lvl w:ilvl="0" w:tplc="04C41930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2EA60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8432A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F82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C2D9C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42C5C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474DA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6B9F2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FD8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1F1683"/>
    <w:multiLevelType w:val="hybridMultilevel"/>
    <w:tmpl w:val="CE9CCBF2"/>
    <w:lvl w:ilvl="0" w:tplc="813C608C">
      <w:start w:val="1"/>
      <w:numFmt w:val="decimal"/>
      <w:lvlText w:val="%1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6F132">
      <w:start w:val="1"/>
      <w:numFmt w:val="lowerLetter"/>
      <w:lvlText w:val="%2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FAE8">
      <w:start w:val="1"/>
      <w:numFmt w:val="lowerRoman"/>
      <w:lvlText w:val="%3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8ECF0">
      <w:start w:val="1"/>
      <w:numFmt w:val="decimal"/>
      <w:lvlText w:val="%4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EB584">
      <w:start w:val="1"/>
      <w:numFmt w:val="lowerLetter"/>
      <w:lvlText w:val="%5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059CA">
      <w:start w:val="1"/>
      <w:numFmt w:val="lowerRoman"/>
      <w:lvlText w:val="%6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E042C">
      <w:start w:val="1"/>
      <w:numFmt w:val="decimal"/>
      <w:lvlText w:val="%7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ED0F4">
      <w:start w:val="1"/>
      <w:numFmt w:val="lowerLetter"/>
      <w:lvlText w:val="%8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89A88">
      <w:start w:val="1"/>
      <w:numFmt w:val="lowerRoman"/>
      <w:lvlText w:val="%9"/>
      <w:lvlJc w:val="left"/>
      <w:pPr>
        <w:ind w:left="7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04"/>
    <w:rsid w:val="00A73404"/>
    <w:rsid w:val="00E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FF08"/>
  <w15:docId w15:val="{77D42453-F2E4-4F90-93AD-AB0968E1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6" w:line="302" w:lineRule="auto"/>
      <w:ind w:left="454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11" w:line="265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3A817-B457-4992-962F-99DEB4396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BD65-B21C-46E0-BB2E-BEBB0D8F5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B8A69-2DBE-4375-8CBD-81054E59DA2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a9e4f861-7bc2-4c28-a406-1c4b4911b0d9"/>
    <ds:schemaRef ds:uri="fd9d3be0-ce8a-4f2a-bc38-31481e71be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2832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Růžičková Dagmar</cp:lastModifiedBy>
  <cp:revision>2</cp:revision>
  <dcterms:created xsi:type="dcterms:W3CDTF">2022-04-28T13:35:00Z</dcterms:created>
  <dcterms:modified xsi:type="dcterms:W3CDTF">2022-04-28T13:35:00Z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