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6E6C7B41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F23EFD">
        <w:rPr>
          <w:rFonts w:ascii="Arial" w:hAnsi="Arial" w:cs="Arial"/>
          <w:b/>
        </w:rPr>
        <w:t>SML/0215/2022/OSM</w:t>
      </w:r>
    </w:p>
    <w:p w14:paraId="1A44E8E5" w14:textId="11D777F3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F23EFD">
        <w:rPr>
          <w:rFonts w:ascii="Arial" w:hAnsi="Arial" w:cs="Arial"/>
          <w:b/>
        </w:rPr>
        <w:t>06.04.2022</w:t>
      </w:r>
    </w:p>
    <w:p w14:paraId="60A749AB" w14:textId="22CE1B31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F23EFD">
        <w:rPr>
          <w:rFonts w:ascii="Arial" w:hAnsi="Arial" w:cs="Arial"/>
        </w:rPr>
        <w:t>Město Hranice, IČ: 00301311</w:t>
      </w:r>
    </w:p>
    <w:p w14:paraId="0CC212F8" w14:textId="389A443C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3EFD">
        <w:rPr>
          <w:rFonts w:ascii="Arial" w:hAnsi="Arial" w:cs="Arial"/>
        </w:rPr>
        <w:t xml:space="preserve">Pernštejnské nám. 1, 753 01 </w:t>
      </w:r>
    </w:p>
    <w:p w14:paraId="0C5E7283" w14:textId="43FD0041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F23EFD">
        <w:rPr>
          <w:rFonts w:ascii="Arial" w:hAnsi="Arial" w:cs="Arial"/>
        </w:rPr>
        <w:t>Jiřím Kudláčkem, starostou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00CF304C" w14:textId="77777777" w:rsidR="00F23EFD" w:rsidRPr="00D068D0" w:rsidRDefault="00F854E4" w:rsidP="00F23EFD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23EFD">
        <w:rPr>
          <w:rFonts w:ascii="Arial" w:hAnsi="Arial" w:cs="Arial"/>
        </w:rPr>
        <w:t>EKOLTES Hranice, a.s., IČ: 61974919</w:t>
      </w:r>
    </w:p>
    <w:p w14:paraId="277C7D32" w14:textId="77777777" w:rsidR="00F23EFD" w:rsidRPr="00D068D0" w:rsidRDefault="00F23EFD" w:rsidP="00F23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DDBB9BC" w14:textId="77777777" w:rsidR="00F23EFD" w:rsidRPr="00CE1440" w:rsidRDefault="00F23EFD" w:rsidP="00F23EFD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Mgr. Jakub Horák, ředitel společnosti</w:t>
      </w:r>
    </w:p>
    <w:p w14:paraId="4E5F2872" w14:textId="21714D15" w:rsidR="006535EE" w:rsidRDefault="006535EE" w:rsidP="00D556A8">
      <w:pPr>
        <w:spacing w:after="0" w:line="240" w:lineRule="auto"/>
        <w:jc w:val="both"/>
        <w:rPr>
          <w:rFonts w:ascii="Arial" w:hAnsi="Arial" w:cs="Arial"/>
        </w:rPr>
      </w:pP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77777777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F2251">
        <w:rPr>
          <w:rFonts w:ascii="Arial" w:hAnsi="Arial" w:cs="Arial"/>
        </w:rPr>
        <w:t xml:space="preserve">  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535EE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556A8"/>
    <w:rsid w:val="00D94708"/>
    <w:rsid w:val="00DF36B5"/>
    <w:rsid w:val="00E31846"/>
    <w:rsid w:val="00E45BC4"/>
    <w:rsid w:val="00F23EFD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EEED-39A0-4E74-A784-94F75A69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14</cp:revision>
  <cp:lastPrinted>2018-11-26T05:56:00Z</cp:lastPrinted>
  <dcterms:created xsi:type="dcterms:W3CDTF">2018-11-26T05:57:00Z</dcterms:created>
  <dcterms:modified xsi:type="dcterms:W3CDTF">2022-04-28T05:23:00Z</dcterms:modified>
</cp:coreProperties>
</file>