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B4" w:rsidRDefault="00DF491F">
      <w:pPr>
        <w:pStyle w:val="Bodytext10"/>
        <w:spacing w:before="80" w:after="260"/>
      </w:pPr>
      <w:r>
        <w:rPr>
          <w:i w:val="0"/>
          <w:iCs w:val="0"/>
        </w:rPr>
        <w:t>Níže uvedeného dne, měsíce a roku uzavřeli</w:t>
      </w:r>
    </w:p>
    <w:p w:rsidR="007215B4" w:rsidRDefault="001E7AE3">
      <w:pPr>
        <w:pStyle w:val="Heading2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ateliér Š</w:t>
      </w:r>
      <w:r w:rsidR="00DF491F">
        <w:t>uráň s.r.o., IČO: 27154611, DIČ: CZ27154611</w:t>
      </w:r>
      <w:bookmarkEnd w:id="0"/>
      <w:bookmarkEnd w:id="1"/>
      <w:bookmarkEnd w:id="2"/>
    </w:p>
    <w:p w:rsidR="007215B4" w:rsidRDefault="00DF491F">
      <w:pPr>
        <w:pStyle w:val="Bodytext10"/>
        <w:spacing w:after="0"/>
      </w:pPr>
      <w:r>
        <w:rPr>
          <w:i w:val="0"/>
          <w:iCs w:val="0"/>
        </w:rPr>
        <w:t>se sídlem Praha 2, Jugoslávská č.p.481/12, PSČ 12000</w:t>
      </w:r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společnost zapsaná ve veřejném rejstříku vedeném Městským soudem v Praze, sp.zn. C 100428 zast. Ing. arch. Milan Šuráň, jednatel</w:t>
      </w:r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(dále také jako „Autor")</w:t>
      </w:r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a</w:t>
      </w:r>
    </w:p>
    <w:p w:rsidR="007215B4" w:rsidRDefault="00DF491F">
      <w:pPr>
        <w:pStyle w:val="Heading210"/>
        <w:keepNext/>
        <w:keepLines/>
        <w:spacing w:after="0"/>
      </w:pPr>
      <w:bookmarkStart w:id="3" w:name="bookmark3"/>
      <w:bookmarkStart w:id="4" w:name="bookmark4"/>
      <w:bookmarkStart w:id="5" w:name="bookmark5"/>
      <w:r>
        <w:t>Město Kroměříž, IČO: 00287351, DIČ: CZ00287351</w:t>
      </w:r>
      <w:bookmarkEnd w:id="3"/>
      <w:bookmarkEnd w:id="4"/>
      <w:bookmarkEnd w:id="5"/>
    </w:p>
    <w:p w:rsidR="007215B4" w:rsidRDefault="00DF491F">
      <w:pPr>
        <w:pStyle w:val="Bodytext10"/>
        <w:spacing w:after="0"/>
      </w:pPr>
      <w:r>
        <w:rPr>
          <w:i w:val="0"/>
          <w:iCs w:val="0"/>
        </w:rPr>
        <w:t>se sídlem Velké náměstí 115/1, 767 01 Kroměříž</w:t>
      </w:r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zast. Mgr. Jaroslav Němec, starosta</w:t>
      </w:r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(dále také jako „Nabyvatel")</w:t>
      </w:r>
      <w:bookmarkStart w:id="6" w:name="_GoBack"/>
      <w:bookmarkEnd w:id="6"/>
    </w:p>
    <w:p w:rsidR="007215B4" w:rsidRDefault="00DF491F">
      <w:pPr>
        <w:pStyle w:val="Bodytext10"/>
        <w:spacing w:after="260"/>
      </w:pPr>
      <w:r>
        <w:rPr>
          <w:i w:val="0"/>
          <w:iCs w:val="0"/>
        </w:rPr>
        <w:t>tento</w:t>
      </w:r>
    </w:p>
    <w:p w:rsidR="007215B4" w:rsidRDefault="00DF491F">
      <w:pPr>
        <w:pStyle w:val="Heading110"/>
        <w:keepNext/>
        <w:keepLines/>
        <w:spacing w:after="0" w:line="240" w:lineRule="auto"/>
      </w:pPr>
      <w:bookmarkStart w:id="7" w:name="bookmark8"/>
      <w:r>
        <w:t>Dodatek č. 1</w:t>
      </w:r>
      <w:bookmarkEnd w:id="7"/>
    </w:p>
    <w:p w:rsidR="007215B4" w:rsidRDefault="00DF491F">
      <w:pPr>
        <w:pStyle w:val="Heading110"/>
        <w:keepNext/>
        <w:keepLines/>
        <w:spacing w:after="300" w:line="226" w:lineRule="auto"/>
      </w:pPr>
      <w:bookmarkStart w:id="8" w:name="bookmark6"/>
      <w:bookmarkStart w:id="9" w:name="bookmark7"/>
      <w:bookmarkStart w:id="10" w:name="bookmark9"/>
      <w:r>
        <w:t>k Licenční smlouvě ze dne 18.02.2019</w:t>
      </w:r>
      <w:bookmarkEnd w:id="8"/>
      <w:bookmarkEnd w:id="9"/>
      <w:bookmarkEnd w:id="10"/>
    </w:p>
    <w:p w:rsidR="007215B4" w:rsidRDefault="00DF491F">
      <w:pPr>
        <w:pStyle w:val="Heading210"/>
        <w:keepNext/>
        <w:keepLines/>
        <w:spacing w:after="0"/>
        <w:jc w:val="center"/>
      </w:pPr>
      <w:bookmarkStart w:id="11" w:name="bookmark12"/>
      <w:r>
        <w:t>i.</w:t>
      </w:r>
      <w:bookmarkEnd w:id="11"/>
    </w:p>
    <w:p w:rsidR="007215B4" w:rsidRDefault="00DF491F">
      <w:pPr>
        <w:pStyle w:val="Heading210"/>
        <w:keepNext/>
        <w:keepLines/>
        <w:spacing w:after="260"/>
        <w:jc w:val="center"/>
      </w:pPr>
      <w:bookmarkStart w:id="12" w:name="bookmark10"/>
      <w:bookmarkStart w:id="13" w:name="bookmark11"/>
      <w:bookmarkStart w:id="14" w:name="bookmark13"/>
      <w:r>
        <w:t>Úvodní ustanovení</w:t>
      </w:r>
      <w:bookmarkEnd w:id="12"/>
      <w:bookmarkEnd w:id="13"/>
      <w:bookmarkEnd w:id="14"/>
    </w:p>
    <w:p w:rsidR="007215B4" w:rsidRDefault="00DF491F">
      <w:pPr>
        <w:pStyle w:val="Bodytext10"/>
        <w:numPr>
          <w:ilvl w:val="0"/>
          <w:numId w:val="1"/>
        </w:numPr>
        <w:tabs>
          <w:tab w:val="left" w:pos="436"/>
        </w:tabs>
        <w:jc w:val="both"/>
      </w:pPr>
      <w:bookmarkStart w:id="15" w:name="bookmark14"/>
      <w:bookmarkEnd w:id="15"/>
      <w:r>
        <w:rPr>
          <w:i w:val="0"/>
          <w:iCs w:val="0"/>
        </w:rPr>
        <w:t>Smluvní strany shodně konstatují, že Autor a právní předchůdce Nabyvatele uzavřeli dne 18.02.2019 Licenční smlouvu (dále jen „Smlouva"), na jejímž základě upravili vzájemná práva a povinnosti v související s Autorem provedeným dílem pro právního předchůdce Nabyvatele - projektovou dokumentací „Přístavba a stavební úpravy zimního stadionu Kroměříž" ; obsah Smlouvy je smluvním stranám znám.</w:t>
      </w:r>
    </w:p>
    <w:p w:rsidR="007215B4" w:rsidRDefault="00DF491F">
      <w:pPr>
        <w:pStyle w:val="Bodytext10"/>
        <w:numPr>
          <w:ilvl w:val="0"/>
          <w:numId w:val="1"/>
        </w:numPr>
        <w:tabs>
          <w:tab w:val="left" w:pos="426"/>
        </w:tabs>
        <w:jc w:val="both"/>
      </w:pPr>
      <w:bookmarkStart w:id="16" w:name="bookmark15"/>
      <w:bookmarkEnd w:id="16"/>
      <w:r>
        <w:rPr>
          <w:i w:val="0"/>
          <w:iCs w:val="0"/>
        </w:rPr>
        <w:t>Dále smluvní strany shodně konstatují, že Autor na základě objednávky Nabyvatele č. OBJ/2020/0573/INV ze dne 06.05.2020 provedl pro Nabyvatele dílo - „Koncepční studie změny prostorového uspořádání území-Přístavba a stavební úpravy zimního stadionu Kroměříž" stím, že tato studie je koncipována jako možný rozšiřující dodatek projektové dokumentace „Přístavba a stavební úpravy zimního stadionu Kroměříž". Autor pak ve smyslu ustanovení § 58 zákona č. 121/2000 Sb., autorského zákona ve znění pozdějších předpisů, vykonává majetková autorská práva k této studii.</w:t>
      </w:r>
    </w:p>
    <w:p w:rsidR="007215B4" w:rsidRDefault="00DF491F">
      <w:pPr>
        <w:pStyle w:val="Bodytext10"/>
        <w:numPr>
          <w:ilvl w:val="0"/>
          <w:numId w:val="1"/>
        </w:numPr>
        <w:tabs>
          <w:tab w:val="left" w:pos="421"/>
        </w:tabs>
        <w:spacing w:line="293" w:lineRule="auto"/>
        <w:jc w:val="both"/>
      </w:pPr>
      <w:bookmarkStart w:id="17" w:name="bookmark16"/>
      <w:bookmarkEnd w:id="17"/>
      <w:r>
        <w:rPr>
          <w:i w:val="0"/>
          <w:iCs w:val="0"/>
        </w:rPr>
        <w:t xml:space="preserve">Smluvní strany pro vyloučení případných pochybností sjednávají, že ujednání Smlouvy se plně aplikují i na „Koncepční studii změny prostorového uspořádání území - Přístavba a stavební úpravy zimního stadionu Kroměříž" po dobu od provedení tohoto díla do uzavření tohoto dodatku Smlouvy, dosavadní užití díla „Koncepční studii změny prostorového uspořádání území - Přístavba a stavební úpravy zimního stadionu Kroměříž" Nabyvatelem je plně v souladu se Smlouvou a smluvní strany v souvislosti s tímto dílem vůči sobě ani vůči autorovi, Ing. arch. Šuráňovi, nemají nevypořádaných nároků, kdy ustanovení uvedené v tomto odstavci se nikterak netýkají případných nároků vyplývajících z čl. </w:t>
      </w:r>
      <w:r>
        <w:rPr>
          <w:i w:val="0"/>
          <w:iCs w:val="0"/>
          <w:lang w:val="en-US" w:eastAsia="en-US" w:bidi="en-US"/>
        </w:rPr>
        <w:t xml:space="preserve">III. a </w:t>
      </w:r>
      <w:r>
        <w:rPr>
          <w:i w:val="0"/>
          <w:iCs w:val="0"/>
        </w:rPr>
        <w:t>IV. Smlouvy</w:t>
      </w:r>
    </w:p>
    <w:p w:rsidR="007215B4" w:rsidRDefault="00DF491F">
      <w:pPr>
        <w:pStyle w:val="Bodytext10"/>
        <w:numPr>
          <w:ilvl w:val="0"/>
          <w:numId w:val="1"/>
        </w:numPr>
        <w:tabs>
          <w:tab w:val="left" w:pos="426"/>
        </w:tabs>
        <w:spacing w:after="260" w:line="293" w:lineRule="auto"/>
        <w:jc w:val="both"/>
      </w:pPr>
      <w:bookmarkStart w:id="18" w:name="bookmark17"/>
      <w:bookmarkEnd w:id="18"/>
      <w:r>
        <w:rPr>
          <w:i w:val="0"/>
          <w:iCs w:val="0"/>
        </w:rPr>
        <w:t>Smluvní strany z důvodu vyloučení případných pochybností k aplikaci Smlouvy ve vztahu ke studii specifikované v odst. 1.2 tohoto dodatku Smlouvy a současně z důvodu vhodnosti podrobnější úpravy vzájemných práv a povinností týkajících se autorského dozoru k Autorskému dílu, včetně studie specifikované v odst. 1.2 tohoto dodatku Smlouvy, uzavírají tento dodatek ke Smlouvě, jímž upřesňují dále uvedené části Smlouvy následujících způsobem:</w:t>
      </w:r>
    </w:p>
    <w:p w:rsidR="007215B4" w:rsidRDefault="00DF491F">
      <w:pPr>
        <w:pStyle w:val="Bodytext10"/>
        <w:spacing w:after="0"/>
        <w:jc w:val="center"/>
      </w:pPr>
      <w:r>
        <w:rPr>
          <w:b/>
          <w:bCs/>
          <w:i w:val="0"/>
          <w:iCs w:val="0"/>
        </w:rPr>
        <w:t>II.</w:t>
      </w:r>
    </w:p>
    <w:p w:rsidR="007215B4" w:rsidRDefault="00DF491F">
      <w:pPr>
        <w:pStyle w:val="Bodytext10"/>
        <w:spacing w:after="260"/>
        <w:jc w:val="center"/>
      </w:pPr>
      <w:r>
        <w:rPr>
          <w:b/>
          <w:bCs/>
          <w:i w:val="0"/>
          <w:iCs w:val="0"/>
        </w:rPr>
        <w:lastRenderedPageBreak/>
        <w:t>Předmět dodatku</w:t>
      </w:r>
    </w:p>
    <w:p w:rsidR="007215B4" w:rsidRDefault="00DF491F">
      <w:pPr>
        <w:pStyle w:val="Bodytext10"/>
        <w:numPr>
          <w:ilvl w:val="0"/>
          <w:numId w:val="2"/>
        </w:numPr>
        <w:tabs>
          <w:tab w:val="left" w:pos="404"/>
        </w:tabs>
        <w:spacing w:after="260"/>
        <w:jc w:val="both"/>
      </w:pPr>
      <w:bookmarkStart w:id="19" w:name="bookmark18"/>
      <w:bookmarkEnd w:id="19"/>
      <w:r>
        <w:rPr>
          <w:b/>
          <w:bCs/>
          <w:i w:val="0"/>
          <w:iCs w:val="0"/>
        </w:rPr>
        <w:t xml:space="preserve">čl. I odst. 3 Smlouvy </w:t>
      </w:r>
      <w:r>
        <w:rPr>
          <w:b/>
          <w:bCs/>
          <w:i w:val="0"/>
          <w:iCs w:val="0"/>
          <w:u w:val="single"/>
        </w:rPr>
        <w:t>se nahrazuje</w:t>
      </w:r>
      <w:r>
        <w:rPr>
          <w:b/>
          <w:bCs/>
          <w:i w:val="0"/>
          <w:iCs w:val="0"/>
        </w:rPr>
        <w:t xml:space="preserve"> následujícím textem:</w:t>
      </w:r>
    </w:p>
    <w:p w:rsidR="007215B4" w:rsidRDefault="00DF491F">
      <w:pPr>
        <w:pStyle w:val="Bodytext10"/>
        <w:numPr>
          <w:ilvl w:val="0"/>
          <w:numId w:val="3"/>
        </w:numPr>
        <w:tabs>
          <w:tab w:val="left" w:pos="289"/>
        </w:tabs>
        <w:spacing w:after="260"/>
        <w:jc w:val="both"/>
      </w:pPr>
      <w:bookmarkStart w:id="20" w:name="bookmark19"/>
      <w:bookmarkEnd w:id="20"/>
      <w:r>
        <w:t>Autor prohlašuje, že je výlučným vykonavatelem majetkových práv k níže uvedenému autorskému dílu a dále prohlašuje, že obdržel od faktického autora - fyzické osoby Ing. arch. Šuráně svolení k poskytnutí, resp. postoupení, licence třetím osobám, a to vše v souladu s ustanovením § 58 zákona č. 121/2000 Sb., autorského zákona ve znění pozdějších předpisů, k následujícímu autorskému dílu: „Přístavba a stavební úpravy zimního stadionu Kroměříž" ve stupni rozpracované dokumentace k územnímu řízení, jakož i ke „Koncepční studii změny prostorového uspořádání území - Přístavba a stavební úpravy zimního stadionu Kroměříž" (dále také jako „Autorské dílo"), a ve smyslu ustanovení § 2 odst. 1 a 3 autorského zákona je držitelem majetkových autorských práv k tomuto Autorskému dílu.</w:t>
      </w:r>
    </w:p>
    <w:p w:rsidR="007215B4" w:rsidRDefault="00DF491F">
      <w:pPr>
        <w:pStyle w:val="Heading210"/>
        <w:keepNext/>
        <w:keepLines/>
        <w:numPr>
          <w:ilvl w:val="0"/>
          <w:numId w:val="2"/>
        </w:numPr>
        <w:tabs>
          <w:tab w:val="left" w:pos="404"/>
        </w:tabs>
        <w:spacing w:after="260"/>
        <w:jc w:val="both"/>
      </w:pPr>
      <w:bookmarkStart w:id="21" w:name="bookmark22"/>
      <w:bookmarkStart w:id="22" w:name="bookmark20"/>
      <w:bookmarkStart w:id="23" w:name="bookmark21"/>
      <w:bookmarkStart w:id="24" w:name="bookmark23"/>
      <w:bookmarkEnd w:id="21"/>
      <w:r>
        <w:t xml:space="preserve">čl. II odst. 4 Smlouvy </w:t>
      </w:r>
      <w:r>
        <w:rPr>
          <w:u w:val="single"/>
        </w:rPr>
        <w:t>se nahrazuje</w:t>
      </w:r>
      <w:r>
        <w:t xml:space="preserve"> následujícím textem:</w:t>
      </w:r>
      <w:bookmarkEnd w:id="22"/>
      <w:bookmarkEnd w:id="23"/>
      <w:bookmarkEnd w:id="24"/>
    </w:p>
    <w:p w:rsidR="007215B4" w:rsidRDefault="00DF491F">
      <w:pPr>
        <w:pStyle w:val="Bodytext10"/>
        <w:numPr>
          <w:ilvl w:val="0"/>
          <w:numId w:val="3"/>
        </w:numPr>
        <w:tabs>
          <w:tab w:val="left" w:pos="286"/>
        </w:tabs>
        <w:spacing w:after="0"/>
        <w:jc w:val="both"/>
      </w:pPr>
      <w:bookmarkStart w:id="25" w:name="bookmark24"/>
      <w:bookmarkEnd w:id="25"/>
      <w:r>
        <w:t xml:space="preserve">Nabyvatel se zavazuje umožnit Autorovi v souladu s autorským zákonem výkon autorského dohledu v průběhu užití autorského díla a současně se Autor zavazuje Nabyvateli poskytovat službu autorského dozoru za úplatu sjednanou v čl. </w:t>
      </w:r>
      <w:r>
        <w:rPr>
          <w:lang w:val="en-US" w:eastAsia="en-US" w:bidi="en-US"/>
        </w:rPr>
        <w:t xml:space="preserve">III. </w:t>
      </w:r>
      <w:r>
        <w:t>odst. 2 této Smlouvy. Autorský dozor bude Autorem vykonáván na výzvu Nabyvatele, a to bez zbytečného odkladu nebo v termínech dohodnutých s Nabyvatelem, a bude spočívat zejména, ale nikoliv jen v:</w:t>
      </w:r>
    </w:p>
    <w:p w:rsidR="007215B4" w:rsidRDefault="00DF491F">
      <w:pPr>
        <w:pStyle w:val="Bodytext10"/>
        <w:numPr>
          <w:ilvl w:val="0"/>
          <w:numId w:val="4"/>
        </w:numPr>
        <w:tabs>
          <w:tab w:val="left" w:pos="308"/>
        </w:tabs>
        <w:spacing w:after="0"/>
        <w:jc w:val="both"/>
      </w:pPr>
      <w:bookmarkStart w:id="26" w:name="bookmark25"/>
      <w:bookmarkEnd w:id="26"/>
      <w:r>
        <w:t xml:space="preserve">účasti na Nabyvatelem zvolených výrobních výborech s tím, že Nabyvatel je povinen Autorovi zaslat pozvánku na příslušné jednání, resp. výrobní výbor, formou e-mailové zprávy na adresu Autora: </w:t>
      </w:r>
      <w:r>
        <w:rPr>
          <w:color w:val="507BB1"/>
          <w:u w:val="single"/>
          <w:lang w:val="en-US" w:eastAsia="en-US" w:bidi="en-US"/>
        </w:rPr>
        <w:t>xxx,</w:t>
      </w:r>
      <w:r>
        <w:rPr>
          <w:color w:val="507BB1"/>
          <w:lang w:val="en-US" w:eastAsia="en-US" w:bidi="en-US"/>
        </w:rPr>
        <w:t xml:space="preserve"> </w:t>
      </w:r>
      <w:r>
        <w:t>s dostatečným časovým předstihem nejméně však 10 dnů před termínem příslušného výrobního výboru,</w:t>
      </w:r>
    </w:p>
    <w:p w:rsidR="007215B4" w:rsidRDefault="00DF491F">
      <w:pPr>
        <w:pStyle w:val="Bodytext10"/>
        <w:numPr>
          <w:ilvl w:val="0"/>
          <w:numId w:val="4"/>
        </w:numPr>
        <w:tabs>
          <w:tab w:val="left" w:pos="303"/>
        </w:tabs>
        <w:spacing w:after="0"/>
        <w:jc w:val="both"/>
      </w:pPr>
      <w:bookmarkStart w:id="27" w:name="bookmark26"/>
      <w:bookmarkEnd w:id="27"/>
      <w:r>
        <w:t>poskytování vysvětlení potřebných k vypracování dalších stupňů projektové dokumentace, jakož i k samotné realizaci stavby,</w:t>
      </w:r>
    </w:p>
    <w:p w:rsidR="007215B4" w:rsidRDefault="00DF491F">
      <w:pPr>
        <w:pStyle w:val="Bodytext10"/>
        <w:numPr>
          <w:ilvl w:val="0"/>
          <w:numId w:val="4"/>
        </w:numPr>
        <w:tabs>
          <w:tab w:val="left" w:pos="313"/>
        </w:tabs>
        <w:spacing w:after="0"/>
        <w:jc w:val="both"/>
      </w:pPr>
      <w:bookmarkStart w:id="28" w:name="bookmark27"/>
      <w:bookmarkEnd w:id="28"/>
      <w:r>
        <w:t xml:space="preserve">posuzování návrhů třetích osob-držitelů </w:t>
      </w:r>
      <w:r>
        <w:rPr>
          <w:lang w:val="en-US" w:eastAsia="en-US" w:bidi="en-US"/>
        </w:rPr>
        <w:t xml:space="preserve">Podlicence </w:t>
      </w:r>
      <w:r>
        <w:t>(zejména zhotovitel dalších stupňů projektové dokumentace, zhotovitel stavby, technický dozor Nabyvatele) na změny, úpravy a odchylky od Autorského díla,</w:t>
      </w:r>
    </w:p>
    <w:p w:rsidR="007215B4" w:rsidRDefault="00DF491F">
      <w:pPr>
        <w:pStyle w:val="Bodytext10"/>
        <w:numPr>
          <w:ilvl w:val="0"/>
          <w:numId w:val="4"/>
        </w:numPr>
        <w:tabs>
          <w:tab w:val="left" w:pos="308"/>
        </w:tabs>
        <w:spacing w:after="0"/>
        <w:jc w:val="both"/>
      </w:pPr>
      <w:bookmarkStart w:id="29" w:name="bookmark28"/>
      <w:bookmarkEnd w:id="29"/>
      <w:r>
        <w:t xml:space="preserve">spolupráce s třetími osobami-držitelů </w:t>
      </w:r>
      <w:r>
        <w:rPr>
          <w:lang w:val="en-US" w:eastAsia="en-US" w:bidi="en-US"/>
        </w:rPr>
        <w:t xml:space="preserve">Podlicence </w:t>
      </w:r>
      <w:r>
        <w:t>(zejména zhotovitel dalších stupňů projektové dokumentace, zhotovitel stavby, technický dozor Nabyvatele) v navazujících stupních realizace Autorského díla., zejména spolupráce při určování technické a provozní koncepce, vedení a určování architektonického a výtvarného řešení Autorského díla, resp. jeho dalších stupňů.</w:t>
      </w:r>
    </w:p>
    <w:p w:rsidR="007215B4" w:rsidRDefault="00DF491F">
      <w:pPr>
        <w:pStyle w:val="Bodytext10"/>
        <w:spacing w:after="260"/>
        <w:jc w:val="both"/>
      </w:pPr>
      <w:r>
        <w:t>Bez ohledu na ujednání souvětí předchozího se Nabyvatel zavazuje s Autorem konzultovat změny na Autorském díle prováděné, a to alespoň jedenkrát za měsíc v průběhu práce držitelem Pod licence a dále po dokončení každé fáze, pro niž bude Autorské dílo užito. Autor si vyhrazuje právo na určení a schválení definitivního materiálového a barevného řešení.</w:t>
      </w:r>
    </w:p>
    <w:p w:rsidR="007215B4" w:rsidRDefault="00DF491F">
      <w:pPr>
        <w:pStyle w:val="Heading210"/>
        <w:keepNext/>
        <w:keepLines/>
        <w:numPr>
          <w:ilvl w:val="0"/>
          <w:numId w:val="5"/>
        </w:numPr>
        <w:tabs>
          <w:tab w:val="left" w:pos="457"/>
        </w:tabs>
        <w:spacing w:after="260"/>
        <w:jc w:val="both"/>
      </w:pPr>
      <w:bookmarkStart w:id="30" w:name="bookmark31"/>
      <w:bookmarkStart w:id="31" w:name="bookmark29"/>
      <w:bookmarkStart w:id="32" w:name="bookmark30"/>
      <w:bookmarkStart w:id="33" w:name="bookmark32"/>
      <w:bookmarkEnd w:id="30"/>
      <w:r>
        <w:t xml:space="preserve">čl. </w:t>
      </w:r>
      <w:r>
        <w:rPr>
          <w:lang w:val="en-US" w:eastAsia="en-US" w:bidi="en-US"/>
        </w:rPr>
        <w:t xml:space="preserve">III. </w:t>
      </w:r>
      <w:r>
        <w:t>nově zní:</w:t>
      </w:r>
      <w:bookmarkEnd w:id="31"/>
      <w:bookmarkEnd w:id="32"/>
      <w:bookmarkEnd w:id="33"/>
    </w:p>
    <w:p w:rsidR="007215B4" w:rsidRDefault="00DF491F">
      <w:pPr>
        <w:pStyle w:val="Bodytext10"/>
        <w:spacing w:after="260"/>
        <w:jc w:val="both"/>
      </w:pPr>
      <w:r>
        <w:t>Nabyvatel se zavazuje Autorovi zaplatit honorář za výkon autorského dozoru, které Autor poskytne v rámci výkonu Autorského dohledu podle článku II. 4., a to ve výši 800,-Kč za hodinu (jedná se o částku, která je stanovena jako průměr hodinové sazby odborných technických a inženýrských činností, administrativních činností, času stráveného na cestě atd.). Bude-li Autorský dohled vykonáván mimo sídlo Autora, uhradí Nabyvatel též náklady spojené s cestou na místo konzultace.</w:t>
      </w:r>
    </w:p>
    <w:p w:rsidR="007215B4" w:rsidRDefault="00DF491F">
      <w:pPr>
        <w:pStyle w:val="Heading210"/>
        <w:keepNext/>
        <w:keepLines/>
        <w:numPr>
          <w:ilvl w:val="0"/>
          <w:numId w:val="5"/>
        </w:numPr>
        <w:tabs>
          <w:tab w:val="left" w:pos="457"/>
        </w:tabs>
        <w:spacing w:after="0"/>
        <w:jc w:val="both"/>
      </w:pPr>
      <w:bookmarkStart w:id="34" w:name="bookmark35"/>
      <w:bookmarkStart w:id="35" w:name="bookmark33"/>
      <w:bookmarkStart w:id="36" w:name="bookmark34"/>
      <w:bookmarkStart w:id="37" w:name="bookmark36"/>
      <w:bookmarkEnd w:id="34"/>
      <w:r>
        <w:t xml:space="preserve">čl. </w:t>
      </w:r>
      <w:r>
        <w:rPr>
          <w:lang w:val="en-US" w:eastAsia="en-US" w:bidi="en-US"/>
        </w:rPr>
        <w:t xml:space="preserve">III. </w:t>
      </w:r>
      <w:r>
        <w:t>se doplňuje o odstavec 3 ve znění:</w:t>
      </w:r>
      <w:bookmarkEnd w:id="35"/>
      <w:bookmarkEnd w:id="36"/>
      <w:bookmarkEnd w:id="37"/>
    </w:p>
    <w:p w:rsidR="007215B4" w:rsidRDefault="00DF491F">
      <w:pPr>
        <w:pStyle w:val="Bodytext10"/>
        <w:spacing w:after="260"/>
        <w:jc w:val="both"/>
      </w:pPr>
      <w:r>
        <w:t>3. Nabyvatel uhradí Autorovi odměnu specifikovanou v odstavci 2 tohoto článku Smlouvy na základě dílčích faktur s přílohou seznamu prací vystavených Autorem zpětně za kalendářní měsíc, ve kterém došlo ze strany Autora k plnění. Platba bude realizována na základě Autorem vystavených faktur dle věty předchozí, jejichž platnost je 30 dnů od doručení Nabyvateli.</w:t>
      </w:r>
      <w:r>
        <w:br w:type="page"/>
      </w:r>
    </w:p>
    <w:p w:rsidR="007215B4" w:rsidRDefault="00DF491F">
      <w:pPr>
        <w:pStyle w:val="Bodytext10"/>
        <w:spacing w:after="0"/>
        <w:jc w:val="center"/>
      </w:pPr>
      <w:r>
        <w:rPr>
          <w:b/>
          <w:bCs/>
          <w:i w:val="0"/>
          <w:iCs w:val="0"/>
          <w:lang w:val="en-US" w:eastAsia="en-US" w:bidi="en-US"/>
        </w:rPr>
        <w:t>III.</w:t>
      </w:r>
    </w:p>
    <w:p w:rsidR="007215B4" w:rsidRDefault="00DF491F">
      <w:pPr>
        <w:pStyle w:val="Bodytext10"/>
        <w:spacing w:after="0"/>
        <w:jc w:val="center"/>
      </w:pPr>
      <w:r>
        <w:rPr>
          <w:b/>
          <w:bCs/>
          <w:i w:val="0"/>
          <w:iCs w:val="0"/>
        </w:rPr>
        <w:t>Závěrečná ujednání</w:t>
      </w:r>
    </w:p>
    <w:p w:rsidR="007215B4" w:rsidRDefault="00DF491F">
      <w:pPr>
        <w:pStyle w:val="Bodytext10"/>
        <w:numPr>
          <w:ilvl w:val="1"/>
          <w:numId w:val="5"/>
        </w:numPr>
        <w:tabs>
          <w:tab w:val="left" w:pos="453"/>
        </w:tabs>
        <w:spacing w:after="120"/>
        <w:jc w:val="both"/>
      </w:pPr>
      <w:bookmarkStart w:id="38" w:name="bookmark37"/>
      <w:bookmarkEnd w:id="38"/>
      <w:r>
        <w:rPr>
          <w:i w:val="0"/>
          <w:iCs w:val="0"/>
        </w:rPr>
        <w:t>Smluvní strany prohlašují, že si tento dodatek řádně přečetly, že obsahuje pouze pravdivé údaje, byl uzavřen na základě jejich pravé, svobodné a vážné vůle, nikoliv v tísni nebo za nápadně nevýhodných podmínek, a že s jeho obsahem souhlasí, na důkaz čehož připojují níže své podpisy.</w:t>
      </w:r>
    </w:p>
    <w:p w:rsidR="007215B4" w:rsidRDefault="00DF491F">
      <w:pPr>
        <w:pStyle w:val="Bodytext10"/>
        <w:numPr>
          <w:ilvl w:val="1"/>
          <w:numId w:val="5"/>
        </w:numPr>
        <w:tabs>
          <w:tab w:val="left" w:pos="453"/>
        </w:tabs>
        <w:spacing w:after="120" w:line="338" w:lineRule="auto"/>
        <w:jc w:val="both"/>
      </w:pPr>
      <w:bookmarkStart w:id="39" w:name="bookmark38"/>
      <w:bookmarkEnd w:id="39"/>
      <w:r>
        <w:rPr>
          <w:i w:val="0"/>
          <w:iCs w:val="0"/>
        </w:rPr>
        <w:t>Tento dodatek je vyhotoven v 2 prvopisně podepsaných vyhotoveních, z nichž každý ze smluvních účastníků obdrží po jednom.</w:t>
      </w:r>
    </w:p>
    <w:p w:rsidR="007215B4" w:rsidRDefault="00DF491F">
      <w:pPr>
        <w:pStyle w:val="Bodytext10"/>
        <w:numPr>
          <w:ilvl w:val="1"/>
          <w:numId w:val="5"/>
        </w:numPr>
        <w:tabs>
          <w:tab w:val="left" w:pos="458"/>
        </w:tabs>
        <w:spacing w:after="960" w:line="338" w:lineRule="auto"/>
        <w:jc w:val="both"/>
      </w:pPr>
      <w:bookmarkStart w:id="40" w:name="bookmark39"/>
      <w:bookmarkEnd w:id="40"/>
      <w:r>
        <w:rPr>
          <w:i w:val="0"/>
          <w:iCs w:val="0"/>
        </w:rPr>
        <w:t>Uzavření tohoto dodatku bylo schváleno dne 24.3.2022 na 99. schůzi Rady města Kroměříže, č. usnesení 2654</w:t>
      </w:r>
    </w:p>
    <w:p w:rsidR="007215B4" w:rsidRDefault="00DF491F">
      <w:pPr>
        <w:pStyle w:val="Bodytext10"/>
        <w:spacing w:after="120" w:line="240" w:lineRule="auto"/>
        <w:jc w:val="both"/>
      </w:pPr>
      <w:r>
        <w:rPr>
          <w:i w:val="0"/>
          <w:iCs w:val="0"/>
        </w:rPr>
        <w:t>V Kroměříži 7. 4. 2022</w:t>
      </w:r>
    </w:p>
    <w:p w:rsidR="007215B4" w:rsidRDefault="00DF491F">
      <w:pPr>
        <w:pStyle w:val="Bodytext10"/>
        <w:spacing w:before="120" w:after="0"/>
        <w:jc w:val="both"/>
      </w:pPr>
      <w:r>
        <w:rPr>
          <w:i w:val="0"/>
          <w:iCs w:val="0"/>
        </w:rPr>
        <w:t>Autor ateliér Šuráň s.r.o.</w:t>
      </w:r>
    </w:p>
    <w:p w:rsidR="00DF491F" w:rsidRDefault="00DF491F">
      <w:pPr>
        <w:pStyle w:val="Bodytext10"/>
        <w:spacing w:after="1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3972560</wp:posOffset>
                </wp:positionH>
                <wp:positionV relativeFrom="margin">
                  <wp:posOffset>4827905</wp:posOffset>
                </wp:positionV>
                <wp:extent cx="2023745" cy="5270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5B4" w:rsidRDefault="00DF491F">
                            <w:pPr>
                              <w:pStyle w:val="Picturecaption10"/>
                            </w:pPr>
                            <w:r>
                              <w:t>Nabyvatel</w:t>
                            </w:r>
                          </w:p>
                          <w:p w:rsidR="007215B4" w:rsidRDefault="00DF491F">
                            <w:pPr>
                              <w:pStyle w:val="Picturecaption10"/>
                            </w:pPr>
                            <w:r>
                              <w:t>Město Kroměříž zast. Mgr. Jaroslav Němec, 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312.8pt;margin-top:380.15pt;width:159.35pt;height:4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" filled="f" stroked="f">
                <v:textbox inset="0,0,0,0">
                  <w:txbxContent>
                    <w:p w:rsidR="007215B4" w:rsidRDefault="00DF491F">
                      <w:pPr>
                        <w:pStyle w:val="Picturecaption10"/>
                      </w:pPr>
                      <w:r>
                        <w:t>Nabyvatel</w:t>
                      </w:r>
                    </w:p>
                    <w:p w:rsidR="007215B4" w:rsidRDefault="00DF491F">
                      <w:pPr>
                        <w:pStyle w:val="Picturecaption10"/>
                      </w:pPr>
                      <w:r>
                        <w:t xml:space="preserve">Město </w:t>
                      </w:r>
                      <w:r>
                        <w:t xml:space="preserve">Kroměříž </w:t>
                      </w:r>
                      <w:proofErr w:type="spellStart"/>
                      <w:r>
                        <w:t>zast</w:t>
                      </w:r>
                      <w:proofErr w:type="spellEnd"/>
                      <w:r>
                        <w:t>. Mgr. Jaroslav Němec, starosta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i w:val="0"/>
          <w:iCs w:val="0"/>
        </w:rPr>
        <w:t>zast. Ing. arch. Milan Šuráň, jednatel</w:t>
      </w:r>
    </w:p>
    <w:p w:rsidR="00DF491F" w:rsidRPr="00DF491F" w:rsidRDefault="00DF491F" w:rsidP="00DF491F"/>
    <w:p w:rsidR="00DF491F" w:rsidRPr="00DF491F" w:rsidRDefault="00DF491F" w:rsidP="00DF491F"/>
    <w:p w:rsidR="00DF491F" w:rsidRPr="00DF491F" w:rsidRDefault="00DF491F" w:rsidP="00DF491F"/>
    <w:p w:rsidR="00DF491F" w:rsidRPr="00DF491F" w:rsidRDefault="00DF491F" w:rsidP="00DF491F"/>
    <w:p w:rsidR="00DF491F" w:rsidRPr="00DF491F" w:rsidRDefault="00DF491F" w:rsidP="00DF491F"/>
    <w:p w:rsidR="00DF491F" w:rsidRPr="00DF491F" w:rsidRDefault="00DF491F" w:rsidP="00DF491F"/>
    <w:p w:rsidR="00DF491F" w:rsidRPr="00DF491F" w:rsidRDefault="00DF491F" w:rsidP="00DF491F"/>
    <w:p w:rsidR="00DF491F" w:rsidRDefault="00DF491F" w:rsidP="00DF491F"/>
    <w:p w:rsidR="007215B4" w:rsidRPr="00DF491F" w:rsidRDefault="00DF491F" w:rsidP="00DF49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19.4. 2022</w:t>
      </w:r>
    </w:p>
    <w:sectPr w:rsidR="007215B4" w:rsidRPr="00DF491F">
      <w:headerReference w:type="default" r:id="rId7"/>
      <w:pgSz w:w="11900" w:h="16840"/>
      <w:pgMar w:top="1416" w:right="1468" w:bottom="1442" w:left="1292" w:header="0" w:footer="10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6B" w:rsidRDefault="00FE1D6B">
      <w:r>
        <w:separator/>
      </w:r>
    </w:p>
  </w:endnote>
  <w:endnote w:type="continuationSeparator" w:id="0">
    <w:p w:rsidR="00FE1D6B" w:rsidRDefault="00FE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6B" w:rsidRDefault="00FE1D6B"/>
  </w:footnote>
  <w:footnote w:type="continuationSeparator" w:id="0">
    <w:p w:rsidR="00FE1D6B" w:rsidRDefault="00FE1D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5B4" w:rsidRDefault="00DF491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5574030</wp:posOffset>
              </wp:positionH>
              <wp:positionV relativeFrom="page">
                <wp:posOffset>469265</wp:posOffset>
              </wp:positionV>
              <wp:extent cx="83185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15B4" w:rsidRDefault="00DF491F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SML/180/2022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_x0000_s1035" type="#_x0000_t202" style="position:absolute;margin-left:438.90000000000003pt;margin-top:36.950000000000003pt;width:65.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cs-CZ" w:eastAsia="cs-CZ" w:bidi="cs-CZ"/>
                      </w:rPr>
                      <w:t>SML/180/2022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6E83"/>
    <w:multiLevelType w:val="multilevel"/>
    <w:tmpl w:val="D93C4C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15A54"/>
    <w:multiLevelType w:val="multilevel"/>
    <w:tmpl w:val="245AEF3C"/>
    <w:lvl w:ilvl="0">
      <w:start w:val="2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167C8F"/>
    <w:multiLevelType w:val="multilevel"/>
    <w:tmpl w:val="AEBE530C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0550FE"/>
    <w:multiLevelType w:val="multilevel"/>
    <w:tmpl w:val="B5C00D9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F3B33"/>
    <w:multiLevelType w:val="multilevel"/>
    <w:tmpl w:val="BBD440B8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B4"/>
    <w:rsid w:val="001E7AE3"/>
    <w:rsid w:val="007215B4"/>
    <w:rsid w:val="009748A5"/>
    <w:rsid w:val="00DA0B6C"/>
    <w:rsid w:val="00DF491F"/>
    <w:rsid w:val="00F36DF8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C0E5C-A7A0-4C6E-AECC-4C06717C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pPr>
      <w:spacing w:line="295" w:lineRule="auto"/>
    </w:pPr>
    <w:rPr>
      <w:rFonts w:ascii="Arial" w:eastAsia="Arial" w:hAnsi="Arial" w:cs="Arial"/>
      <w:sz w:val="19"/>
      <w:szCs w:val="19"/>
    </w:rPr>
  </w:style>
  <w:style w:type="paragraph" w:customStyle="1" w:styleId="Bodytext10">
    <w:name w:val="Body text|1"/>
    <w:basedOn w:val="Normln"/>
    <w:link w:val="Bodytext1"/>
    <w:pPr>
      <w:spacing w:after="160" w:line="295" w:lineRule="auto"/>
    </w:pPr>
    <w:rPr>
      <w:rFonts w:ascii="Arial" w:eastAsia="Arial" w:hAnsi="Arial" w:cs="Arial"/>
      <w:i/>
      <w:iCs/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30" w:line="295" w:lineRule="auto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10">
    <w:name w:val="Heading #1|1"/>
    <w:basedOn w:val="Normln"/>
    <w:link w:val="Heading11"/>
    <w:pPr>
      <w:spacing w:after="150" w:line="233" w:lineRule="auto"/>
      <w:jc w:val="center"/>
      <w:outlineLvl w:val="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Krejčiříková Jaroslava</cp:lastModifiedBy>
  <cp:revision>3</cp:revision>
  <dcterms:created xsi:type="dcterms:W3CDTF">2022-04-27T15:42:00Z</dcterms:created>
  <dcterms:modified xsi:type="dcterms:W3CDTF">2022-04-27T15:43:00Z</dcterms:modified>
</cp:coreProperties>
</file>