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27D836" w14:textId="77777777" w:rsidR="00D42750" w:rsidRDefault="002F5068">
      <w:pPr>
        <w:pStyle w:val="Nadpis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PŘÍKAZNÍ SMLOUVA </w:t>
      </w:r>
    </w:p>
    <w:p w14:paraId="2A9E40B2" w14:textId="77777777" w:rsidR="00D42750" w:rsidRDefault="002F5068">
      <w:pPr>
        <w:pStyle w:val="Nadpis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uzavřená podle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>. § 2430 a násl. zákona č. 89/2012 Sb., občanský zákoník v platném znění</w:t>
      </w:r>
    </w:p>
    <w:p w14:paraId="1424C589" w14:textId="77777777" w:rsidR="00D42750" w:rsidRDefault="002F506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1BACD38" w14:textId="77777777" w:rsidR="00D42750" w:rsidRDefault="002F5068">
      <w:pPr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Smluvní strany</w:t>
      </w:r>
    </w:p>
    <w:p w14:paraId="565FBCE0" w14:textId="77777777" w:rsidR="00D42750" w:rsidRDefault="002F5068">
      <w:pPr>
        <w:numPr>
          <w:ilvl w:val="1"/>
          <w:numId w:val="8"/>
        </w:numPr>
        <w:tabs>
          <w:tab w:val="left" w:pos="510"/>
        </w:tabs>
        <w:spacing w:after="120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Příkazce:</w:t>
      </w:r>
    </w:p>
    <w:tbl>
      <w:tblPr>
        <w:tblW w:w="895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8955"/>
      </w:tblGrid>
      <w:tr w:rsidR="00D42750" w14:paraId="25318378" w14:textId="77777777">
        <w:tc>
          <w:tcPr>
            <w:tcW w:w="8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1DDCDEB" w14:textId="77777777" w:rsidR="00D42750" w:rsidRDefault="002F5068">
            <w:pPr>
              <w:autoSpaceDE w:val="0"/>
              <w:snapToGrid w:val="0"/>
              <w:ind w:left="17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Město Litovel</w:t>
            </w:r>
          </w:p>
        </w:tc>
      </w:tr>
      <w:tr w:rsidR="00D42750" w14:paraId="044CB51E" w14:textId="77777777">
        <w:tc>
          <w:tcPr>
            <w:tcW w:w="8955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78D56ED" w14:textId="77777777" w:rsidR="00D42750" w:rsidRDefault="002F5068">
            <w:pPr>
              <w:snapToGrid w:val="0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 sídlem: nám. Přemysla Otakara 778, 784 01 Litovel</w:t>
            </w:r>
          </w:p>
        </w:tc>
      </w:tr>
      <w:tr w:rsidR="00D42750" w14:paraId="09990773" w14:textId="77777777">
        <w:tc>
          <w:tcPr>
            <w:tcW w:w="8955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DCCEC7C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zastoupené: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Viktor Kohout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starosta města</w:t>
            </w:r>
          </w:p>
        </w:tc>
      </w:tr>
      <w:tr w:rsidR="00D42750" w14:paraId="14C53A21" w14:textId="77777777">
        <w:tc>
          <w:tcPr>
            <w:tcW w:w="8955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EBF754F" w14:textId="77777777" w:rsidR="00D42750" w:rsidRDefault="002F5068">
            <w:pPr>
              <w:snapToGrid w:val="0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IČ:  00299138</w:t>
            </w:r>
            <w:proofErr w:type="gramEnd"/>
          </w:p>
          <w:p w14:paraId="220429D3" w14:textId="77777777" w:rsidR="00D42750" w:rsidRDefault="002F5068">
            <w:pPr>
              <w:snapToGrid w:val="0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DIČ: CZ00299138</w:t>
            </w:r>
          </w:p>
        </w:tc>
      </w:tr>
      <w:tr w:rsidR="00D42750" w14:paraId="3FFFBE69" w14:textId="77777777">
        <w:tc>
          <w:tcPr>
            <w:tcW w:w="8955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D53B97C" w14:textId="77777777" w:rsidR="00D42750" w:rsidRDefault="002F5068">
            <w:pPr>
              <w:snapToGrid w:val="0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osoby oprávněné jednat</w:t>
            </w:r>
          </w:p>
        </w:tc>
      </w:tr>
      <w:tr w:rsidR="00D42750" w14:paraId="04491E46" w14:textId="77777777">
        <w:tc>
          <w:tcPr>
            <w:tcW w:w="8955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1389F6E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ve věcech smluvních: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Viktor Kohout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starosta města</w:t>
            </w:r>
          </w:p>
        </w:tc>
      </w:tr>
      <w:tr w:rsidR="00D42750" w14:paraId="1E8F90DA" w14:textId="77777777">
        <w:tc>
          <w:tcPr>
            <w:tcW w:w="8955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41B18B5" w14:textId="77777777" w:rsidR="00D42750" w:rsidRDefault="002F5068">
            <w:pPr>
              <w:snapToGrid w:val="0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bankovní spojení: Komerční banka, a.s.</w:t>
            </w:r>
          </w:p>
        </w:tc>
      </w:tr>
      <w:tr w:rsidR="00D42750" w14:paraId="24F97300" w14:textId="77777777">
        <w:tc>
          <w:tcPr>
            <w:tcW w:w="8955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4B4BE69" w14:textId="77777777" w:rsidR="00D42750" w:rsidRDefault="002F5068">
            <w:pPr>
              <w:pBdr>
                <w:left w:val="single" w:sz="4" w:space="4" w:color="000000"/>
                <w:right w:val="single" w:sz="4" w:space="4" w:color="000000"/>
              </w:pBdr>
              <w:tabs>
                <w:tab w:val="left" w:pos="360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Číslo účtu: 3620811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kód banky: 0100</w:t>
            </w:r>
          </w:p>
        </w:tc>
      </w:tr>
    </w:tbl>
    <w:p w14:paraId="10BD8AF7" w14:textId="77777777" w:rsidR="00D42750" w:rsidRDefault="002F5068">
      <w:pPr>
        <w:ind w:left="567"/>
      </w:pPr>
      <w:r>
        <w:rPr>
          <w:rFonts w:ascii="Times New Roman" w:hAnsi="Times New Roman" w:cs="Times New Roman"/>
          <w:sz w:val="22"/>
          <w:szCs w:val="22"/>
        </w:rPr>
        <w:t xml:space="preserve">na straně jedné </w:t>
      </w:r>
      <w:r>
        <w:rPr>
          <w:rFonts w:ascii="Times New Roman" w:hAnsi="Times New Roman" w:cs="Times New Roman"/>
          <w:b/>
          <w:sz w:val="22"/>
          <w:szCs w:val="22"/>
        </w:rPr>
        <w:t>(dále jen „příkazce“)</w:t>
      </w:r>
    </w:p>
    <w:p w14:paraId="5288CF8A" w14:textId="77777777" w:rsidR="00D42750" w:rsidRDefault="00D42750">
      <w:pPr>
        <w:ind w:left="567"/>
        <w:rPr>
          <w:rFonts w:ascii="Times New Roman" w:hAnsi="Times New Roman" w:cs="Times New Roman"/>
          <w:b/>
          <w:sz w:val="22"/>
          <w:szCs w:val="22"/>
        </w:rPr>
      </w:pPr>
    </w:p>
    <w:p w14:paraId="658EC89B" w14:textId="77777777" w:rsidR="00D42750" w:rsidRDefault="002F5068">
      <w:pPr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14:paraId="31B2DC98" w14:textId="77777777" w:rsidR="00D42750" w:rsidRDefault="00D42750">
      <w:pPr>
        <w:ind w:left="567"/>
        <w:rPr>
          <w:rFonts w:ascii="Times New Roman" w:hAnsi="Times New Roman" w:cs="Times New Roman"/>
          <w:b/>
          <w:sz w:val="22"/>
          <w:szCs w:val="22"/>
        </w:rPr>
      </w:pPr>
    </w:p>
    <w:p w14:paraId="35C5777B" w14:textId="77777777" w:rsidR="00D42750" w:rsidRDefault="002F5068">
      <w:pPr>
        <w:numPr>
          <w:ilvl w:val="1"/>
          <w:numId w:val="8"/>
        </w:numPr>
        <w:tabs>
          <w:tab w:val="left" w:pos="480"/>
        </w:tabs>
        <w:spacing w:after="120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Příkazník:</w:t>
      </w:r>
    </w:p>
    <w:tbl>
      <w:tblPr>
        <w:tblW w:w="8921" w:type="dxa"/>
        <w:tblInd w:w="268" w:type="dxa"/>
        <w:tblLayout w:type="fixed"/>
        <w:tblLook w:val="04A0" w:firstRow="1" w:lastRow="0" w:firstColumn="1" w:lastColumn="0" w:noHBand="0" w:noVBand="1"/>
      </w:tblPr>
      <w:tblGrid>
        <w:gridCol w:w="8921"/>
      </w:tblGrid>
      <w:tr w:rsidR="00D42750" w14:paraId="610E4023" w14:textId="77777777">
        <w:tc>
          <w:tcPr>
            <w:tcW w:w="89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3856F5D" w14:textId="77777777" w:rsidR="00D42750" w:rsidRDefault="002F5068">
            <w:pPr>
              <w:snapToGrid w:val="0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GEOtest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a.s.</w:t>
            </w:r>
          </w:p>
        </w:tc>
      </w:tr>
      <w:tr w:rsidR="00D42750" w14:paraId="1ECE168C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ABF7A91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 sídlem: Šmahova 1244/112, 627 00 Brno</w:t>
            </w:r>
          </w:p>
        </w:tc>
      </w:tr>
      <w:tr w:rsidR="00D42750" w14:paraId="3779226E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343B4BA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Zastoupená: Mgr. Lubomír Procházka, Ph.D., člen představenstva</w:t>
            </w:r>
          </w:p>
        </w:tc>
      </w:tr>
      <w:tr w:rsidR="00D42750" w14:paraId="2967DFFE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D2AAE27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IČ: 46344942</w:t>
            </w:r>
          </w:p>
        </w:tc>
      </w:tr>
      <w:tr w:rsidR="00D42750" w14:paraId="1AC2EE25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108D43D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DIČ: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CZ46344942</w:t>
            </w:r>
          </w:p>
        </w:tc>
      </w:tr>
      <w:tr w:rsidR="00D42750" w14:paraId="288781DA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336CDF1" w14:textId="77777777" w:rsidR="00D42750" w:rsidRDefault="002F5068">
            <w:pPr>
              <w:snapToGrid w:val="0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osoby oprávněné jednat</w:t>
            </w:r>
          </w:p>
        </w:tc>
      </w:tr>
      <w:tr w:rsidR="00D42750" w14:paraId="52D7FFEA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18D3FDD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ve věcech smluvních: Ing. Jan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Hillermann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Ph.D., MBA, obchodní ředitel</w:t>
            </w:r>
          </w:p>
        </w:tc>
      </w:tr>
      <w:tr w:rsidR="00D42750" w14:paraId="5C09110E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3818CF3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ve věcech technických: RNDr. Jan Bartoň </w:t>
            </w:r>
          </w:p>
        </w:tc>
      </w:tr>
      <w:tr w:rsidR="00D42750" w14:paraId="4CCDC668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2E02A90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bankovní spojení: Komerční banka, a.s.</w:t>
            </w:r>
          </w:p>
        </w:tc>
      </w:tr>
      <w:tr w:rsidR="00D42750" w14:paraId="1E2A8006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D41536F" w14:textId="77777777" w:rsidR="00D42750" w:rsidRDefault="002F5068">
            <w:pPr>
              <w:snapToGrid w:val="0"/>
              <w:ind w:left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číslo účtu: 11506621                           kód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banky: 0100</w:t>
            </w:r>
          </w:p>
        </w:tc>
      </w:tr>
      <w:tr w:rsidR="00D42750" w14:paraId="071AAC22" w14:textId="77777777">
        <w:tc>
          <w:tcPr>
            <w:tcW w:w="8921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F7E3095" w14:textId="77777777" w:rsidR="00D42750" w:rsidRDefault="002F5068">
            <w:pPr>
              <w:snapToGrid w:val="0"/>
              <w:ind w:firstLine="17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Tel.: 548 125 493</w:t>
            </w:r>
          </w:p>
        </w:tc>
      </w:tr>
    </w:tbl>
    <w:p w14:paraId="254A4C53" w14:textId="77777777" w:rsidR="00D42750" w:rsidRDefault="002F5068">
      <w:pPr>
        <w:ind w:left="567"/>
      </w:pPr>
      <w:r>
        <w:rPr>
          <w:rFonts w:ascii="Times New Roman" w:hAnsi="Times New Roman" w:cs="Times New Roman"/>
          <w:sz w:val="22"/>
          <w:szCs w:val="22"/>
        </w:rPr>
        <w:t xml:space="preserve">na straně druhé </w:t>
      </w:r>
      <w:r>
        <w:rPr>
          <w:rFonts w:ascii="Times New Roman" w:hAnsi="Times New Roman" w:cs="Times New Roman"/>
          <w:b/>
          <w:sz w:val="22"/>
          <w:szCs w:val="22"/>
        </w:rPr>
        <w:t>(dále jen „příkazník“)</w:t>
      </w:r>
    </w:p>
    <w:p w14:paraId="2E5ED9EE" w14:textId="77777777" w:rsidR="00D42750" w:rsidRDefault="00D42750">
      <w:pPr>
        <w:rPr>
          <w:rFonts w:ascii="Times New Roman" w:hAnsi="Times New Roman" w:cs="Times New Roman"/>
          <w:b/>
          <w:sz w:val="22"/>
          <w:szCs w:val="22"/>
        </w:rPr>
      </w:pPr>
    </w:p>
    <w:p w14:paraId="07DB47C5" w14:textId="77777777" w:rsidR="00D42750" w:rsidRDefault="002F5068">
      <w:pPr>
        <w:spacing w:after="60"/>
        <w:ind w:left="567" w:hanging="567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uzavírají dnešního dne podle ustanovení § 2430 a násl. zákona č. 89/2012 Sb., občanský zákoník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dále jen „OZ“) tuto Příkazní smlouvu (dále jen "Smlouva"). </w:t>
      </w:r>
    </w:p>
    <w:p w14:paraId="025D0EE9" w14:textId="77777777" w:rsidR="00D42750" w:rsidRDefault="00D4275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11B8EA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Je-li dále ve </w:t>
      </w:r>
      <w:r>
        <w:rPr>
          <w:rFonts w:ascii="Times New Roman" w:hAnsi="Times New Roman" w:cs="Times New Roman"/>
          <w:color w:val="000000"/>
          <w:sz w:val="22"/>
          <w:szCs w:val="22"/>
        </w:rPr>
        <w:t>Smlouvě uvedeno, že jedná příkazce, má se za to, že jedná osoba oprávněná jednat za příkazce, která má k tomuto zmocnění či jiné oprávnění.</w:t>
      </w:r>
    </w:p>
    <w:p w14:paraId="0DEFD2AA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Při operativním technickém řízení činností při realizaci díla, při potvrzování zápisů, odsouhlasení faktur nebo </w:t>
      </w:r>
      <w:r>
        <w:rPr>
          <w:rFonts w:ascii="Times New Roman" w:hAnsi="Times New Roman" w:cs="Times New Roman"/>
          <w:color w:val="000000"/>
          <w:sz w:val="22"/>
          <w:szCs w:val="22"/>
        </w:rPr>
        <w:t>jiných podkladů pro</w:t>
      </w:r>
      <w:r>
        <w:rPr>
          <w:rFonts w:ascii="Times New Roman" w:hAnsi="Times New Roman" w:cs="Times New Roman"/>
          <w:sz w:val="22"/>
          <w:szCs w:val="22"/>
        </w:rPr>
        <w:t xml:space="preserve"> placení, potvrzování soupisu provedených prací, zápisů o předání a převzetí díla nebo jeho části jsou zmocněni jednat.</w:t>
      </w:r>
    </w:p>
    <w:p w14:paraId="44716C38" w14:textId="77777777" w:rsidR="00D42750" w:rsidRDefault="002F506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14:paraId="4E517D7B" w14:textId="77777777" w:rsidR="00D42750" w:rsidRDefault="002F5068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za příkazce: Ing. Pavel Kurfürst </w:t>
      </w:r>
    </w:p>
    <w:p w14:paraId="2747A90F" w14:textId="77777777" w:rsidR="00D42750" w:rsidRDefault="002F506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14:paraId="032D61F8" w14:textId="77777777" w:rsidR="00D42750" w:rsidRDefault="002F5068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za příkazníka: RNDr. Jan Bartoň</w:t>
      </w:r>
      <w:r>
        <w:rPr>
          <w:rFonts w:ascii="Times New Roman" w:hAnsi="Times New Roman" w:cs="Times New Roman"/>
          <w:sz w:val="22"/>
          <w:szCs w:val="22"/>
          <w:shd w:val="clear" w:color="auto" w:fill="FFFF00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14:paraId="7F141F70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06FC4F" w14:textId="77777777" w:rsidR="00D42750" w:rsidRDefault="002F50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to vždy každý z nich samostatně, pokud není stanoveno jinak. Toto zmocnění trvá až do písemného odvolání. Změny v zastoupení budou uvedeny v dodatku této Smlouvy, účinné jsou však již od okamžiku, kdy byl druhé</w:t>
      </w:r>
      <w:r>
        <w:rPr>
          <w:rFonts w:ascii="Times New Roman" w:hAnsi="Times New Roman" w:cs="Times New Roman"/>
          <w:sz w:val="22"/>
          <w:szCs w:val="22"/>
        </w:rPr>
        <w:t xml:space="preserve"> straně předložen písemný doklad o jejich provedení.</w:t>
      </w:r>
    </w:p>
    <w:p w14:paraId="210A2D68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7CA5EE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F66950" w14:textId="77777777" w:rsidR="00D42750" w:rsidRDefault="002F506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Základní údaje o díle</w:t>
      </w:r>
    </w:p>
    <w:p w14:paraId="3E32F156" w14:textId="77777777" w:rsidR="00D42750" w:rsidRDefault="00D4275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6150D3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Název </w:t>
      </w:r>
      <w:r>
        <w:rPr>
          <w:rFonts w:ascii="Times New Roman" w:hAnsi="Times New Roman" w:cs="Times New Roman"/>
          <w:sz w:val="22"/>
          <w:szCs w:val="22"/>
        </w:rPr>
        <w:t>díla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 xml:space="preserve">„Haňovice – dobývací prostor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odtěžba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kontaminovaných zemin a komunálních odpadů“ </w:t>
      </w:r>
    </w:p>
    <w:p w14:paraId="07668DAA" w14:textId="77777777" w:rsidR="00D42750" w:rsidRDefault="00D4275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557287" w14:textId="77777777" w:rsidR="00D42750" w:rsidRDefault="00D4275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174842" w14:textId="77777777" w:rsidR="00D42750" w:rsidRDefault="002F506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Předmět díla</w:t>
      </w:r>
    </w:p>
    <w:p w14:paraId="613BF40D" w14:textId="77777777" w:rsidR="00D42750" w:rsidRDefault="00D4275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0E7C06" w14:textId="77777777" w:rsidR="00D42750" w:rsidRDefault="002F506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 základě této smlouvy se příkazník zavazuje za podmínek obsažených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 této smlouvě, na svou odpovědnost a vlastním jménem a v níže uvedeném termínu zajišťovat výkon činností supervizora a koordinátora BOZP a to při provádění díla „Haňovice – dobývací prostor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odtěžba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kontaminovaných zemin a komunálních odpadů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“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dále jen 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ílo).  </w:t>
      </w:r>
    </w:p>
    <w:p w14:paraId="4AB8E232" w14:textId="77777777" w:rsidR="00D42750" w:rsidRDefault="00D4275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1CA8735" w14:textId="77777777" w:rsidR="00D42750" w:rsidRDefault="002F5068">
      <w:pPr>
        <w:widowControl/>
        <w:spacing w:before="156" w:line="100" w:lineRule="atLeast"/>
        <w:ind w:left="284"/>
        <w:jc w:val="both"/>
      </w:pPr>
      <w:r>
        <w:rPr>
          <w:rFonts w:ascii="Times New Roman" w:eastAsia="Times New Roman" w:hAnsi="Times New Roman" w:cs="Times New Roman"/>
          <w:b/>
          <w:bCs/>
          <w:spacing w:val="1"/>
          <w:w w:val="10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8"/>
          <w:sz w:val="22"/>
          <w:szCs w:val="22"/>
        </w:rPr>
        <w:tab/>
      </w:r>
      <w:bookmarkStart w:id="0" w:name="_Ref335762147"/>
      <w:r>
        <w:rPr>
          <w:rFonts w:ascii="Times New Roman" w:eastAsia="Times New Roman" w:hAnsi="Times New Roman" w:cs="Times New Roman"/>
          <w:b/>
          <w:bCs/>
          <w:spacing w:val="1"/>
          <w:w w:val="108"/>
          <w:sz w:val="22"/>
          <w:szCs w:val="22"/>
        </w:rPr>
        <w:t xml:space="preserve">Rozsah činností – výkonů </w:t>
      </w:r>
      <w:bookmarkEnd w:id="0"/>
      <w:r>
        <w:rPr>
          <w:rFonts w:ascii="Times New Roman" w:eastAsia="Times New Roman" w:hAnsi="Times New Roman" w:cs="Times New Roman"/>
          <w:b/>
          <w:bCs/>
          <w:spacing w:val="1"/>
          <w:w w:val="108"/>
          <w:sz w:val="22"/>
          <w:szCs w:val="22"/>
        </w:rPr>
        <w:t>supervizora</w:t>
      </w:r>
      <w:r>
        <w:rPr>
          <w:rFonts w:ascii="Times New Roman" w:eastAsia="Times New Roman" w:hAnsi="Times New Roman" w:cs="Times New Roman"/>
          <w:b/>
          <w:bCs/>
          <w:spacing w:val="1"/>
          <w:w w:val="108"/>
          <w:sz w:val="22"/>
          <w:szCs w:val="22"/>
        </w:rPr>
        <w:t>:</w:t>
      </w:r>
    </w:p>
    <w:p w14:paraId="41B1DD70" w14:textId="77777777" w:rsidR="00D42750" w:rsidRDefault="002F5068">
      <w:pPr>
        <w:widowControl/>
        <w:spacing w:before="156" w:line="100" w:lineRule="atLeast"/>
        <w:ind w:left="284"/>
        <w:jc w:val="both"/>
      </w:pPr>
      <w:r>
        <w:rPr>
          <w:rFonts w:ascii="Times New Roman" w:eastAsia="Times New Roman" w:hAnsi="Times New Roman" w:cs="Times New Roman"/>
          <w:bCs/>
          <w:spacing w:val="1"/>
          <w:w w:val="108"/>
          <w:sz w:val="22"/>
          <w:szCs w:val="22"/>
        </w:rPr>
        <w:t>Supervizor</w:t>
      </w:r>
      <w:r>
        <w:rPr>
          <w:rFonts w:ascii="Times New Roman" w:eastAsia="Times New Roman" w:hAnsi="Times New Roman" w:cs="Times New Roman"/>
          <w:bCs/>
          <w:spacing w:val="1"/>
          <w:w w:val="108"/>
          <w:sz w:val="22"/>
          <w:szCs w:val="22"/>
        </w:rPr>
        <w:t xml:space="preserve"> bude splňovat všechny náležitosti, které vyžaduje stavební zákon a prováděcí předpisy a bude poskytován po celou dobu výstavby. Dále bude zajišťovat tyto činnosti:</w:t>
      </w:r>
    </w:p>
    <w:p w14:paraId="5F88DBB7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Seznámí se s dokumentací pro provedení </w:t>
      </w:r>
      <w:r>
        <w:rPr>
          <w:rFonts w:ascii="Times New Roman" w:eastAsia="Times New Roman" w:hAnsi="Times New Roman" w:cs="Times New Roman"/>
          <w:sz w:val="22"/>
          <w:szCs w:val="22"/>
        </w:rPr>
        <w:t>díla</w:t>
      </w:r>
      <w:r>
        <w:rPr>
          <w:rFonts w:ascii="Times New Roman" w:eastAsia="Times New Roman" w:hAnsi="Times New Roman" w:cs="Times New Roman"/>
          <w:sz w:val="22"/>
          <w:szCs w:val="22"/>
        </w:rPr>
        <w:t>, se souvisejícími doklady, s obsahem smluv a st</w:t>
      </w:r>
      <w:r>
        <w:rPr>
          <w:rFonts w:ascii="Times New Roman" w:eastAsia="Times New Roman" w:hAnsi="Times New Roman" w:cs="Times New Roman"/>
          <w:sz w:val="22"/>
          <w:szCs w:val="22"/>
        </w:rPr>
        <w:t>avebním povolením.</w:t>
      </w:r>
    </w:p>
    <w:p w14:paraId="2061E701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Zajistí odevzdání a převzetí staveniště a vyhotovuje zápis </w:t>
      </w:r>
    </w:p>
    <w:p w14:paraId="66E7DDF0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Zabezpečuje zápisy do stavebního deníku (dále jen SD) a kontroluje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stavbyvedoucího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zda SD řádně vede.</w:t>
      </w:r>
    </w:p>
    <w:p w14:paraId="683A3273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Před zahájením prací se účastní s dodavatelem stavby kontrolního zaměření t</w:t>
      </w:r>
      <w:r>
        <w:rPr>
          <w:rFonts w:ascii="Times New Roman" w:eastAsia="Times New Roman" w:hAnsi="Times New Roman" w:cs="Times New Roman"/>
          <w:sz w:val="22"/>
          <w:szCs w:val="22"/>
        </w:rPr>
        <w:t>erénu.</w:t>
      </w:r>
    </w:p>
    <w:p w14:paraId="1BAE660F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 průběhu stavby kontroluje dodržování podmínek stavebního povolení a souvisejících dokladů a opatření státního stavebního dohledu.</w:t>
      </w:r>
    </w:p>
    <w:p w14:paraId="0C8DFFBB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Dbá o systematické doplňování dokumentace pro provedení stavby a eviduje dokumentaci dokončených částí stavby.</w:t>
      </w:r>
    </w:p>
    <w:p w14:paraId="3E9857D7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Vede evidenci změnových listů.</w:t>
      </w:r>
    </w:p>
    <w:p w14:paraId="756EA1B4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Zpracovává průběžnou fotodokumentaci prováděného díla v digitální podobě, kterou po ukončení stavby předá objednateli.</w:t>
      </w:r>
    </w:p>
    <w:p w14:paraId="303E64FC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provádění díla, zda je v souladu s prováděcí projektovou dokumentací.</w:t>
      </w:r>
    </w:p>
    <w:p w14:paraId="64B4F548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kvalitu provád</w:t>
      </w:r>
      <w:r>
        <w:rPr>
          <w:rFonts w:ascii="Times New Roman" w:eastAsia="Times New Roman" w:hAnsi="Times New Roman" w:cs="Times New Roman"/>
          <w:sz w:val="22"/>
          <w:szCs w:val="22"/>
        </w:rPr>
        <w:t>ěného díla, dohlíží nad správností realizace a dodržování technologických postupů.</w:t>
      </w:r>
    </w:p>
    <w:p w14:paraId="0D32ADEA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ty části stavebních prací, které budou v dalším postupu zakryty, nebo se stanou nepřístupnými – zejména uložení a obsyp potrubí kanalizace.</w:t>
      </w:r>
    </w:p>
    <w:p w14:paraId="6C46ACEB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provádění p</w:t>
      </w:r>
      <w:r>
        <w:rPr>
          <w:rFonts w:ascii="Times New Roman" w:eastAsia="Times New Roman" w:hAnsi="Times New Roman" w:cs="Times New Roman"/>
          <w:sz w:val="22"/>
          <w:szCs w:val="22"/>
        </w:rPr>
        <w:t>ředepsaných zkoušek, materiálů, konstrukcí a prací – zejména kontroluje provádění hutnění zásypů a jejich výsledků.</w:t>
      </w:r>
    </w:p>
    <w:p w14:paraId="6E649513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Organizuje a vede kontrolní dny stavby v potřebných intervalech, nejméně však 1 x měsíčně, zpracovává zápis z KD, který rozesílá účastníkům </w:t>
      </w:r>
      <w:r>
        <w:rPr>
          <w:rFonts w:ascii="Times New Roman" w:eastAsia="Times New Roman" w:hAnsi="Times New Roman" w:cs="Times New Roman"/>
          <w:sz w:val="22"/>
          <w:szCs w:val="22"/>
        </w:rPr>
        <w:t>výstavby.</w:t>
      </w:r>
    </w:p>
    <w:p w14:paraId="23B7F4B6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věcnou správnost a úplnost fakturace na základě skutečně provedených prací a dodržování rozpočtu.</w:t>
      </w:r>
    </w:p>
    <w:p w14:paraId="6333B8DD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postup prací dodavatele dle časového a finančního harmonogramu stavby a upozorňuje na zjištěné odchylky.</w:t>
      </w:r>
    </w:p>
    <w:p w14:paraId="5247F2D1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Projednává změny na </w:t>
      </w:r>
      <w:r>
        <w:rPr>
          <w:rFonts w:ascii="Times New Roman" w:eastAsia="Times New Roman" w:hAnsi="Times New Roman" w:cs="Times New Roman"/>
          <w:sz w:val="22"/>
          <w:szCs w:val="22"/>
        </w:rPr>
        <w:t>stavbě, které nezvyšují náklady objednatele, nezhoršují parametry stavby a neprodlužují lhůtu výstavby.</w:t>
      </w:r>
    </w:p>
    <w:p w14:paraId="2D3B116C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Bezodkladně informuje objednatele o všech závažných skutečnostech.</w:t>
      </w:r>
    </w:p>
    <w:p w14:paraId="4E181960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Spolupracuje s autorem projektové dokumentace v rámci výkonu autorského dozoru a doda</w:t>
      </w:r>
      <w:r>
        <w:rPr>
          <w:rFonts w:ascii="Times New Roman" w:eastAsia="Times New Roman" w:hAnsi="Times New Roman" w:cs="Times New Roman"/>
          <w:sz w:val="22"/>
          <w:szCs w:val="22"/>
        </w:rPr>
        <w:t>vatelem stavby při provádění, nebo navrhování opatření na odstranění případných vad dokumentace.</w:t>
      </w:r>
    </w:p>
    <w:p w14:paraId="0D925A1C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Spolupracuje na opatřeních na odvrácení, nebo omezení škod při ohrožení stavby živelnými událostmi.</w:t>
      </w:r>
    </w:p>
    <w:p w14:paraId="42979CAB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průběžný a koncový monitoring díla.</w:t>
      </w:r>
    </w:p>
    <w:p w14:paraId="4D622450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l</w:t>
      </w:r>
      <w:r>
        <w:rPr>
          <w:rFonts w:ascii="Times New Roman" w:eastAsia="Times New Roman" w:hAnsi="Times New Roman" w:cs="Times New Roman"/>
          <w:sz w:val="22"/>
          <w:szCs w:val="22"/>
        </w:rPr>
        <w:t>aboratorní analýzy zemin a odpadů pocházejícího z díla.</w:t>
      </w:r>
    </w:p>
    <w:p w14:paraId="4917E2E2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vážní lístky a odvezení nebezpečného odpadu do koncového zařízení k likvidaci.</w:t>
      </w:r>
    </w:p>
    <w:p w14:paraId="3467DF6E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Kontroluje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zda  je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materiál na staveništi řádně uskladněn, aby nedocházelo k jeho znehodnocení.</w:t>
      </w:r>
    </w:p>
    <w:p w14:paraId="0FF344F2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Připravuje pod</w:t>
      </w:r>
      <w:r>
        <w:rPr>
          <w:rFonts w:ascii="Times New Roman" w:eastAsia="Times New Roman" w:hAnsi="Times New Roman" w:cs="Times New Roman"/>
          <w:sz w:val="22"/>
          <w:szCs w:val="22"/>
        </w:rPr>
        <w:t>klady v součinnosti s dodavatelem pro odevzdání a převzetí stavby, nebo jejich částí a účastní se jejich přejímek.</w:t>
      </w:r>
    </w:p>
    <w:p w14:paraId="02A8C46B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Účastní se kolaudace stavby, popř. povolení ke zkušebnímu provozu.</w:t>
      </w:r>
    </w:p>
    <w:p w14:paraId="1F8401CF" w14:textId="77777777" w:rsidR="00D42750" w:rsidRDefault="002F5068">
      <w:pPr>
        <w:widowControl/>
        <w:numPr>
          <w:ilvl w:val="0"/>
          <w:numId w:val="9"/>
        </w:numPr>
        <w:tabs>
          <w:tab w:val="clear" w:pos="720"/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Kontroluje odstraňování vad z předávacího řízení a o této skutečnosti info</w:t>
      </w:r>
      <w:r>
        <w:rPr>
          <w:rFonts w:ascii="Times New Roman" w:eastAsia="Times New Roman" w:hAnsi="Times New Roman" w:cs="Times New Roman"/>
          <w:sz w:val="22"/>
          <w:szCs w:val="22"/>
        </w:rPr>
        <w:t>rmuje objednatele.</w:t>
      </w:r>
    </w:p>
    <w:p w14:paraId="264619E0" w14:textId="77777777" w:rsidR="00D42750" w:rsidRDefault="002F5068">
      <w:pPr>
        <w:widowControl/>
        <w:tabs>
          <w:tab w:val="left" w:pos="-4111"/>
        </w:tabs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Zajišťuje zápis o odstranění vad a nedodělků.</w:t>
      </w:r>
    </w:p>
    <w:p w14:paraId="6A5B6F47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Spolupracuje s pracovníky objednatele při zajišťování podkladů potřebných pro administraci dotace a průběžný monitoring akce včetně závěrečného vyhodnocení akce.</w:t>
      </w:r>
    </w:p>
    <w:p w14:paraId="50C8ECE1" w14:textId="77777777" w:rsidR="00D42750" w:rsidRDefault="002F5068">
      <w:pPr>
        <w:widowControl/>
        <w:tabs>
          <w:tab w:val="left" w:pos="-4111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Uvedené činnosti </w:t>
      </w:r>
      <w:r>
        <w:rPr>
          <w:rFonts w:ascii="Times New Roman" w:eastAsia="Times New Roman" w:hAnsi="Times New Roman" w:cs="Times New Roman"/>
          <w:sz w:val="22"/>
          <w:szCs w:val="22"/>
        </w:rPr>
        <w:t>zahrnují všechny činnosti nutné k provedení technického dozoru objednatele stavby. Pokud nejsou některé činnosti zahrnuté ve výše uvedeném výčtu, má se za to, že jsou jeho obsahem, pakliže jsou povinně vykonávány na základě právního předpisu.</w:t>
      </w:r>
    </w:p>
    <w:p w14:paraId="473457C4" w14:textId="77777777" w:rsidR="00D42750" w:rsidRDefault="00D42750">
      <w:pPr>
        <w:widowControl/>
        <w:tabs>
          <w:tab w:val="left" w:pos="-4111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17E6D9" w14:textId="77777777" w:rsidR="00D42750" w:rsidRDefault="00D42750">
      <w:pPr>
        <w:widowControl/>
        <w:tabs>
          <w:tab w:val="left" w:pos="-4111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FFFB35" w14:textId="77777777" w:rsidR="00D42750" w:rsidRDefault="002F5068">
      <w:pPr>
        <w:widowControl/>
        <w:tabs>
          <w:tab w:val="left" w:pos="-4111"/>
        </w:tabs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Rozsah činností koordinátora BOZP:</w:t>
      </w:r>
    </w:p>
    <w:p w14:paraId="3854FB11" w14:textId="77777777" w:rsidR="00D42750" w:rsidRDefault="002F5068">
      <w:pPr>
        <w:widowControl/>
        <w:tabs>
          <w:tab w:val="left" w:pos="-4111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Výkon funkce koordinátora bezpečnosti a ochrany zdraví při práci na staveništi v souladu s ustanoveními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zák.č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309/2006 Sb., v platném znění.</w:t>
      </w:r>
    </w:p>
    <w:p w14:paraId="2F309AB6" w14:textId="77777777" w:rsidR="00D42750" w:rsidRDefault="00D42750">
      <w:pPr>
        <w:widowControl/>
        <w:tabs>
          <w:tab w:val="left" w:pos="-4111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6AC024B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Zpracování a předání plánu BOZP</w:t>
      </w:r>
    </w:p>
    <w:p w14:paraId="3FE0F0B5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Zpracování a předání oznámení o zahájení pra</w:t>
      </w:r>
      <w:r>
        <w:rPr>
          <w:rFonts w:ascii="Times New Roman" w:eastAsia="Times New Roman" w:hAnsi="Times New Roman" w:cs="Times New Roman"/>
          <w:sz w:val="22"/>
          <w:szCs w:val="22"/>
        </w:rPr>
        <w:t>cí v rozsahu nařízení vlády č. 591/2006 Sb.</w:t>
      </w:r>
    </w:p>
    <w:p w14:paraId="337F142A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Zajištění činnosti koordinátora bezpečnosti a ochrany činnosti zdraví při práci na staveništi během přípravy a realizace stavby v rozsahu daném zákonem č. 309/2006 Sb., kterým se upravují další požadavky bezpečno</w:t>
      </w:r>
      <w:r>
        <w:rPr>
          <w:rFonts w:ascii="Times New Roman" w:eastAsia="Times New Roman" w:hAnsi="Times New Roman" w:cs="Times New Roman"/>
          <w:sz w:val="22"/>
          <w:szCs w:val="22"/>
        </w:rPr>
        <w:t>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</w:t>
      </w:r>
      <w:r>
        <w:rPr>
          <w:rFonts w:ascii="Times New Roman" w:eastAsia="Times New Roman" w:hAnsi="Times New Roman" w:cs="Times New Roman"/>
          <w:sz w:val="22"/>
          <w:szCs w:val="22"/>
        </w:rPr>
        <w:t>ějších předpisů a prováděcími předpisy, zejména nařízením vlády č. 591/2006 Sb., o bližších min. požadavcích na bezpečnost a ochranu zdraví při práci na staveništích.</w:t>
      </w:r>
    </w:p>
    <w:p w14:paraId="2D3562E1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Účast na kontrolních dnech pořádaných v rámci provádění díla.</w:t>
      </w:r>
    </w:p>
    <w:p w14:paraId="741F207C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Pořizování fotodokumentace </w:t>
      </w:r>
      <w:r>
        <w:rPr>
          <w:rFonts w:ascii="Times New Roman" w:eastAsia="Times New Roman" w:hAnsi="Times New Roman" w:cs="Times New Roman"/>
          <w:sz w:val="22"/>
          <w:szCs w:val="22"/>
        </w:rPr>
        <w:t>o zjištěných závadách v digitální podobě, která bude prezentována na kontrolních dnech a bude součásti zápisů z KD stavby.</w:t>
      </w:r>
    </w:p>
    <w:p w14:paraId="692E3193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Dle potřeby aktualizování plánu BOZP.</w:t>
      </w:r>
    </w:p>
    <w:p w14:paraId="2C30D069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Předat objednateli a dodavateli stavby přehled právních předpisů vztahujících se ke stavbě, inf</w:t>
      </w:r>
      <w:r>
        <w:rPr>
          <w:rFonts w:ascii="Times New Roman" w:eastAsia="Times New Roman" w:hAnsi="Times New Roman" w:cs="Times New Roman"/>
          <w:sz w:val="22"/>
          <w:szCs w:val="22"/>
        </w:rPr>
        <w:t>ormace o rizicích, která se mohou při realizaci stavby vyskytnout, se zřetelem na práce a činnosti vystavující fyzickou osobu zvýšeného ohrožení života, nebo poškození zdraví a další nutné pro zajištění bezpečného zdraví neohrožujícího pracovního prostředí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podmínek výkonu práce, na které je třeba vzít zřetel s ohledem na charakter stavby a její realizaci.</w:t>
      </w:r>
    </w:p>
    <w:p w14:paraId="67B81738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Bez zbytečného odkladu předat dodavateli stavby, popřípadě jiné osobě veškeré další informace o bezpečnostních a zdravotních rizicích, které jsou mu zná</w:t>
      </w:r>
      <w:r>
        <w:rPr>
          <w:rFonts w:ascii="Times New Roman" w:eastAsia="Times New Roman" w:hAnsi="Times New Roman" w:cs="Times New Roman"/>
          <w:sz w:val="22"/>
          <w:szCs w:val="22"/>
        </w:rPr>
        <w:t>my a které se dotýkají jejich činností.</w:t>
      </w:r>
    </w:p>
    <w:p w14:paraId="1C5FBFB3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Dávat podněty a doporučovat technická řešení, nebo organizační opatření, která jsou z hlediska zajištění bezpečného a zdraví neohrožujícího pracovního prostředí a podmínek výkonu práce vhodná pro plánování jednotlivý</w:t>
      </w:r>
      <w:r>
        <w:rPr>
          <w:rFonts w:ascii="Times New Roman" w:eastAsia="Times New Roman" w:hAnsi="Times New Roman" w:cs="Times New Roman"/>
          <w:sz w:val="22"/>
          <w:szCs w:val="22"/>
        </w:rPr>
        <w:t>ch prací, zejména těch, které se uskutečňují současně, nebo v návaznosti, dbát aby doporučované řešení bylo technicky realizovatelné a v souladu s právními a ostatními předpisy k zajištění bezpečnosti a ochrany zdraví při práci a aby bylo, s přihlédnutím k</w:t>
      </w:r>
      <w:r>
        <w:rPr>
          <w:rFonts w:ascii="Times New Roman" w:eastAsia="Times New Roman" w:hAnsi="Times New Roman" w:cs="Times New Roman"/>
          <w:sz w:val="22"/>
          <w:szCs w:val="22"/>
        </w:rPr>
        <w:t> účelu stanovenému zadavateli stavby, ekonomicky přiměřené.</w:t>
      </w:r>
    </w:p>
    <w:p w14:paraId="2049EF46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Poskytovat odborné konzultace a doporučení týkající se požadavků na zajištění a zdraví neohrožující práce, odhadu délky času potřebného pro provedení plánovaných prací nebo činností se zřetelem 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specifická opatření, pracovní nebo technologické postupy a procesy a potřebnou organizaci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 průběhu realizace stavby.</w:t>
      </w:r>
    </w:p>
    <w:p w14:paraId="4F6D2194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Zabezpečovat, aby plán BOZP obsahoval přiměřeně povaze a rozsahu stavby a místním a provozním podmínkám staveniště údaje informace </w:t>
      </w:r>
      <w:r>
        <w:rPr>
          <w:rFonts w:ascii="Times New Roman" w:eastAsia="Times New Roman" w:hAnsi="Times New Roman" w:cs="Times New Roman"/>
          <w:sz w:val="22"/>
          <w:szCs w:val="22"/>
        </w:rPr>
        <w:t>a postupy zpracované v podrobnostech nezbytných pro zajištění bezpečné a zdraví neohrožující práce, a aby byl odsouhlasen a podepsán všemi zhotoviteli, pokud jsou v době zpracování plánu známi.</w:t>
      </w:r>
    </w:p>
    <w:p w14:paraId="28ADF9BE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Zajistit zpracování požadavků na bezpečnost a ochranu zdraví p</w:t>
      </w:r>
      <w:r>
        <w:rPr>
          <w:rFonts w:ascii="Times New Roman" w:eastAsia="Times New Roman" w:hAnsi="Times New Roman" w:cs="Times New Roman"/>
          <w:sz w:val="22"/>
          <w:szCs w:val="22"/>
        </w:rPr>
        <w:t>ři práci při udržovacích pracích.</w:t>
      </w:r>
    </w:p>
    <w:p w14:paraId="3552B2BC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Provádět další činnosti stanovené právními předpisy.</w:t>
      </w:r>
    </w:p>
    <w:p w14:paraId="409F9F6D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Informovat bez zbytečného odkladu všechny dotčené dodavatele stavby o bezpečnostních a zdravotních rizicích, která vznikla na staveništi během postupu prací.</w:t>
      </w:r>
    </w:p>
    <w:p w14:paraId="46B3FD3A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Upozorňovat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dodavatele stavby na nedostatky v uplatňování požadavků na bezpečnost a ochranu zdraví při práci zjištěné na pracovišti převzatém dodavatelem stavby a vyžadovat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sjednání  nápravy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, k tomu je oprávněn navrhovat přiměřené opatření.</w:t>
      </w:r>
    </w:p>
    <w:p w14:paraId="020671BE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Oznámit dodavateli stavby </w:t>
      </w:r>
      <w:r>
        <w:rPr>
          <w:rFonts w:ascii="Times New Roman" w:eastAsia="Times New Roman" w:hAnsi="Times New Roman" w:cs="Times New Roman"/>
          <w:sz w:val="22"/>
          <w:szCs w:val="22"/>
        </w:rPr>
        <w:t>případy, kdy nebyla dodavatelem stavby neprodleně přijata přiměřená opatření ke sjednání nápravy.</w:t>
      </w:r>
    </w:p>
    <w:p w14:paraId="4C462711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Koordinovat spolupráci dodavatele s poddodavateli a mezi nimi, nebo osob pověřených při přijímání opatření k zajištění bezpečnosti a ochrany zdraví při práci </w:t>
      </w:r>
      <w:r>
        <w:rPr>
          <w:rFonts w:ascii="Times New Roman" w:eastAsia="Times New Roman" w:hAnsi="Times New Roman" w:cs="Times New Roman"/>
          <w:sz w:val="22"/>
          <w:szCs w:val="22"/>
        </w:rPr>
        <w:t>se zřetelem na povahu stavby a na všeobecné zásady prevence rizik a činností prováděné na staveništi současně popřípadě v těsné návaznosti, s cílem chránit zdraví fyzických osob, zabraňovat pracovním úrazům a předcházet vzniku nemoci z povolání.</w:t>
      </w:r>
    </w:p>
    <w:p w14:paraId="3A5594FD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Dávat podn</w:t>
      </w:r>
      <w:r>
        <w:rPr>
          <w:rFonts w:ascii="Times New Roman" w:eastAsia="Times New Roman" w:hAnsi="Times New Roman" w:cs="Times New Roman"/>
          <w:sz w:val="22"/>
          <w:szCs w:val="22"/>
        </w:rPr>
        <w:t>ěty a na vyžádání dodavatele doporučovat technická řešení, nebo opatření k zajištění bezpečnosti a ochrany zdraví při práci pro stanovení pracovních nebo technologických postupů a plánování bezpečného provádění prací, které se s ohledem na časové vazby při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realizaci stavby uskuteční současně, nebo na sebe budou bezprostředně navazovat.</w:t>
      </w:r>
    </w:p>
    <w:p w14:paraId="00418847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Spolupracovat při stanovení času potřebného k bezpečnému provádění jednotlivých prací, nebo činností.</w:t>
      </w:r>
    </w:p>
    <w:p w14:paraId="6D15C184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Sledovat provádění prací na staveništi se zaměřením na zjišťování, zda j</w:t>
      </w:r>
      <w:r>
        <w:rPr>
          <w:rFonts w:ascii="Times New Roman" w:eastAsia="Times New Roman" w:hAnsi="Times New Roman" w:cs="Times New Roman"/>
          <w:sz w:val="22"/>
          <w:szCs w:val="22"/>
        </w:rPr>
        <w:t>sou dodržovány požadavky na bezpečnost a ochranu zdraví při práci, upozorňovat na zjištěné nedostatky a požadovat bez zbytečného odkladu zjednání nápravy.</w:t>
      </w:r>
    </w:p>
    <w:p w14:paraId="76ADC7DB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Kontrolovat zabezpečení staveniště, včetně vstupů a vjezdů na staveniště s cílem zamezit vstup </w:t>
      </w:r>
      <w:r>
        <w:rPr>
          <w:rFonts w:ascii="Times New Roman" w:eastAsia="Times New Roman" w:hAnsi="Times New Roman" w:cs="Times New Roman"/>
          <w:sz w:val="22"/>
          <w:szCs w:val="22"/>
        </w:rPr>
        <w:t>nepovolaným fyzickým osobám.</w:t>
      </w:r>
    </w:p>
    <w:p w14:paraId="03D92229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Spolupracovat se zástupci dodavatele pro oblast bezpečnosti práce a ochrany zdraví při práci.</w:t>
      </w:r>
    </w:p>
    <w:p w14:paraId="3C002D47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Účastnit se kontrolních prohlídek stavby, k níž byl přizván stavebním úřadem.</w:t>
      </w:r>
    </w:p>
    <w:p w14:paraId="6DD5C0FA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Navrhovat mimořádné termíny KD k dodržování plánu BOZP </w:t>
      </w:r>
      <w:r>
        <w:rPr>
          <w:rFonts w:ascii="Times New Roman" w:eastAsia="Times New Roman" w:hAnsi="Times New Roman" w:cs="Times New Roman"/>
          <w:sz w:val="22"/>
          <w:szCs w:val="22"/>
        </w:rPr>
        <w:t>za účasti dodavatele, poddodavatelů, nebo osob jimi pověřených a organizovat jejich konání.</w:t>
      </w:r>
    </w:p>
    <w:p w14:paraId="3C591BE6" w14:textId="77777777" w:rsidR="00D42750" w:rsidRDefault="002F5068">
      <w:pPr>
        <w:widowControl/>
        <w:numPr>
          <w:ilvl w:val="0"/>
          <w:numId w:val="12"/>
        </w:numPr>
        <w:tabs>
          <w:tab w:val="left" w:pos="-4111"/>
        </w:tabs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Sledovat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zda dodavatelů dodržují plán BOZP a projednávat přijeté opatření a termíny k nápravě zjištěných nedostatků.</w:t>
      </w:r>
    </w:p>
    <w:p w14:paraId="419021BE" w14:textId="77777777" w:rsidR="00D42750" w:rsidRDefault="002F506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Provádět samostatné zápisy o zjištěných nedosta</w:t>
      </w:r>
      <w:r>
        <w:rPr>
          <w:rFonts w:ascii="Times New Roman" w:eastAsia="Times New Roman" w:hAnsi="Times New Roman" w:cs="Times New Roman"/>
          <w:sz w:val="22"/>
          <w:szCs w:val="22"/>
        </w:rPr>
        <w:t>tcích v oblasti bezpečnosti a ochraně zdraví při práci na staveništi na něž prokazatelně upozornil dodavatele a dále zapisovat údaje o tom, zda a jakým způsobem byly tyto nedostatky odstraněny.</w:t>
      </w:r>
    </w:p>
    <w:p w14:paraId="516B5209" w14:textId="77777777" w:rsidR="00D42750" w:rsidRDefault="00D4275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36FF36" w14:textId="77777777" w:rsidR="00D42750" w:rsidRDefault="00D4275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E96939" w14:textId="77777777" w:rsidR="00D42750" w:rsidRDefault="002F506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Sjednaná doba pro provedení díla</w:t>
      </w:r>
    </w:p>
    <w:p w14:paraId="527688CC" w14:textId="77777777" w:rsidR="00D42750" w:rsidRDefault="00D4275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6AD2D4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Příkazník</w:t>
      </w:r>
      <w:r>
        <w:rPr>
          <w:rFonts w:ascii="Times New Roman" w:hAnsi="Times New Roman" w:cs="Times New Roman"/>
          <w:sz w:val="22"/>
          <w:szCs w:val="22"/>
        </w:rPr>
        <w:t xml:space="preserve"> bude provádět sj</w:t>
      </w:r>
      <w:r>
        <w:rPr>
          <w:rFonts w:ascii="Times New Roman" w:hAnsi="Times New Roman" w:cs="Times New Roman"/>
          <w:sz w:val="22"/>
          <w:szCs w:val="22"/>
        </w:rPr>
        <w:t xml:space="preserve">ednanou činnost v rozsahu článku 3 této smlouvy ode dne zahájení zhotovování díla až do úplného zhotovení díla uvedeného v čl. 2 této smlouvy. Předpoklad plnění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činí cca 7 měsíců. </w:t>
      </w:r>
      <w:r>
        <w:rPr>
          <w:rFonts w:ascii="Times New Roman" w:hAnsi="Times New Roman" w:cs="Times New Roman"/>
          <w:sz w:val="22"/>
          <w:szCs w:val="22"/>
        </w:rPr>
        <w:t>Skutečná doba provádění závisí na délce trvání stavby, veškeré služby musí b</w:t>
      </w:r>
      <w:r>
        <w:rPr>
          <w:rFonts w:ascii="Times New Roman" w:hAnsi="Times New Roman" w:cs="Times New Roman"/>
          <w:sz w:val="22"/>
          <w:szCs w:val="22"/>
        </w:rPr>
        <w:t>ýt poskytovány po celou dobu realizace stavby.</w:t>
      </w:r>
    </w:p>
    <w:p w14:paraId="2526C4E4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Příkazník </w:t>
      </w:r>
      <w:r>
        <w:rPr>
          <w:rFonts w:ascii="Times New Roman" w:hAnsi="Times New Roman" w:cs="Times New Roman"/>
          <w:sz w:val="22"/>
          <w:szCs w:val="22"/>
        </w:rPr>
        <w:t xml:space="preserve">zahájí svoji činnost neprodleně po zahájení stavebních prací. </w:t>
      </w:r>
    </w:p>
    <w:p w14:paraId="5B5C294E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A9844D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457E8C" w14:textId="77777777" w:rsidR="00D42750" w:rsidRDefault="002F5068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Odměna za činnost: </w:t>
      </w:r>
    </w:p>
    <w:p w14:paraId="4014B560" w14:textId="77777777" w:rsidR="00D42750" w:rsidRDefault="00D4275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7EE8BB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Příkazníkovi přísluší za poskytnuté služby dle čl. 3 </w:t>
      </w:r>
      <w:proofErr w:type="gramStart"/>
      <w:r>
        <w:rPr>
          <w:rFonts w:ascii="Times New Roman" w:hAnsi="Times New Roman" w:cs="Times New Roman"/>
          <w:sz w:val="22"/>
          <w:szCs w:val="22"/>
        </w:rPr>
        <w:t>této  smlouvy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odměna stanovená dohodou smluvních stran ve </w:t>
      </w:r>
      <w:r>
        <w:rPr>
          <w:rFonts w:ascii="Times New Roman" w:hAnsi="Times New Roman" w:cs="Times New Roman"/>
          <w:sz w:val="22"/>
          <w:szCs w:val="22"/>
        </w:rPr>
        <w:t>výši</w:t>
      </w:r>
      <w:r>
        <w:rPr>
          <w:rStyle w:val="Odkaznakoment2"/>
          <w:rFonts w:ascii="Times New Roman" w:hAnsi="Times New Roman" w:cs="Times New Roman"/>
          <w:sz w:val="22"/>
          <w:szCs w:val="22"/>
        </w:rPr>
        <w:t>:</w:t>
      </w:r>
    </w:p>
    <w:tbl>
      <w:tblPr>
        <w:tblW w:w="952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6"/>
        <w:gridCol w:w="1078"/>
        <w:gridCol w:w="1254"/>
        <w:gridCol w:w="1637"/>
        <w:gridCol w:w="1819"/>
      </w:tblGrid>
      <w:tr w:rsidR="00D42750" w14:paraId="6603E28D" w14:textId="77777777"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B34B5E" w14:textId="77777777" w:rsidR="00D42750" w:rsidRDefault="00D4275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5F0B53" w14:textId="77777777" w:rsidR="00D42750" w:rsidRDefault="002F5068">
            <w:pPr>
              <w:pStyle w:val="Obsahtabulk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hodinová sazba v Kč bez DPH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422F23" w14:textId="77777777" w:rsidR="00D42750" w:rsidRDefault="002F5068">
            <w:pPr>
              <w:pStyle w:val="Obsahtabulk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předpoklad hodin za 28 týdnů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17568F" w14:textId="77777777" w:rsidR="00D42750" w:rsidRDefault="002F5068">
            <w:pPr>
              <w:pStyle w:val="Obsahtabulk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celkem bez DPH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0AE1A" w14:textId="77777777" w:rsidR="00D42750" w:rsidRDefault="002F5068">
            <w:pPr>
              <w:pStyle w:val="Obsahtabulk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celkem včetně DPH</w:t>
            </w:r>
          </w:p>
        </w:tc>
      </w:tr>
      <w:tr w:rsidR="00D42750" w14:paraId="422AA5C3" w14:textId="77777777"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</w:tcPr>
          <w:p w14:paraId="3E172386" w14:textId="77777777" w:rsidR="00D42750" w:rsidRDefault="002F506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Část I: Činnost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Supervizora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 w14:paraId="18BA9F87" w14:textId="77777777" w:rsidR="00D42750" w:rsidRDefault="002F5068">
            <w:pPr>
              <w:pStyle w:val="Obsahtabulk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 w14:paraId="4A86BB56" w14:textId="77777777" w:rsidR="00D42750" w:rsidRDefault="002F5068">
            <w:pPr>
              <w:pStyle w:val="Obsahtabulk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2DCD9C0C" w14:textId="77777777" w:rsidR="00D42750" w:rsidRDefault="002F5068">
            <w:pPr>
              <w:pStyle w:val="Obsahtabulk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75 600 Kč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4EFA" w14:textId="77777777" w:rsidR="00D42750" w:rsidRDefault="002F5068">
            <w:pPr>
              <w:pStyle w:val="Obsahtabulk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91 476 Kč</w:t>
            </w:r>
          </w:p>
        </w:tc>
      </w:tr>
      <w:tr w:rsidR="00D42750" w14:paraId="4986ED1A" w14:textId="77777777"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</w:tcPr>
          <w:p w14:paraId="7925F49D" w14:textId="77777777" w:rsidR="00D42750" w:rsidRDefault="002F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Část II: Činnost koordinátora BOZP:  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 w14:paraId="402635E1" w14:textId="77777777" w:rsidR="00D42750" w:rsidRDefault="002F5068">
            <w:pPr>
              <w:pStyle w:val="Obsahtabulk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 w14:paraId="14EDC28C" w14:textId="77777777" w:rsidR="00D42750" w:rsidRDefault="002F5068">
            <w:pPr>
              <w:pStyle w:val="Obsahtabulk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004D251E" w14:textId="77777777" w:rsidR="00D42750" w:rsidRDefault="002F5068">
            <w:pPr>
              <w:pStyle w:val="Obsahtabulk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21 000 Kč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5A27A" w14:textId="77777777" w:rsidR="00D42750" w:rsidRDefault="002F5068">
            <w:pPr>
              <w:pStyle w:val="Obsahtabulk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25 410 Kč</w:t>
            </w:r>
          </w:p>
        </w:tc>
      </w:tr>
      <w:tr w:rsidR="00D42750" w14:paraId="2D8FB8EF" w14:textId="77777777">
        <w:tc>
          <w:tcPr>
            <w:tcW w:w="60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842CAF2" w14:textId="77777777" w:rsidR="00D42750" w:rsidRDefault="002F5068">
            <w:pPr>
              <w:pStyle w:val="Obsahtabulky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Cena celkem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supervizi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BOZP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 w14:paraId="15709137" w14:textId="77777777" w:rsidR="00D42750" w:rsidRDefault="002F5068">
            <w:pPr>
              <w:pStyle w:val="Obsahtabulk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96 600 Kč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FA2A8" w14:textId="77777777" w:rsidR="00D42750" w:rsidRDefault="002F5068">
            <w:pPr>
              <w:pStyle w:val="Obsahtabulk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116 886 Kč</w:t>
            </w:r>
          </w:p>
        </w:tc>
      </w:tr>
    </w:tbl>
    <w:p w14:paraId="7DB6819C" w14:textId="77777777" w:rsidR="00D42750" w:rsidRDefault="00D42750">
      <w:pPr>
        <w:jc w:val="both"/>
      </w:pPr>
    </w:p>
    <w:p w14:paraId="5D97473D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Dohodnutá cena bez DPH je cenou maximální a je pevná po celou dobu realizace zakázky. Daň z přidané hodnoty (dále jen "DPH") bude účtována a uváděna při fakturaci zdanitelného plnění v souladu se zákonem č. 235/2004 Sb., o dani z přidané hodnoty, ve znění </w:t>
      </w:r>
      <w:r>
        <w:rPr>
          <w:rFonts w:ascii="Times New Roman" w:hAnsi="Times New Roman" w:cs="Times New Roman"/>
          <w:sz w:val="22"/>
          <w:szCs w:val="22"/>
        </w:rPr>
        <w:t xml:space="preserve">pozdějších předpisů (dále jen "zákon o DPH"). </w:t>
      </w:r>
    </w:p>
    <w:p w14:paraId="0F94DBE2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Dohodnutá cena bez DPH je cenou nejvýše přípustnou a může být změněna pouze v případech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a za podmínek uvedených v této Smlouvě, zejména pak v případě: </w:t>
      </w:r>
    </w:p>
    <w:p w14:paraId="5CC43615" w14:textId="77777777" w:rsidR="00D42750" w:rsidRDefault="002F5068">
      <w:pPr>
        <w:numPr>
          <w:ilvl w:val="1"/>
          <w:numId w:val="6"/>
        </w:numPr>
        <w:ind w:left="43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změny výše DPH. V případě, že se změní DPH, ta složka ceny díla, kterou tvoří DPH, se upraví tak, aby byla v souladu s právními předpisy.</w:t>
      </w:r>
    </w:p>
    <w:p w14:paraId="6E5B9A52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3C1BB2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FF68AF" w14:textId="77777777" w:rsidR="00D42750" w:rsidRDefault="002F506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Platební podmínky </w:t>
      </w:r>
    </w:p>
    <w:p w14:paraId="705FE66D" w14:textId="77777777" w:rsidR="00D42750" w:rsidRDefault="002F5068">
      <w:pPr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</w:p>
    <w:p w14:paraId="2A17D02C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Odměna za výkon </w:t>
      </w:r>
      <w:r>
        <w:rPr>
          <w:rFonts w:ascii="Times New Roman" w:hAnsi="Times New Roman" w:cs="Times New Roman"/>
          <w:sz w:val="22"/>
          <w:szCs w:val="22"/>
        </w:rPr>
        <w:t>Supervize</w:t>
      </w:r>
      <w:r>
        <w:rPr>
          <w:rFonts w:ascii="Times New Roman" w:hAnsi="Times New Roman" w:cs="Times New Roman"/>
          <w:sz w:val="22"/>
          <w:szCs w:val="22"/>
        </w:rPr>
        <w:t xml:space="preserve"> a koordinátora BOZP bude hrazena průběžně, na základě měsíčních faktur vystavovaných příkazníkem za provedené činnosti odsouhlasené s pověřenou osobou příkazce. Výše uvedené činnosti budou fakturovány ve vý</w:t>
      </w:r>
      <w:r>
        <w:rPr>
          <w:rFonts w:ascii="Times New Roman" w:hAnsi="Times New Roman" w:cs="Times New Roman"/>
          <w:sz w:val="22"/>
          <w:szCs w:val="22"/>
        </w:rPr>
        <w:t>ši skutečně odvedené práce na základě odsouhlaseného soupisu a výkazu prací (pracovní výkaz).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</w:p>
    <w:p w14:paraId="6E99E31A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Příkazník ve faktuře vyčíslí zvlášť cenu bez DPH za supervize, zvlášť cenu bez DPH za Koordinátora BOZP, zvlášť hodnotu DPH a zvlášť celkovou fakturovanou část</w:t>
      </w:r>
      <w:r>
        <w:rPr>
          <w:rFonts w:ascii="Times New Roman" w:hAnsi="Times New Roman" w:cs="Times New Roman"/>
          <w:sz w:val="22"/>
          <w:szCs w:val="22"/>
        </w:rPr>
        <w:t>ku včetně DPH</w:t>
      </w:r>
    </w:p>
    <w:p w14:paraId="20AA425A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Pracovní výkaz bude zpracován zvlášť pro část </w:t>
      </w:r>
      <w:r>
        <w:rPr>
          <w:rFonts w:ascii="Times New Roman" w:hAnsi="Times New Roman" w:cs="Times New Roman"/>
          <w:sz w:val="22"/>
          <w:szCs w:val="22"/>
        </w:rPr>
        <w:t>supervize</w:t>
      </w:r>
      <w:r>
        <w:rPr>
          <w:rFonts w:ascii="Times New Roman" w:hAnsi="Times New Roman" w:cs="Times New Roman"/>
          <w:sz w:val="22"/>
          <w:szCs w:val="22"/>
        </w:rPr>
        <w:t xml:space="preserve"> a zvlášť pro část BOZP.</w:t>
      </w:r>
    </w:p>
    <w:p w14:paraId="3EC02B5F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Příkazce se zavazuje příkazníkovi poskytovat měsíční platby, a to na základě dodavatelem předložených faktur. Příkazce požaduje vystavení 3 vyhotovení faktur, kaž</w:t>
      </w:r>
      <w:r>
        <w:rPr>
          <w:rFonts w:ascii="Times New Roman" w:hAnsi="Times New Roman" w:cs="Times New Roman"/>
          <w:sz w:val="22"/>
          <w:szCs w:val="22"/>
        </w:rPr>
        <w:t>dé s platností originálu. Nedílnou přílohou faktury bude příkazcem odsouhlasený soupis provedených činností. Příkazník se zavazuje, že předloží příkazci vždy nejpozději 5 (pět) dní před vystavením faktury soupis provedených činností včetně jejich ocenění v</w:t>
      </w:r>
      <w:r>
        <w:rPr>
          <w:rFonts w:ascii="Times New Roman" w:hAnsi="Times New Roman" w:cs="Times New Roman"/>
          <w:sz w:val="22"/>
          <w:szCs w:val="22"/>
        </w:rPr>
        <w:t xml:space="preserve"> počtu 3 (tří) originálů, který bude obsahovat zejména:</w:t>
      </w:r>
    </w:p>
    <w:p w14:paraId="6D4CA996" w14:textId="77777777" w:rsidR="00D42750" w:rsidRDefault="002F50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označení Soupis provedených činností v období od – do,</w:t>
      </w:r>
    </w:p>
    <w:p w14:paraId="3112C3AC" w14:textId="77777777" w:rsidR="00D42750" w:rsidRDefault="002F50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název, sídlo a IČ příkazníka,</w:t>
      </w:r>
    </w:p>
    <w:p w14:paraId="37E971C8" w14:textId="77777777" w:rsidR="00D42750" w:rsidRDefault="002F50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údaj o zápisu v obchodním rejstříku včetně spisové značky,</w:t>
      </w:r>
    </w:p>
    <w:p w14:paraId="11BEC666" w14:textId="77777777" w:rsidR="00D42750" w:rsidRDefault="002F50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název, sídlo a IČ příkazce,</w:t>
      </w:r>
    </w:p>
    <w:p w14:paraId="5ECDE822" w14:textId="77777777" w:rsidR="00D42750" w:rsidRDefault="002F50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 vystavení,</w:t>
      </w:r>
    </w:p>
    <w:p w14:paraId="1C4F3938" w14:textId="77777777" w:rsidR="00D42750" w:rsidRDefault="002F50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 a název díla, číslo Smlouvy,</w:t>
      </w:r>
    </w:p>
    <w:p w14:paraId="2652DD28" w14:textId="77777777" w:rsidR="00D42750" w:rsidRDefault="002F50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soupis provedených činností s oceněním,</w:t>
      </w:r>
    </w:p>
    <w:p w14:paraId="53FB09C4" w14:textId="77777777" w:rsidR="00D42750" w:rsidRDefault="002F506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razítko a podpis oprávněné osoby.</w:t>
      </w:r>
    </w:p>
    <w:p w14:paraId="60B293EB" w14:textId="77777777" w:rsidR="00D42750" w:rsidRDefault="002F5068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odsouhlasení soupisu provedených činností a jeho potvrzení příkazce vystaví příkazník fakturu – daňový doklad, jehož nedílnou součástí musí bý</w:t>
      </w:r>
      <w:r>
        <w:rPr>
          <w:rFonts w:ascii="Times New Roman" w:hAnsi="Times New Roman" w:cs="Times New Roman"/>
          <w:sz w:val="22"/>
          <w:szCs w:val="22"/>
        </w:rPr>
        <w:t>t tento soupis provedených činností. Faktura – daňový doklad, u které nebude přiložen příkazcem odsouhlasený a potvrzený soupis provedených činností, bude příkazcem vrácena.</w:t>
      </w:r>
    </w:p>
    <w:p w14:paraId="3DE197E8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Nedojde-li mezi oběma smluvními stranami k dohodě při odsouhlasení množství nebo d</w:t>
      </w:r>
      <w:r>
        <w:rPr>
          <w:rFonts w:ascii="Times New Roman" w:hAnsi="Times New Roman" w:cs="Times New Roman"/>
          <w:sz w:val="22"/>
          <w:szCs w:val="22"/>
        </w:rPr>
        <w:t>ruhu provedených činností, je příkazník oprávněn fakturovat pouze ty činnosti, u kterých nedošlo k rozporu. Pokud bude faktura – daňový doklad dodavatele obsahovat i ty činnosti, které nebyly příkazcem odsouhlaseny, je příkazce oprávněn uhradit pouze tu čá</w:t>
      </w:r>
      <w:r>
        <w:rPr>
          <w:rFonts w:ascii="Times New Roman" w:hAnsi="Times New Roman" w:cs="Times New Roman"/>
          <w:sz w:val="22"/>
          <w:szCs w:val="22"/>
        </w:rPr>
        <w:t xml:space="preserve">st faktury – daňového dokladu, se kterou souhlasí. Na zbývající část faktury – daňového dokladu nemůže příkazník uplatňovat žádné majetkové sankce vyplývající z peněžitého dluhu příkazce. </w:t>
      </w:r>
    </w:p>
    <w:p w14:paraId="128D6A96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Podkladem pro poskytnutí jakýchkoliv plateb podle této Smlouvy je f</w:t>
      </w:r>
      <w:r>
        <w:rPr>
          <w:rFonts w:ascii="Times New Roman" w:hAnsi="Times New Roman" w:cs="Times New Roman"/>
          <w:sz w:val="22"/>
          <w:szCs w:val="22"/>
        </w:rPr>
        <w:t>aktura, kterou vyhotoví dodavatel. Faktura musí obsahovat zejména:</w:t>
      </w:r>
    </w:p>
    <w:p w14:paraId="563EC506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označení Faktura,</w:t>
      </w:r>
    </w:p>
    <w:p w14:paraId="41194A6D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číslo dokladu,</w:t>
      </w:r>
    </w:p>
    <w:p w14:paraId="024909DF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název, sídlo a IČ příkazníka,</w:t>
      </w:r>
    </w:p>
    <w:p w14:paraId="470C746C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údaj o zápisu v obchodním rejstříku vč. spisové značky,</w:t>
      </w:r>
    </w:p>
    <w:p w14:paraId="43DB26DB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název, sídlo a IČ příkazce,</w:t>
      </w:r>
    </w:p>
    <w:p w14:paraId="496E8550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 vystavení, datum odeslání a </w:t>
      </w:r>
      <w:r>
        <w:rPr>
          <w:rFonts w:ascii="Times New Roman" w:hAnsi="Times New Roman" w:cs="Times New Roman"/>
          <w:sz w:val="22"/>
          <w:szCs w:val="22"/>
        </w:rPr>
        <w:t>datum splatnosti,</w:t>
      </w:r>
    </w:p>
    <w:p w14:paraId="2FFD1B2A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označení peněžního ústavu a číslo účtu, na který se má platit,</w:t>
      </w:r>
    </w:p>
    <w:p w14:paraId="1C07F094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 a název díla, číslo Smlouvy,</w:t>
      </w:r>
    </w:p>
    <w:p w14:paraId="77A51AD4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soupis provedených činností s náležitostmi dle odst. 6. 2. této Smlouvy</w:t>
      </w:r>
    </w:p>
    <w:p w14:paraId="140338A5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cenu včetně DPH části díla odpovídající soupisu provedených činnos</w:t>
      </w:r>
      <w:r>
        <w:rPr>
          <w:rFonts w:ascii="Times New Roman" w:hAnsi="Times New Roman" w:cs="Times New Roman"/>
          <w:sz w:val="22"/>
          <w:szCs w:val="22"/>
        </w:rPr>
        <w:t>tí,</w:t>
      </w:r>
    </w:p>
    <w:p w14:paraId="5AA0CEB5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náležitosti daňového dokladu podle zákona o DPH,</w:t>
      </w:r>
    </w:p>
    <w:p w14:paraId="6626DB81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soupis dosud poskytnutých plateb,</w:t>
      </w:r>
    </w:p>
    <w:p w14:paraId="7BBFD753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částku k úhradě,</w:t>
      </w:r>
    </w:p>
    <w:p w14:paraId="09B487D6" w14:textId="77777777" w:rsidR="00D42750" w:rsidRDefault="002F506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razítko a podpis oprávněné osoby.</w:t>
      </w:r>
    </w:p>
    <w:p w14:paraId="6DCBD9CE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Daňové doklady jsou splatné do 30. dnů po doručení daňového doklady příkazci.</w:t>
      </w:r>
    </w:p>
    <w:p w14:paraId="406FB576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Příkazce může platbu odmítnout </w:t>
      </w:r>
      <w:r>
        <w:rPr>
          <w:rFonts w:ascii="Times New Roman" w:hAnsi="Times New Roman" w:cs="Times New Roman"/>
          <w:sz w:val="22"/>
          <w:szCs w:val="22"/>
        </w:rPr>
        <w:t>v případě, kdy platební doklad:</w:t>
      </w:r>
    </w:p>
    <w:p w14:paraId="18915300" w14:textId="77777777" w:rsidR="00D42750" w:rsidRDefault="002F5068">
      <w:pPr>
        <w:numPr>
          <w:ilvl w:val="2"/>
          <w:numId w:val="5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obsahuje nesprávné nebo neúplné údaje,</w:t>
      </w:r>
    </w:p>
    <w:p w14:paraId="1A29E664" w14:textId="77777777" w:rsidR="00D42750" w:rsidRDefault="002F5068">
      <w:pPr>
        <w:numPr>
          <w:ilvl w:val="2"/>
          <w:numId w:val="5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obsahuje chybné cenové údaje.</w:t>
      </w:r>
    </w:p>
    <w:p w14:paraId="5478576E" w14:textId="77777777" w:rsidR="00D42750" w:rsidRDefault="002F5068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Příkazce musí platební doklad vrátit bez zbytečného prodlení, nejpozději do data jeho splatnosti, jinak je v prodlení s placením částky, která měla být f</w:t>
      </w:r>
      <w:r>
        <w:rPr>
          <w:rFonts w:ascii="Times New Roman" w:hAnsi="Times New Roman" w:cs="Times New Roman"/>
          <w:sz w:val="22"/>
          <w:szCs w:val="22"/>
        </w:rPr>
        <w:t>akturována správně. U opraveného dokladu běží nová lhůta splatnosti.</w:t>
      </w:r>
    </w:p>
    <w:p w14:paraId="27BEED48" w14:textId="77777777" w:rsidR="00D42750" w:rsidRDefault="002F5068">
      <w:pPr>
        <w:numPr>
          <w:ilvl w:val="1"/>
          <w:numId w:val="4"/>
        </w:numPr>
        <w:tabs>
          <w:tab w:val="left" w:pos="1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Příkazce se zavazuje, že výše dohodnuté platební podmínky dodrží a ve sjednaných termínech poukáže platby na účet příkazníka. V případě prodlení s úhradou je příkazník do doby skutečného </w:t>
      </w:r>
      <w:r>
        <w:rPr>
          <w:rFonts w:ascii="Times New Roman" w:hAnsi="Times New Roman" w:cs="Times New Roman"/>
          <w:sz w:val="22"/>
          <w:szCs w:val="22"/>
        </w:rPr>
        <w:t>zaplacení plateb oprávněn přerušit činnosti a požadovat změnu Smlouvy v příslušných částech, zejména v čase plnění. V případě přerušení výkonu činností je příkazce povinen zaplatit příkazníkovi veškeré náklady a škody, které mu v této souvislosti vznikly.</w:t>
      </w:r>
    </w:p>
    <w:p w14:paraId="62A1A039" w14:textId="77777777" w:rsidR="00D42750" w:rsidRDefault="002F5068">
      <w:pPr>
        <w:numPr>
          <w:ilvl w:val="1"/>
          <w:numId w:val="4"/>
        </w:numPr>
        <w:tabs>
          <w:tab w:val="left" w:pos="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 nebude poskytovat zálohy.</w:t>
      </w:r>
    </w:p>
    <w:p w14:paraId="6D8C85F8" w14:textId="77777777" w:rsidR="00D42750" w:rsidRDefault="002F5068">
      <w:pPr>
        <w:numPr>
          <w:ilvl w:val="1"/>
          <w:numId w:val="4"/>
        </w:numPr>
        <w:tabs>
          <w:tab w:val="left" w:pos="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Změna sjednané ceny je možná s předchozím souhlasem příkazce a to pouze:</w:t>
      </w:r>
    </w:p>
    <w:p w14:paraId="42FC5E13" w14:textId="77777777" w:rsidR="00D42750" w:rsidRDefault="002F5068">
      <w:pPr>
        <w:numPr>
          <w:ilvl w:val="2"/>
          <w:numId w:val="6"/>
        </w:numPr>
        <w:tabs>
          <w:tab w:val="left" w:pos="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Pokud po podpisu smlouvy a před termínem dokončení díla dojde ke změnám sazeb DPH;</w:t>
      </w:r>
    </w:p>
    <w:p w14:paraId="66B1D6CB" w14:textId="77777777" w:rsidR="00D42750" w:rsidRDefault="002F5068">
      <w:pPr>
        <w:numPr>
          <w:ilvl w:val="2"/>
          <w:numId w:val="6"/>
        </w:numPr>
        <w:tabs>
          <w:tab w:val="left" w:pos="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Pokud se při realizaci díla vyskytnou skutečnosti, které nebyly</w:t>
      </w:r>
      <w:r>
        <w:rPr>
          <w:rFonts w:ascii="Times New Roman" w:hAnsi="Times New Roman" w:cs="Times New Roman"/>
          <w:sz w:val="22"/>
          <w:szCs w:val="22"/>
        </w:rPr>
        <w:t xml:space="preserve"> v době sjednání smlouvy známy, a příkazník je nezavinil ani nemohl předvídat a tyto skutečnosti mají prokazatelný vliv na sjednanou cenu.</w:t>
      </w:r>
    </w:p>
    <w:p w14:paraId="4F8A060F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173EE5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D4C209" w14:textId="77777777" w:rsidR="00D42750" w:rsidRDefault="002F506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Povinnosti příkazníka a způsob plnění předmětu smlouvy</w:t>
      </w:r>
    </w:p>
    <w:p w14:paraId="2024D460" w14:textId="77777777" w:rsidR="00D42750" w:rsidRDefault="00D42750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FF41927" w14:textId="77777777" w:rsidR="00D42750" w:rsidRDefault="002F50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Způsob provádění činností se řídí ustanoveními § 2589 a nás</w:t>
      </w:r>
      <w:r>
        <w:rPr>
          <w:rFonts w:ascii="Times New Roman" w:hAnsi="Times New Roman" w:cs="Times New Roman"/>
          <w:sz w:val="22"/>
          <w:szCs w:val="22"/>
        </w:rPr>
        <w:t xml:space="preserve">l. OZ, pokud není dohodnuto jinak.  </w:t>
      </w:r>
      <w:proofErr w:type="gramStart"/>
      <w:r>
        <w:rPr>
          <w:rFonts w:ascii="Times New Roman" w:hAnsi="Times New Roman" w:cs="Times New Roman"/>
          <w:sz w:val="22"/>
          <w:szCs w:val="22"/>
        </w:rPr>
        <w:t>Příkazník  bude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při plnění předmětu této Smlouvy postupovat s odbornou znalostí. Zavazuje se dodržovat všeobecně závazné předpisy, technické normy a podmínky této Smlouvy. Příkazník se bude řídit výchozími podklady příka</w:t>
      </w:r>
      <w:r>
        <w:rPr>
          <w:rFonts w:ascii="Times New Roman" w:hAnsi="Times New Roman" w:cs="Times New Roman"/>
          <w:sz w:val="22"/>
          <w:szCs w:val="22"/>
        </w:rPr>
        <w:t>zce, zápisy a dohodami oprávněných pracovníků smluvních stran a rozhodnutími a vyjádřeními dotčených orgánů státní správy.</w:t>
      </w:r>
    </w:p>
    <w:p w14:paraId="1275C271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 této smlouvy je splněn řádným výkonem činností, k nimž se příkazník zavázal v čl. III. této smlouvy.</w:t>
      </w:r>
    </w:p>
    <w:p w14:paraId="4AB11149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Příkazník bude neprodlen</w:t>
      </w:r>
      <w:r>
        <w:rPr>
          <w:rFonts w:ascii="Times New Roman" w:hAnsi="Times New Roman" w:cs="Times New Roman"/>
          <w:sz w:val="22"/>
          <w:szCs w:val="22"/>
        </w:rPr>
        <w:t>ě informovat příkazce o všech podstatných skutečnostech zjištěných při plnění této smlouvy.</w:t>
      </w:r>
    </w:p>
    <w:p w14:paraId="05F10C1E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Příkazník se zavazuje uchovat předmět této smlouvy v tajnosti. Stejně tak se zavazuje, že získané poznatky z činnosti příkazce zůstanou důvěrné. Jejich obsah může b</w:t>
      </w:r>
      <w:r>
        <w:rPr>
          <w:rFonts w:ascii="Times New Roman" w:hAnsi="Times New Roman" w:cs="Times New Roman"/>
          <w:sz w:val="22"/>
          <w:szCs w:val="22"/>
        </w:rPr>
        <w:t>ýt sdělen třetí osobě pouze po výslovném zmocnění příkazce.</w:t>
      </w:r>
    </w:p>
    <w:p w14:paraId="0B6A9246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Příkazník se zdrží veškerého jednání, které by mohlo přímo, nebo nepřímo ohrozit zájmy příkazce.</w:t>
      </w:r>
    </w:p>
    <w:p w14:paraId="127A43D3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Příkazník je povinen mít pro účely této smlouvy sjednáno obecné pojištění odpovědnosti za </w:t>
      </w:r>
      <w:r>
        <w:rPr>
          <w:rFonts w:ascii="Times New Roman" w:hAnsi="Times New Roman" w:cs="Times New Roman"/>
          <w:sz w:val="22"/>
          <w:szCs w:val="22"/>
        </w:rPr>
        <w:t>výkon škody způsobené výkonem své činnosti. Příkazník má uzavřenou pojistnou smlouvu na pojištění za škodu způsobenou třetí osobě ve výši min. 5 mil. Kč.</w:t>
      </w:r>
    </w:p>
    <w:p w14:paraId="7788B88F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Příkazník je povinen udržovat své pojištění v minimální výši pojistné částky dle článku 7. Bodu 7.5. p</w:t>
      </w:r>
      <w:r>
        <w:rPr>
          <w:rFonts w:ascii="Times New Roman" w:hAnsi="Times New Roman" w:cs="Times New Roman"/>
          <w:sz w:val="22"/>
          <w:szCs w:val="22"/>
        </w:rPr>
        <w:t>o celou dobu provádění činnosti vyplývající z této smlouvy.</w:t>
      </w:r>
    </w:p>
    <w:p w14:paraId="531D4E05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Výsledky kontrol příkazník dle potřeby projedná se zástupcem příkazce. Zápis z tohoto jednání musí obsahovat zejména popis projednávané záležitosti, návrh nápravných opatření, </w:t>
      </w:r>
      <w:r>
        <w:rPr>
          <w:rFonts w:ascii="Times New Roman" w:hAnsi="Times New Roman" w:cs="Times New Roman"/>
          <w:sz w:val="22"/>
          <w:szCs w:val="22"/>
        </w:rPr>
        <w:t>zodpovědnost za realizaci nápravných opatření, termín realizace nápravných opatření a termín následné kontroly, příp. odkaz na záznam, kde jsou tyto údaje zachyceny.</w:t>
      </w:r>
    </w:p>
    <w:p w14:paraId="2646EA43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Příkazník bude provádět veškeré činnosti vyplývající z této smlouvy osobně.</w:t>
      </w:r>
    </w:p>
    <w:p w14:paraId="0995DB05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Příkazník je o</w:t>
      </w:r>
      <w:r>
        <w:rPr>
          <w:rFonts w:ascii="Times New Roman" w:hAnsi="Times New Roman" w:cs="Times New Roman"/>
          <w:sz w:val="22"/>
          <w:szCs w:val="22"/>
        </w:rPr>
        <w:t>právněn pověřit výkonem části předmětných činností jinou osobu s písemným souhlasem příkazce, přičemž příkazník zajistí, aby takto pověřené osoby byly přiměřeně vázány ustanoveními této smlouvy.</w:t>
      </w:r>
    </w:p>
    <w:p w14:paraId="54FFF7A7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Příkazník odpovídá příkazci za splnění všech svých závazků po</w:t>
      </w:r>
      <w:r>
        <w:rPr>
          <w:rFonts w:ascii="Times New Roman" w:hAnsi="Times New Roman" w:cs="Times New Roman"/>
          <w:sz w:val="22"/>
          <w:szCs w:val="22"/>
        </w:rPr>
        <w:t>dle této smlouvy všemi jeho zástupci a jim pověřenými osobami ve stejné rozsahu jako při výkonu předmětných činností osobně příkazníkem.</w:t>
      </w:r>
    </w:p>
    <w:p w14:paraId="7ACC9B47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Příkazník ponese zodpovědnost za veškeré nesrovnalosti, chyby, nebo opomenutí v jakýchkoliv podkladech, které příkazník</w:t>
      </w:r>
      <w:r>
        <w:rPr>
          <w:rFonts w:ascii="Times New Roman" w:hAnsi="Times New Roman" w:cs="Times New Roman"/>
          <w:sz w:val="22"/>
          <w:szCs w:val="22"/>
        </w:rPr>
        <w:t xml:space="preserve"> v souvislosti s prováděním činnosti </w:t>
      </w:r>
      <w:r>
        <w:rPr>
          <w:rFonts w:ascii="Times New Roman" w:hAnsi="Times New Roman" w:cs="Times New Roman"/>
          <w:sz w:val="22"/>
          <w:szCs w:val="22"/>
        </w:rPr>
        <w:t>Supervizora</w:t>
      </w:r>
      <w:r>
        <w:rPr>
          <w:rFonts w:ascii="Times New Roman" w:hAnsi="Times New Roman" w:cs="Times New Roman"/>
          <w:sz w:val="22"/>
          <w:szCs w:val="22"/>
        </w:rPr>
        <w:t xml:space="preserve"> a BOZP poskytne příkazci, nebo třetím osobám.</w:t>
      </w:r>
    </w:p>
    <w:p w14:paraId="166DFC4A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Dojde-li ze strany příkazníka k nesrovnalosti, chybě, nebo opomenutí dle čl.7, bodu 7.11. je příkazník povinen sjednat ihned a bezplatně nápravu. Předchozí souhl</w:t>
      </w:r>
      <w:r>
        <w:rPr>
          <w:rFonts w:ascii="Times New Roman" w:hAnsi="Times New Roman" w:cs="Times New Roman"/>
          <w:sz w:val="22"/>
          <w:szCs w:val="22"/>
        </w:rPr>
        <w:t xml:space="preserve">as příkazce, nebo třetí osoby s podklady nezbavuje příkazníka v žádném případě odpovědnosti za nesrovnalosti, chyby, nebo opomenutí. </w:t>
      </w:r>
    </w:p>
    <w:p w14:paraId="1474625A" w14:textId="77777777" w:rsidR="00D42750" w:rsidRDefault="00D42750">
      <w:pPr>
        <w:tabs>
          <w:tab w:val="left" w:pos="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EDC467" w14:textId="77777777" w:rsidR="00D42750" w:rsidRDefault="002F506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14:paraId="6F94759D" w14:textId="77777777" w:rsidR="00D42750" w:rsidRDefault="002F506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Spolupůsobení příkazce </w:t>
      </w:r>
    </w:p>
    <w:p w14:paraId="2D70EBD7" w14:textId="77777777" w:rsidR="00D42750" w:rsidRDefault="00D4275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0146ED8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Příkazce vystaví v pří</w:t>
      </w:r>
      <w:r>
        <w:rPr>
          <w:rFonts w:ascii="Times New Roman" w:hAnsi="Times New Roman" w:cs="Times New Roman"/>
          <w:sz w:val="22"/>
          <w:szCs w:val="22"/>
        </w:rPr>
        <w:t>padě potřeby příkazníkovi plnou moc k úkonům přímo související s výkonem technického dozoru a koordinátora BOZP dle této smlouvy.</w:t>
      </w:r>
    </w:p>
    <w:p w14:paraId="0AED4936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 dni podpisu této smlouvy předá příkazce příkazníkovi dokumentaci díla, kopii smlouvy o dílo s dodavatelem díla, kopie dokla</w:t>
      </w:r>
      <w:r>
        <w:rPr>
          <w:rFonts w:ascii="Times New Roman" w:hAnsi="Times New Roman" w:cs="Times New Roman"/>
          <w:sz w:val="22"/>
          <w:szCs w:val="22"/>
        </w:rPr>
        <w:t>dů nutných pro řádný výkon jeho činnosti.</w:t>
      </w:r>
    </w:p>
    <w:p w14:paraId="4C1E4FF1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rámci svých možností se příkazce zavazuje k poskytnutí pomoci při zajišťování podkladů, doplňujících údajů, upřesnění apod., jejichž potřeba vznikne v průběhu plnění této smlouvy.</w:t>
      </w:r>
    </w:p>
    <w:p w14:paraId="41EDBAA6" w14:textId="77777777" w:rsidR="00D42750" w:rsidRDefault="00D42750">
      <w:pPr>
        <w:ind w:left="432"/>
        <w:jc w:val="both"/>
        <w:rPr>
          <w:rFonts w:ascii="Times New Roman" w:hAnsi="Times New Roman" w:cs="Times New Roman"/>
          <w:sz w:val="22"/>
          <w:szCs w:val="22"/>
        </w:rPr>
      </w:pPr>
    </w:p>
    <w:p w14:paraId="581E53EF" w14:textId="77777777" w:rsidR="00D42750" w:rsidRDefault="00D42750">
      <w:pPr>
        <w:ind w:left="432"/>
        <w:jc w:val="both"/>
        <w:rPr>
          <w:rFonts w:ascii="Times New Roman" w:hAnsi="Times New Roman" w:cs="Times New Roman"/>
          <w:sz w:val="22"/>
          <w:szCs w:val="22"/>
        </w:rPr>
      </w:pPr>
    </w:p>
    <w:p w14:paraId="1E86EBAA" w14:textId="77777777" w:rsidR="00D42750" w:rsidRDefault="002F506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Sankční ujednání</w:t>
      </w:r>
    </w:p>
    <w:p w14:paraId="390BAB8E" w14:textId="77777777" w:rsidR="00D42750" w:rsidRDefault="00D4275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C1356A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V případě, ž</w:t>
      </w:r>
      <w:r>
        <w:rPr>
          <w:rFonts w:ascii="Times New Roman" w:hAnsi="Times New Roman" w:cs="Times New Roman"/>
          <w:sz w:val="22"/>
          <w:szCs w:val="22"/>
        </w:rPr>
        <w:t xml:space="preserve">e příkazník nebude plnit své povinnosti vyplývající z této smlouvy, je příkazce oprávněn požadovat smluvní pokutu ve výši </w:t>
      </w:r>
      <w:r>
        <w:rPr>
          <w:rFonts w:ascii="Times New Roman" w:hAnsi="Times New Roman" w:cs="Times New Roman"/>
          <w:b/>
          <w:sz w:val="22"/>
          <w:szCs w:val="22"/>
        </w:rPr>
        <w:t>0,05%</w:t>
      </w:r>
      <w:r>
        <w:rPr>
          <w:rFonts w:ascii="Times New Roman" w:hAnsi="Times New Roman" w:cs="Times New Roman"/>
          <w:sz w:val="22"/>
          <w:szCs w:val="22"/>
        </w:rPr>
        <w:t xml:space="preserve"> z celkové odměny příkazníka včetně DPH za každý </w:t>
      </w:r>
      <w:proofErr w:type="gramStart"/>
      <w:r>
        <w:rPr>
          <w:rFonts w:ascii="Times New Roman" w:hAnsi="Times New Roman" w:cs="Times New Roman"/>
          <w:sz w:val="22"/>
          <w:szCs w:val="22"/>
        </w:rPr>
        <w:t>den  prodlení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po který bude tato skutečnost trvat.</w:t>
      </w:r>
    </w:p>
    <w:p w14:paraId="022ADA49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Jestliže příkazník provede pr</w:t>
      </w:r>
      <w:r>
        <w:rPr>
          <w:rFonts w:ascii="Times New Roman" w:hAnsi="Times New Roman" w:cs="Times New Roman"/>
          <w:sz w:val="22"/>
          <w:szCs w:val="22"/>
        </w:rPr>
        <w:t xml:space="preserve">okazatelně chybně kontrolu správnosti podkladů pro fakturaci dílčích prací a </w:t>
      </w:r>
      <w:proofErr w:type="gramStart"/>
      <w:r>
        <w:rPr>
          <w:rFonts w:ascii="Times New Roman" w:hAnsi="Times New Roman" w:cs="Times New Roman"/>
          <w:sz w:val="22"/>
          <w:szCs w:val="22"/>
        </w:rPr>
        <w:t>dodávek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to po stránce věcné, finanční nebo časové, je povinen zaplatit příkazci smluvní pokutu až do výše 20% z hodnoty nesprávně fakturovaných prací. Smluvní pokuta bude činit </w:t>
      </w:r>
      <w:r>
        <w:rPr>
          <w:rFonts w:ascii="Times New Roman" w:hAnsi="Times New Roman" w:cs="Times New Roman"/>
          <w:sz w:val="22"/>
          <w:szCs w:val="22"/>
        </w:rPr>
        <w:t>maximálně 50 000,--Kč.</w:t>
      </w:r>
    </w:p>
    <w:p w14:paraId="4104CD87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případě, že bude příkazce v prodlení s úhradou peněžitého plnění a neuhradí fakturu ve lhůtě její splatnosti, je příkazník oprávněn požadovat smluvní pokutu ve výši </w:t>
      </w:r>
      <w:proofErr w:type="gramStart"/>
      <w:r>
        <w:rPr>
          <w:rFonts w:ascii="Times New Roman" w:hAnsi="Times New Roman" w:cs="Times New Roman"/>
          <w:sz w:val="22"/>
          <w:szCs w:val="22"/>
        </w:rPr>
        <w:t>0,05%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 celkové částky včetně DPH za každý den prodlení.</w:t>
      </w:r>
    </w:p>
    <w:p w14:paraId="704D97EC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Sankčními</w:t>
      </w:r>
      <w:r>
        <w:rPr>
          <w:rFonts w:ascii="Times New Roman" w:hAnsi="Times New Roman" w:cs="Times New Roman"/>
          <w:sz w:val="22"/>
          <w:szCs w:val="22"/>
        </w:rPr>
        <w:t xml:space="preserve"> ujednáními není dotčen nárok na náhradu případné škody.</w:t>
      </w:r>
    </w:p>
    <w:p w14:paraId="6BCA2E72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pokutu je povinná strana povinna uhradit straně oprávněné do dvaceti jedna dnů po doručení písemné výzvy k jejímu uhrazení.</w:t>
      </w:r>
    </w:p>
    <w:p w14:paraId="4664B30A" w14:textId="77777777" w:rsidR="00D42750" w:rsidRDefault="00D42750">
      <w:pPr>
        <w:ind w:left="432"/>
        <w:jc w:val="both"/>
        <w:rPr>
          <w:rFonts w:ascii="Times New Roman" w:hAnsi="Times New Roman" w:cs="Times New Roman"/>
          <w:sz w:val="22"/>
          <w:szCs w:val="22"/>
        </w:rPr>
      </w:pPr>
    </w:p>
    <w:p w14:paraId="20356891" w14:textId="77777777" w:rsidR="00D42750" w:rsidRDefault="00D42750">
      <w:pPr>
        <w:ind w:left="432"/>
        <w:jc w:val="both"/>
        <w:rPr>
          <w:rFonts w:ascii="Times New Roman" w:hAnsi="Times New Roman" w:cs="Times New Roman"/>
          <w:sz w:val="22"/>
          <w:szCs w:val="22"/>
        </w:rPr>
      </w:pPr>
    </w:p>
    <w:p w14:paraId="3BF945AA" w14:textId="77777777" w:rsidR="00D42750" w:rsidRDefault="002F506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Ukončení smlouvy, odstoupení smlouvy</w:t>
      </w:r>
    </w:p>
    <w:p w14:paraId="64F24D11" w14:textId="77777777" w:rsidR="00D42750" w:rsidRDefault="00D4275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837BDD" w14:textId="77777777" w:rsidR="00D42750" w:rsidRDefault="002F5068">
      <w:pPr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vztah bude </w:t>
      </w:r>
      <w:r>
        <w:rPr>
          <w:rFonts w:ascii="Times New Roman" w:hAnsi="Times New Roman" w:cs="Times New Roman"/>
          <w:sz w:val="22"/>
          <w:szCs w:val="22"/>
        </w:rPr>
        <w:t>ukončen řádným splněním závazků obou smluvních stran, vyplývajících z ujednání této smlouvy.</w:t>
      </w:r>
    </w:p>
    <w:p w14:paraId="55339C55" w14:textId="77777777" w:rsidR="00D42750" w:rsidRDefault="002F5068">
      <w:pPr>
        <w:numPr>
          <w:ilvl w:val="1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smlouva může být vypovězena příkazníkem dle § 2440 a násl. Občanského zákoníku.</w:t>
      </w:r>
    </w:p>
    <w:p w14:paraId="38015AEC" w14:textId="77777777" w:rsidR="00D42750" w:rsidRDefault="002F506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Výpovědní lhůta činí jeden měsíc a začíná běžet od prvního dne měsíce následuj</w:t>
      </w:r>
      <w:r>
        <w:rPr>
          <w:rFonts w:ascii="Times New Roman" w:hAnsi="Times New Roman" w:cs="Times New Roman"/>
          <w:sz w:val="22"/>
          <w:szCs w:val="22"/>
        </w:rPr>
        <w:t>ícího po jejím doručení druhé smluvní straně. Příkazce může od smlouvy kdykoliv odstoupit dle § 2443 občanského zákoníku.</w:t>
      </w:r>
    </w:p>
    <w:p w14:paraId="2709D4BF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Příkazce je oprávněn odstoupit od této smlouvy v případě, nepodaří-li se mu zajistit financování díla.</w:t>
      </w:r>
    </w:p>
    <w:p w14:paraId="3F336207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Odstoupit od smlouvy je příkazc</w:t>
      </w:r>
      <w:r>
        <w:rPr>
          <w:rFonts w:ascii="Times New Roman" w:hAnsi="Times New Roman" w:cs="Times New Roman"/>
          <w:sz w:val="22"/>
          <w:szCs w:val="22"/>
        </w:rPr>
        <w:t>e oprávněn také v případě, že příkazník opakovaně porušuje své povinnosti vyplývající z ujednání této smlouvy, ač byl na tuto skutečnost příkazcem písemně upozorněn, a přesto v přiměřené lhůtě nesjednal nápravu.</w:t>
      </w:r>
    </w:p>
    <w:p w14:paraId="31447AB0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Příkazník je oprávněn odstoupit od smlouvy v</w:t>
      </w:r>
      <w:r>
        <w:rPr>
          <w:rFonts w:ascii="Times New Roman" w:hAnsi="Times New Roman" w:cs="Times New Roman"/>
          <w:sz w:val="22"/>
          <w:szCs w:val="22"/>
        </w:rPr>
        <w:t> případě, že příkazce je opakovaně v prodlení s placením oprávněně vystavených faktur po dobu delší než třicet dnů, aniž byla dohodnuta delší lhůta splatnosti.</w:t>
      </w:r>
    </w:p>
    <w:p w14:paraId="2B238B1B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Odstoupení od smlouvy nabývá účinnosti dnem následujícím po dni, kdy bylo smluvní straně doručen</w:t>
      </w:r>
      <w:r>
        <w:rPr>
          <w:rFonts w:ascii="Times New Roman" w:hAnsi="Times New Roman" w:cs="Times New Roman"/>
          <w:sz w:val="22"/>
          <w:szCs w:val="22"/>
        </w:rPr>
        <w:t>o písemné oznámení o odstoupení.</w:t>
      </w:r>
    </w:p>
    <w:p w14:paraId="0D9C4422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 případě výpovědi nebo odstoupení od této smlouvy kteroukoliv smluvní stranou:</w:t>
      </w:r>
    </w:p>
    <w:p w14:paraId="3EEE7E1B" w14:textId="77777777" w:rsidR="00D42750" w:rsidRDefault="002F506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 příkazník povinen nepokračovat ve sjednaných činnostech, musí však příkazce písemně upozornit na opatření potřebná k tomu, aby se zabránilo </w:t>
      </w:r>
      <w:r>
        <w:rPr>
          <w:rFonts w:ascii="Times New Roman" w:hAnsi="Times New Roman" w:cs="Times New Roman"/>
          <w:sz w:val="22"/>
          <w:szCs w:val="22"/>
        </w:rPr>
        <w:t>škodám, hrozícím příkazci či třetím osobám nedokončením sjednané činnosti, jinak je příkazník odpovědný za takto vzniklou škodu.</w:t>
      </w:r>
    </w:p>
    <w:p w14:paraId="5E689CA9" w14:textId="77777777" w:rsidR="00D42750" w:rsidRDefault="002F506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si ponechají veškerá plnění, která jim byla poskytnuta druhou smluvní stranou do dne odstoupení od smlouvy nebo </w:t>
      </w:r>
      <w:r>
        <w:rPr>
          <w:rFonts w:ascii="Times New Roman" w:hAnsi="Times New Roman" w:cs="Times New Roman"/>
          <w:sz w:val="22"/>
          <w:szCs w:val="22"/>
        </w:rPr>
        <w:t>jejího ukončení.</w:t>
      </w:r>
    </w:p>
    <w:p w14:paraId="6E4EEAD7" w14:textId="77777777" w:rsidR="00D42750" w:rsidRDefault="002F5068">
      <w:pPr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Příkazník předá příkazci originály a kopie všech dokumentů, plánů, výkresů, souborů výpočtů a popisů vypracovaných příkazníkem k provedené činnosti </w:t>
      </w:r>
      <w:r>
        <w:rPr>
          <w:rFonts w:ascii="Times New Roman" w:hAnsi="Times New Roman" w:cs="Times New Roman"/>
          <w:sz w:val="22"/>
          <w:szCs w:val="22"/>
        </w:rPr>
        <w:t>Supervizora</w:t>
      </w:r>
      <w:r>
        <w:rPr>
          <w:rFonts w:ascii="Times New Roman" w:hAnsi="Times New Roman" w:cs="Times New Roman"/>
          <w:sz w:val="22"/>
          <w:szCs w:val="22"/>
        </w:rPr>
        <w:t xml:space="preserve"> a BOZP, ať už v písemné či elektronické podobě ihned po ukončení činnosti příka</w:t>
      </w:r>
      <w:r>
        <w:rPr>
          <w:rFonts w:ascii="Times New Roman" w:hAnsi="Times New Roman" w:cs="Times New Roman"/>
          <w:sz w:val="22"/>
          <w:szCs w:val="22"/>
        </w:rPr>
        <w:t>zníka. Po splnění výše uvedeného doplatí příkazce příkazníkovi část odměny v rozsahu odpovídajícím provedeným činnostem Supervizora a BOZP.</w:t>
      </w:r>
    </w:p>
    <w:p w14:paraId="64942613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859D5E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F2D94A" w14:textId="77777777" w:rsidR="00D42750" w:rsidRDefault="002F506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Závěrečné ustanovení</w:t>
      </w:r>
    </w:p>
    <w:p w14:paraId="5186EA49" w14:textId="77777777" w:rsidR="00D42750" w:rsidRDefault="00D42750">
      <w:pPr>
        <w:ind w:left="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D6DCD8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Veškerá práva a povinnosti touto smlouvou výslovně neupravená se řídí příslušnými ustanovení</w:t>
      </w:r>
      <w:r>
        <w:rPr>
          <w:rFonts w:ascii="Times New Roman" w:hAnsi="Times New Roman" w:cs="Times New Roman"/>
          <w:bCs/>
          <w:sz w:val="22"/>
          <w:szCs w:val="22"/>
        </w:rPr>
        <w:t>mi občanského zákoníku a souvisejících právních předpisů.</w:t>
      </w:r>
    </w:p>
    <w:p w14:paraId="30E31AA5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Pokud není ve smlouvě uvedeno jinak, platí, že veškeré informace týkající se předmětu díla, s nimiž bude příkazník přicházet v průběhu provádění díla do styku, jsou důvěrné. Tyto informace nesmějí b</w:t>
      </w:r>
      <w:r>
        <w:rPr>
          <w:rFonts w:ascii="Times New Roman" w:hAnsi="Times New Roman" w:cs="Times New Roman"/>
          <w:bCs/>
          <w:sz w:val="22"/>
          <w:szCs w:val="22"/>
        </w:rPr>
        <w:t>ýt sděleny nikomu kromě příkazce a dalších osob určených příkazcem a nesmějí být příkazníkem použity k jiným účelům než k provádění díla. Příkazník je povinen zajistit, aby práce dle této smlouvy vykonávaly pouze osoby, které jsou zavázány k povinnosti chr</w:t>
      </w:r>
      <w:r>
        <w:rPr>
          <w:rFonts w:ascii="Times New Roman" w:hAnsi="Times New Roman" w:cs="Times New Roman"/>
          <w:bCs/>
          <w:sz w:val="22"/>
          <w:szCs w:val="22"/>
        </w:rPr>
        <w:t>ánit důvěrné informace. Výjimku z ochrany důvěrných informací tvoří ty informace, podklady a znalosti, které jsou všeobecně známé a dostupné.</w:t>
      </w:r>
    </w:p>
    <w:p w14:paraId="1381ED0F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Příkazník je na základě § 2e zákona č. 320/2001 Sb.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,  finanční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kontrole v platném znění osobou povinnou spolupůsob</w:t>
      </w:r>
      <w:r>
        <w:rPr>
          <w:rFonts w:ascii="Times New Roman" w:hAnsi="Times New Roman" w:cs="Times New Roman"/>
          <w:bCs/>
          <w:sz w:val="22"/>
          <w:szCs w:val="22"/>
        </w:rPr>
        <w:t>it při výkonu finanční kontroly.</w:t>
      </w:r>
    </w:p>
    <w:p w14:paraId="7A700601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Tato smlouva je vyhotovena ve čtyřech stejnopisech, z nichž každá ze smluvních stran obdrží po dvou stejnopisech.</w:t>
      </w:r>
    </w:p>
    <w:p w14:paraId="36A33EFD" w14:textId="77777777" w:rsidR="00D42750" w:rsidRDefault="002F5068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  <w:bCs/>
          <w:sz w:val="22"/>
          <w:szCs w:val="22"/>
        </w:rPr>
        <w:t xml:space="preserve">Smlouva nabývá platnosti a účinnosti okamžikem uveřejnění v registru smluv (v souladu se zákonem č. 340/2015 </w:t>
      </w:r>
      <w:r>
        <w:rPr>
          <w:rFonts w:ascii="Times New Roman" w:hAnsi="Times New Roman" w:cs="Times New Roman"/>
          <w:bCs/>
          <w:sz w:val="22"/>
          <w:szCs w:val="22"/>
        </w:rPr>
        <w:t>Sb.)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FB435AB" w14:textId="77777777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Změna a doplňky této smlouvy jsou možné jen písemným dodatkem, podepsaným oběma smluvními stranami.</w:t>
      </w:r>
    </w:p>
    <w:p w14:paraId="2F7BBF15" w14:textId="379F4345" w:rsidR="00D42750" w:rsidRDefault="002F5068">
      <w:pPr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Uzavření této smlouvy bylo projednáno na </w:t>
      </w:r>
      <w:r w:rsidR="00B421C9">
        <w:rPr>
          <w:rFonts w:ascii="Times New Roman" w:hAnsi="Times New Roman" w:cs="Times New Roman"/>
          <w:bCs/>
          <w:sz w:val="22"/>
          <w:szCs w:val="22"/>
        </w:rPr>
        <w:t xml:space="preserve">71. </w:t>
      </w:r>
      <w:r>
        <w:rPr>
          <w:rFonts w:ascii="Times New Roman" w:hAnsi="Times New Roman" w:cs="Times New Roman"/>
          <w:bCs/>
          <w:sz w:val="22"/>
          <w:szCs w:val="22"/>
        </w:rPr>
        <w:t xml:space="preserve">schůzi Rady města Litovle dne </w:t>
      </w:r>
      <w:r w:rsidR="00B421C9">
        <w:rPr>
          <w:rFonts w:ascii="Times New Roman" w:hAnsi="Times New Roman" w:cs="Times New Roman"/>
          <w:bCs/>
          <w:sz w:val="22"/>
          <w:szCs w:val="22"/>
        </w:rPr>
        <w:t xml:space="preserve">10. března </w:t>
      </w:r>
      <w:proofErr w:type="gramStart"/>
      <w:r w:rsidR="00B421C9">
        <w:rPr>
          <w:rFonts w:ascii="Times New Roman" w:hAnsi="Times New Roman" w:cs="Times New Roman"/>
          <w:bCs/>
          <w:sz w:val="22"/>
          <w:szCs w:val="22"/>
        </w:rPr>
        <w:t xml:space="preserve">2022 </w:t>
      </w:r>
      <w:r>
        <w:rPr>
          <w:rFonts w:ascii="Times New Roman" w:hAnsi="Times New Roman" w:cs="Times New Roman"/>
          <w:bCs/>
          <w:sz w:val="22"/>
          <w:szCs w:val="22"/>
        </w:rPr>
        <w:t xml:space="preserve"> ve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smyslu zákona č. 128/2000 Sb., ve zn. p. p.</w:t>
      </w:r>
    </w:p>
    <w:p w14:paraId="395E59ED" w14:textId="77777777" w:rsidR="00D42750" w:rsidRDefault="002F5068">
      <w:pPr>
        <w:numPr>
          <w:ilvl w:val="1"/>
          <w:numId w:val="4"/>
        </w:numPr>
        <w:tabs>
          <w:tab w:val="left" w:pos="1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</w:t>
      </w:r>
      <w:r>
        <w:rPr>
          <w:rFonts w:ascii="Times New Roman" w:hAnsi="Times New Roman" w:cs="Times New Roman"/>
          <w:sz w:val="22"/>
          <w:szCs w:val="22"/>
        </w:rPr>
        <w:t>souhlasí se zveřejněním Smlouvy včetně příloh na profilu zadavatele v souladu se zákonem č. 134/2016 Sb., o zadávání veřejných zakázek.</w:t>
      </w:r>
    </w:p>
    <w:p w14:paraId="73ACB602" w14:textId="77777777" w:rsidR="00D42750" w:rsidRDefault="002F5068">
      <w:pPr>
        <w:numPr>
          <w:ilvl w:val="1"/>
          <w:numId w:val="4"/>
        </w:numPr>
        <w:tabs>
          <w:tab w:val="left" w:pos="1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souhlasí s uveřejněním této smlouvy včetně příloh v Registru smluv dle zákona č. 340/</w:t>
      </w:r>
      <w:proofErr w:type="gramStart"/>
      <w:r>
        <w:rPr>
          <w:rFonts w:ascii="Times New Roman" w:hAnsi="Times New Roman" w:cs="Times New Roman"/>
          <w:sz w:val="22"/>
          <w:szCs w:val="22"/>
        </w:rPr>
        <w:t>2015  Sb.</w:t>
      </w:r>
      <w:proofErr w:type="gramEnd"/>
      <w:r>
        <w:rPr>
          <w:rFonts w:ascii="Times New Roman" w:hAnsi="Times New Roman" w:cs="Times New Roman"/>
          <w:sz w:val="22"/>
          <w:szCs w:val="22"/>
        </w:rPr>
        <w:t>, ve zn. p.</w:t>
      </w:r>
      <w:r>
        <w:rPr>
          <w:rFonts w:ascii="Times New Roman" w:hAnsi="Times New Roman" w:cs="Times New Roman"/>
          <w:sz w:val="22"/>
          <w:szCs w:val="22"/>
        </w:rPr>
        <w:t xml:space="preserve"> p.    </w:t>
      </w:r>
    </w:p>
    <w:p w14:paraId="43CF4D8F" w14:textId="77777777" w:rsidR="00D42750" w:rsidRDefault="002F5068">
      <w:pPr>
        <w:numPr>
          <w:ilvl w:val="1"/>
          <w:numId w:val="4"/>
        </w:numPr>
        <w:tabs>
          <w:tab w:val="left" w:pos="1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Nedílnou součástí této Smlouvy jsou níže uvedené přílohy:</w:t>
      </w:r>
    </w:p>
    <w:p w14:paraId="02DF30E8" w14:textId="77777777" w:rsidR="00D42750" w:rsidRDefault="002F50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763F279" w14:textId="77777777" w:rsidR="00D42750" w:rsidRDefault="00D4275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59DCA8" w14:textId="77777777" w:rsidR="00D42750" w:rsidRDefault="00D4275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72FB8F" w14:textId="77777777" w:rsidR="00D42750" w:rsidRDefault="002F5068">
      <w:pPr>
        <w:jc w:val="both"/>
      </w:pPr>
      <w:r>
        <w:rPr>
          <w:rFonts w:ascii="Times New Roman" w:hAnsi="Times New Roman" w:cs="Times New Roman"/>
          <w:sz w:val="22"/>
          <w:szCs w:val="22"/>
        </w:rPr>
        <w:t>V Litovli dne ……………….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V Brně </w:t>
      </w:r>
      <w:proofErr w:type="gramStart"/>
      <w:r>
        <w:rPr>
          <w:rFonts w:ascii="Times New Roman" w:hAnsi="Times New Roman" w:cs="Times New Roman"/>
          <w:sz w:val="22"/>
          <w:szCs w:val="22"/>
        </w:rPr>
        <w:t>dne 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……………….</w:t>
      </w:r>
    </w:p>
    <w:p w14:paraId="402997AF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ACDC6F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914939" w14:textId="77777777" w:rsidR="00D42750" w:rsidRDefault="002F506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Příkazce: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Příkazník:                                                                       </w:t>
      </w:r>
    </w:p>
    <w:p w14:paraId="60B2BA57" w14:textId="77777777" w:rsidR="00D42750" w:rsidRDefault="00D42750">
      <w:pPr>
        <w:jc w:val="both"/>
      </w:pPr>
    </w:p>
    <w:p w14:paraId="43A38302" w14:textId="77777777" w:rsidR="00D42750" w:rsidRDefault="00D427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E5BC24" w14:textId="77777777" w:rsidR="00D42750" w:rsidRDefault="002F5068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.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……………………………….</w:t>
      </w:r>
    </w:p>
    <w:p w14:paraId="726F97CD" w14:textId="77777777" w:rsidR="00D42750" w:rsidRDefault="002F5068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Viktor Kohout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Mgr. Lubomír Procházka, Ph.D.</w:t>
      </w:r>
    </w:p>
    <w:p w14:paraId="3E1F94E0" w14:textId="77777777" w:rsidR="00D42750" w:rsidRDefault="002F5068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starosta města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člen představenstva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D42750">
      <w:footerReference w:type="default" r:id="rId7"/>
      <w:pgSz w:w="11906" w:h="16838"/>
      <w:pgMar w:top="1134" w:right="1134" w:bottom="1879" w:left="1134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9CB1" w14:textId="77777777" w:rsidR="002F5068" w:rsidRDefault="002F5068">
      <w:r>
        <w:separator/>
      </w:r>
    </w:p>
  </w:endnote>
  <w:endnote w:type="continuationSeparator" w:id="0">
    <w:p w14:paraId="4020028C" w14:textId="77777777" w:rsidR="002F5068" w:rsidRDefault="002F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E57F" w14:textId="77777777" w:rsidR="00D42750" w:rsidRDefault="002F5068">
    <w:pPr>
      <w:pStyle w:val="Zpat"/>
      <w:jc w:val="center"/>
    </w:pPr>
    <w:r>
      <w:rPr>
        <w:rFonts w:ascii="Times New Roman" w:hAnsi="Times New Roman" w:cs="Times New Roman"/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\* ARABIC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7F1C" w14:textId="77777777" w:rsidR="002F5068" w:rsidRDefault="002F5068">
      <w:r>
        <w:separator/>
      </w:r>
    </w:p>
  </w:footnote>
  <w:footnote w:type="continuationSeparator" w:id="0">
    <w:p w14:paraId="770FDA67" w14:textId="77777777" w:rsidR="002F5068" w:rsidRDefault="002F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BF"/>
    <w:multiLevelType w:val="multilevel"/>
    <w:tmpl w:val="802EC8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A37F0"/>
    <w:multiLevelType w:val="multilevel"/>
    <w:tmpl w:val="69B6F68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Arial"/>
        <w:b/>
        <w:bCs/>
        <w:strike w:val="0"/>
        <w:dstrike w:val="0"/>
        <w:color w:val="000000"/>
        <w:spacing w:val="-5"/>
        <w:w w:val="109"/>
        <w:kern w:val="2"/>
        <w:sz w:val="22"/>
        <w:szCs w:val="22"/>
        <w:lang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Arial"/>
        <w:b/>
        <w:bCs/>
        <w:strike w:val="0"/>
        <w:dstrike w:val="0"/>
        <w:color w:val="000000"/>
        <w:spacing w:val="-5"/>
        <w:w w:val="109"/>
        <w:kern w:val="2"/>
        <w:sz w:val="22"/>
        <w:szCs w:val="22"/>
        <w:lang w:eastAsia="zh-CN" w:bidi="hi-I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eastAsia="Times New Roman" w:hAnsi="Times New Roman" w:cs="Arial"/>
        <w:b/>
        <w:bCs/>
        <w:strike w:val="0"/>
        <w:dstrike w:val="0"/>
        <w:color w:val="000000"/>
        <w:spacing w:val="-5"/>
        <w:w w:val="109"/>
        <w:kern w:val="2"/>
        <w:sz w:val="22"/>
        <w:szCs w:val="22"/>
        <w:lang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eastAsia="Times New Roman" w:hAnsi="Arial" w:cs="Arial"/>
        <w:b/>
        <w:bCs/>
        <w:strike/>
        <w:color w:val="000000"/>
        <w:w w:val="109"/>
        <w:kern w:val="2"/>
        <w:sz w:val="22"/>
        <w:szCs w:val="22"/>
        <w:lang w:eastAsia="zh-C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eastAsia="Times New Roman" w:hAnsi="Arial" w:cs="Arial"/>
        <w:b/>
        <w:bCs/>
        <w:strike/>
        <w:color w:val="000000"/>
        <w:w w:val="109"/>
        <w:kern w:val="2"/>
        <w:sz w:val="22"/>
        <w:szCs w:val="22"/>
        <w:lang w:eastAsia="zh-CN"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eastAsia="Times New Roman" w:hAnsi="Arial" w:cs="Arial"/>
        <w:b/>
        <w:bCs/>
        <w:strike/>
        <w:color w:val="000000"/>
        <w:w w:val="109"/>
        <w:kern w:val="2"/>
        <w:sz w:val="22"/>
        <w:szCs w:val="22"/>
        <w:lang w:eastAsia="zh-CN"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eastAsia="Times New Roman" w:hAnsi="Arial" w:cs="Arial"/>
        <w:b/>
        <w:bCs/>
        <w:strike/>
        <w:color w:val="000000"/>
        <w:w w:val="109"/>
        <w:kern w:val="2"/>
        <w:sz w:val="22"/>
        <w:szCs w:val="22"/>
        <w:lang w:eastAsia="zh-CN"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eastAsia="Times New Roman" w:hAnsi="Arial" w:cs="Arial"/>
        <w:b/>
        <w:bCs/>
        <w:strike/>
        <w:color w:val="000000"/>
        <w:w w:val="109"/>
        <w:kern w:val="2"/>
        <w:sz w:val="22"/>
        <w:szCs w:val="22"/>
        <w:lang w:eastAsia="zh-CN"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eastAsia="Times New Roman" w:hAnsi="Arial" w:cs="Arial"/>
        <w:b/>
        <w:bCs/>
        <w:strike/>
        <w:color w:val="000000"/>
        <w:w w:val="109"/>
        <w:kern w:val="2"/>
        <w:sz w:val="22"/>
        <w:szCs w:val="22"/>
        <w:lang w:eastAsia="zh-CN" w:bidi="hi-IN"/>
      </w:rPr>
    </w:lvl>
  </w:abstractNum>
  <w:abstractNum w:abstractNumId="2" w15:restartNumberingAfterBreak="0">
    <w:nsid w:val="1BD91CBC"/>
    <w:multiLevelType w:val="multilevel"/>
    <w:tmpl w:val="F9F2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4F0402D"/>
    <w:multiLevelType w:val="multilevel"/>
    <w:tmpl w:val="7EAE56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260522"/>
    <w:multiLevelType w:val="multilevel"/>
    <w:tmpl w:val="1EE48FD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i/>
        <w:sz w:val="22"/>
        <w:szCs w:val="22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716" w:hanging="432"/>
      </w:pPr>
      <w:rPr>
        <w:rFonts w:ascii="Times New Roman" w:hAnsi="Times New Roman" w:cs="Courier New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</w:lvl>
  </w:abstractNum>
  <w:abstractNum w:abstractNumId="5" w15:restartNumberingAfterBreak="0">
    <w:nsid w:val="2BAC2BCC"/>
    <w:multiLevelType w:val="multilevel"/>
    <w:tmpl w:val="DAF68F8A"/>
    <w:lvl w:ilvl="0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color w:val="000000"/>
        <w:w w:val="109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F091DBE"/>
    <w:multiLevelType w:val="multilevel"/>
    <w:tmpl w:val="8BF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7" w15:restartNumberingAfterBreak="0">
    <w:nsid w:val="33B9060D"/>
    <w:multiLevelType w:val="multilevel"/>
    <w:tmpl w:val="91FE2C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275177"/>
    <w:multiLevelType w:val="multilevel"/>
    <w:tmpl w:val="171835E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color w:val="000000"/>
        <w:w w:val="109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50FE76FC"/>
    <w:multiLevelType w:val="multilevel"/>
    <w:tmpl w:val="CC22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Cs/>
        <w:color w:val="000000"/>
        <w:w w:val="109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Cs/>
        <w:color w:val="000000"/>
        <w:w w:val="109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Cs/>
        <w:color w:val="000000"/>
        <w:w w:val="109"/>
        <w:kern w:val="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Cs/>
        <w:color w:val="000000"/>
        <w:w w:val="109"/>
        <w:kern w:val="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Cs/>
        <w:color w:val="000000"/>
        <w:w w:val="109"/>
        <w:kern w:val="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Cs/>
        <w:color w:val="000000"/>
        <w:w w:val="109"/>
        <w:kern w:val="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Cs/>
        <w:color w:val="000000"/>
        <w:w w:val="109"/>
        <w:kern w:val="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Cs/>
        <w:color w:val="000000"/>
        <w:w w:val="109"/>
        <w:kern w:val="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Cs/>
        <w:color w:val="000000"/>
        <w:w w:val="109"/>
        <w:kern w:val="2"/>
        <w:sz w:val="22"/>
        <w:szCs w:val="22"/>
      </w:rPr>
    </w:lvl>
  </w:abstractNum>
  <w:abstractNum w:abstractNumId="10" w15:restartNumberingAfterBreak="0">
    <w:nsid w:val="66447D6F"/>
    <w:multiLevelType w:val="multilevel"/>
    <w:tmpl w:val="C4D23C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color w:val="000000"/>
        <w:w w:val="109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9F40EAD"/>
    <w:multiLevelType w:val="multilevel"/>
    <w:tmpl w:val="820A5E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5D2478"/>
    <w:multiLevelType w:val="multilevel"/>
    <w:tmpl w:val="7FA09518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50"/>
    <w:rsid w:val="002F5068"/>
    <w:rsid w:val="00B421C9"/>
    <w:rsid w:val="00D4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A19A"/>
  <w15:docId w15:val="{A7AA3D2D-EEC3-44BD-BFB5-BEFD7B5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Liberation Serif;Times New Roma" w:eastAsia="Lucida Sans Unicode" w:hAnsi="Liberation Serif;Times New Roma" w:cs="Mangal"/>
      <w:kern w:val="2"/>
    </w:rPr>
  </w:style>
  <w:style w:type="paragraph" w:styleId="Nadpis1">
    <w:name w:val="heading 1"/>
    <w:basedOn w:val="Nadpis"/>
    <w:next w:val="Zkladntext"/>
    <w:uiPriority w:val="9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numPr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uiPriority w:val="9"/>
    <w:semiHidden/>
    <w:unhideWhenUsed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iCs/>
      <w:color w:val="000000"/>
      <w:w w:val="109"/>
      <w:kern w:val="2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bCs/>
      <w:iCs/>
      <w:color w:val="000000"/>
      <w:w w:val="109"/>
      <w:kern w:val="2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iCs/>
      <w:color w:val="000000"/>
      <w:w w:val="109"/>
      <w:kern w:val="2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Arial"/>
      <w:b/>
      <w:bCs/>
      <w:strike w:val="0"/>
      <w:dstrike w:val="0"/>
      <w:color w:val="000000"/>
      <w:spacing w:val="-5"/>
      <w:w w:val="109"/>
      <w:kern w:val="2"/>
      <w:sz w:val="22"/>
      <w:szCs w:val="22"/>
      <w:lang w:eastAsia="zh-CN" w:bidi="hi-IN"/>
    </w:rPr>
  </w:style>
  <w:style w:type="character" w:customStyle="1" w:styleId="WW8Num4z3">
    <w:name w:val="WW8Num4z3"/>
    <w:qFormat/>
    <w:rPr>
      <w:rFonts w:ascii="Arial" w:eastAsia="Times New Roman" w:hAnsi="Arial" w:cs="Arial"/>
      <w:b/>
      <w:bCs/>
      <w:strike/>
      <w:color w:val="000000"/>
      <w:w w:val="109"/>
      <w:kern w:val="2"/>
      <w:sz w:val="22"/>
      <w:szCs w:val="22"/>
      <w:lang w:eastAsia="zh-CN" w:bidi="hi-IN"/>
    </w:rPr>
  </w:style>
  <w:style w:type="character" w:customStyle="1" w:styleId="WW8Num5z0">
    <w:name w:val="WW8Num5z0"/>
    <w:qFormat/>
    <w:rPr>
      <w:rFonts w:ascii="Symbol" w:hAnsi="Symbol" w:cs="Arial"/>
      <w:color w:val="000000"/>
      <w:sz w:val="22"/>
      <w:szCs w:val="22"/>
    </w:rPr>
  </w:style>
  <w:style w:type="character" w:customStyle="1" w:styleId="WW8Num5z1">
    <w:name w:val="WW8Num5z1"/>
    <w:qFormat/>
    <w:rPr>
      <w:rFonts w:ascii="Courier New" w:hAnsi="Courier New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Arial"/>
      <w:color w:val="000000"/>
      <w:sz w:val="22"/>
      <w:szCs w:val="22"/>
    </w:rPr>
  </w:style>
  <w:style w:type="character" w:customStyle="1" w:styleId="WW8Num6z1">
    <w:name w:val="WW8Num6z1"/>
    <w:qFormat/>
    <w:rPr>
      <w:rFonts w:ascii="Times New Roman" w:hAnsi="Times New Roman" w:cs="Symbol"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bCs/>
      <w:iCs/>
      <w:color w:val="000000"/>
      <w:w w:val="109"/>
      <w:kern w:val="2"/>
      <w:sz w:val="22"/>
      <w:szCs w:val="22"/>
    </w:rPr>
  </w:style>
  <w:style w:type="character" w:customStyle="1" w:styleId="WW8Num8z0">
    <w:name w:val="WW8Num8z0"/>
    <w:qFormat/>
    <w:rPr>
      <w:i/>
      <w:sz w:val="22"/>
      <w:szCs w:val="22"/>
      <w:shd w:val="clear" w:color="auto" w:fill="FFFF00"/>
    </w:rPr>
  </w:style>
  <w:style w:type="character" w:customStyle="1" w:styleId="WW8Num8z1">
    <w:name w:val="WW8Num8z1"/>
    <w:qFormat/>
    <w:rPr>
      <w:rFonts w:ascii="Times New Roman" w:hAnsi="Times New Roman" w:cs="Courier New"/>
      <w:b/>
      <w:bCs/>
      <w:sz w:val="22"/>
      <w:szCs w:val="22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OpenSymbol;Arial Unicode MS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9z2">
    <w:name w:val="WW8Num9z2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  <w:sz w:val="22"/>
      <w:szCs w:val="22"/>
    </w:rPr>
  </w:style>
  <w:style w:type="character" w:customStyle="1" w:styleId="WW8Num11z0">
    <w:name w:val="WW8Num11z0"/>
    <w:qFormat/>
    <w:rPr>
      <w:rFonts w:ascii="Symbol" w:hAnsi="Symbol" w:cs="OpenSymbol;Arial Unicode MS"/>
      <w:sz w:val="22"/>
      <w:szCs w:val="22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  <w:sz w:val="22"/>
      <w:szCs w:val="22"/>
    </w:rPr>
  </w:style>
  <w:style w:type="character" w:customStyle="1" w:styleId="WW8Num7z1">
    <w:name w:val="WW8Num7z1"/>
    <w:qFormat/>
    <w:rPr>
      <w:rFonts w:ascii="Times New Roman" w:hAnsi="Times New Roman" w:cs="Symbol"/>
      <w:sz w:val="22"/>
      <w:szCs w:val="22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  <w:rPr>
      <w:rFonts w:ascii="Wingdings" w:hAnsi="Wingdings" w:cs="Wingdings"/>
    </w:rPr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  <w:rPr>
      <w:rFonts w:ascii="OpenSymbol;Arial Unicode MS" w:hAnsi="OpenSymbol;Arial Unicode MS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OpenSymbol;Arial Unicode MS" w:hAnsi="OpenSymbol;Arial Unicode MS" w:cs="OpenSymbol;Arial Unicode MS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3z2">
    <w:name w:val="WW8Num13z2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14z2">
    <w:name w:val="WW8Num14z2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eastAsia="Times New Roman" w:hAnsi="Symbol" w:cs="OpenSymbol;Arial Unicode MS"/>
      <w:sz w:val="22"/>
      <w:szCs w:val="22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5z2">
    <w:name w:val="WW8Num15z2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Times New Roman" w:hAnsi="Times New Roman" w:cs="Times New Roman"/>
      <w:sz w:val="22"/>
      <w:szCs w:val="22"/>
    </w:rPr>
  </w:style>
  <w:style w:type="character" w:customStyle="1" w:styleId="WW8Num16z2">
    <w:name w:val="WW8Num16z2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Times New Roman" w:hAnsi="Times New Roman" w:cs="Times New Roman"/>
      <w:sz w:val="22"/>
      <w:szCs w:val="22"/>
    </w:rPr>
  </w:style>
  <w:style w:type="character" w:customStyle="1" w:styleId="WW8Num17z2">
    <w:name w:val="WW8Num17z2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  <w:sz w:val="22"/>
      <w:szCs w:val="22"/>
    </w:rPr>
  </w:style>
  <w:style w:type="character" w:customStyle="1" w:styleId="WW8Num19z0">
    <w:name w:val="WW8Num19z0"/>
    <w:qFormat/>
    <w:rPr>
      <w:rFonts w:ascii="Symbol" w:hAnsi="Symbol" w:cs="OpenSymbol;Arial Unicode MS"/>
      <w:sz w:val="22"/>
      <w:szCs w:val="22"/>
    </w:rPr>
  </w:style>
  <w:style w:type="character" w:customStyle="1" w:styleId="WW8Num19z1">
    <w:name w:val="WW8Num19z1"/>
    <w:qFormat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eastAsia="Times New Roman" w:hAnsi="Symbol" w:cs="Symbol"/>
      <w:sz w:val="22"/>
      <w:szCs w:val="22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18z2">
    <w:name w:val="WW8Num18z2"/>
    <w:qFormat/>
    <w:rPr>
      <w:rFonts w:ascii="OpenSymbol;Arial Unicode MS" w:hAnsi="OpenSymbol;Arial Unicode MS" w:cs="OpenSymbol;Arial Unicode MS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bsatz-Standardschriftart">
    <w:name w:val="Absatz-Standardschriftart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9z2">
    <w:name w:val="WW8Num19z2"/>
    <w:qFormat/>
    <w:rPr>
      <w:rFonts w:ascii="OpenSymbol;Arial Unicode MS" w:hAnsi="OpenSymbol;Arial Unicode MS" w:cs="OpenSymbol;Arial Unicode MS"/>
    </w:rPr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Standardnpsmoodstavce1">
    <w:name w:val="Standardní písmo odstavce1"/>
    <w:qFormat/>
  </w:style>
  <w:style w:type="character" w:customStyle="1" w:styleId="WW8Num4z1">
    <w:name w:val="WW8Num4z1"/>
    <w:qFormat/>
    <w:rPr>
      <w:rFonts w:ascii="Arial" w:hAnsi="Arial" w:cs="Arial"/>
      <w:b w:val="0"/>
      <w:i w:val="0"/>
      <w:sz w:val="22"/>
      <w:szCs w:val="20"/>
    </w:rPr>
  </w:style>
  <w:style w:type="character" w:customStyle="1" w:styleId="WW8Num4z2">
    <w:name w:val="WW8Num4z2"/>
    <w:qFormat/>
    <w:rPr>
      <w:rFonts w:ascii="Arial" w:hAnsi="Arial" w:cs="Aria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4z5">
    <w:name w:val="WW8Num4z5"/>
    <w:qFormat/>
    <w:rPr>
      <w:rFonts w:ascii="Wingdings" w:hAnsi="Wingdings" w:cs="Wingdings"/>
    </w:rPr>
  </w:style>
  <w:style w:type="character" w:customStyle="1" w:styleId="TextbublinyChar">
    <w:name w:val="Text bubliny Char"/>
    <w:qFormat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Liberation Serif;Times New Roma" w:eastAsia="Lucida Sans Unicode" w:hAnsi="Liberation Serif;Times New Roma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ascii="Liberation Serif;Times New Roma" w:eastAsia="Lucida Sans Unicode" w:hAnsi="Liberation Serif;Times New Roma" w:cs="Mangal"/>
      <w:b/>
      <w:bCs/>
      <w:kern w:val="2"/>
      <w:szCs w:val="18"/>
      <w:lang w:eastAsia="zh-CN" w:bidi="hi-IN"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Odkaznakoment2">
    <w:name w:val="Odkaz na komentář2"/>
    <w:qFormat/>
    <w:rPr>
      <w:sz w:val="16"/>
      <w:szCs w:val="16"/>
    </w:rPr>
  </w:style>
  <w:style w:type="character" w:customStyle="1" w:styleId="TextkomenteChar1">
    <w:name w:val="Text komentáře Char1"/>
    <w:qFormat/>
    <w:rPr>
      <w:rFonts w:ascii="Liberation Serif;Times New Roma" w:eastAsia="Lucida Sans Unicode" w:hAnsi="Liberation Serif;Times New Roma" w:cs="Mangal"/>
      <w:kern w:val="2"/>
      <w:szCs w:val="18"/>
      <w:lang w:eastAsia="zh-CN" w:bidi="hi-IN"/>
    </w:rPr>
  </w:style>
  <w:style w:type="character" w:customStyle="1" w:styleId="Character20style">
    <w:name w:val="Character_20_style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4">
    <w:name w:val="Titulek4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Zkladntext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ormlnodsazen1">
    <w:name w:val="Normální odsazený1"/>
    <w:basedOn w:val="Normln"/>
    <w:qFormat/>
    <w:pPr>
      <w:widowControl/>
      <w:suppressAutoHyphens w:val="0"/>
      <w:spacing w:before="120"/>
      <w:ind w:left="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Revize">
    <w:name w:val="Revision"/>
    <w:qFormat/>
    <w:rPr>
      <w:rFonts w:ascii="Liberation Serif;Times New Roma" w:eastAsia="Lucida Sans Unicode" w:hAnsi="Liberation Serif;Times New Roma" w:cs="Mangal"/>
      <w:kern w:val="2"/>
      <w:szCs w:val="21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4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Textkomente1">
    <w:name w:val="Text komentáře1"/>
    <w:basedOn w:val="Normln"/>
    <w:qFormat/>
    <w:rPr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Textkomente2">
    <w:name w:val="Text komentáře2"/>
    <w:basedOn w:val="Normln"/>
    <w:qFormat/>
    <w:rPr>
      <w:sz w:val="20"/>
      <w:szCs w:val="18"/>
    </w:rPr>
  </w:style>
  <w:style w:type="paragraph" w:customStyle="1" w:styleId="Zkladntextodsazen31">
    <w:name w:val="Základní text odsazený 31"/>
    <w:basedOn w:val="Normln"/>
    <w:qFormat/>
    <w:pPr>
      <w:ind w:left="3240"/>
      <w:jc w:val="both"/>
    </w:pPr>
    <w:rPr>
      <w:sz w:val="22"/>
      <w:szCs w:val="22"/>
    </w:rPr>
  </w:style>
  <w:style w:type="paragraph" w:customStyle="1" w:styleId="LO-Normal">
    <w:name w:val="LO-Normal"/>
    <w:basedOn w:val="Normln"/>
    <w:qFormat/>
    <w:pPr>
      <w:autoSpaceDE w:val="0"/>
    </w:pPr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3689</Words>
  <Characters>21771</Characters>
  <Application>Microsoft Office Word</Application>
  <DocSecurity>0</DocSecurity>
  <Lines>181</Lines>
  <Paragraphs>50</Paragraphs>
  <ScaleCrop>false</ScaleCrop>
  <Company/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Andrea</dc:creator>
  <dc:description/>
  <cp:lastModifiedBy>Kurfürst Pavel</cp:lastModifiedBy>
  <cp:revision>25</cp:revision>
  <cp:lastPrinted>2015-04-29T10:41:00Z</cp:lastPrinted>
  <dcterms:created xsi:type="dcterms:W3CDTF">2018-01-23T12:43:00Z</dcterms:created>
  <dcterms:modified xsi:type="dcterms:W3CDTF">2022-03-15T10:07:00Z</dcterms:modified>
  <dc:language>cs-CZ</dc:language>
</cp:coreProperties>
</file>