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14:paraId="1B3EFE8E" w14:textId="77777777" w:rsidTr="0006427B">
        <w:tc>
          <w:tcPr>
            <w:tcW w:w="2376" w:type="dxa"/>
            <w:shd w:val="pct5" w:color="auto" w:fill="FFFFFF"/>
            <w:vAlign w:val="center"/>
          </w:tcPr>
          <w:p w14:paraId="30CDE3E9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14:paraId="65AD3F01" w14:textId="77777777" w:rsidR="0006427B" w:rsidRDefault="0006427B" w:rsidP="0006427B">
            <w:pPr>
              <w:spacing w:before="120" w:after="120"/>
            </w:pPr>
            <w:r>
              <w:rPr>
                <w:b/>
              </w:rPr>
              <w:t>Colonnade Insurance S.A.</w:t>
            </w:r>
            <w:r>
              <w:t xml:space="preserve">, se sídlem </w:t>
            </w:r>
            <w:r w:rsidR="00AE1538">
              <w:t xml:space="preserve">L-2350 </w:t>
            </w:r>
            <w:r>
              <w:t xml:space="preserve">Lucemburk, </w:t>
            </w:r>
            <w:proofErr w:type="spellStart"/>
            <w:r w:rsidR="006C3364">
              <w:t>rue</w:t>
            </w:r>
            <w:proofErr w:type="spellEnd"/>
            <w:r w:rsidR="006C3364">
              <w:t xml:space="preserve"> Jean </w:t>
            </w:r>
            <w:proofErr w:type="spellStart"/>
            <w:r w:rsidR="006C3364">
              <w:t>Piret</w:t>
            </w:r>
            <w:proofErr w:type="spellEnd"/>
            <w:r w:rsidR="006C3364">
              <w:t xml:space="preserve"> 1</w:t>
            </w:r>
            <w:r>
              <w:t xml:space="preserve">, Lucemburské velkovévodství, zapsaná v lucemburském Registre de </w:t>
            </w:r>
            <w:proofErr w:type="spellStart"/>
            <w:r>
              <w:t>Commerce</w:t>
            </w:r>
            <w:proofErr w:type="spellEnd"/>
            <w:r>
              <w:t xml:space="preserve"> et des </w:t>
            </w:r>
            <w:proofErr w:type="spellStart"/>
            <w:r>
              <w:t>Sociétés</w:t>
            </w:r>
            <w:proofErr w:type="spellEnd"/>
            <w:r>
              <w:t xml:space="preserve">, registrační číslo B61605, jednající prostřednictvím </w:t>
            </w:r>
          </w:p>
          <w:p w14:paraId="4256EFA4" w14:textId="77777777" w:rsidR="00556B62" w:rsidRDefault="0006427B" w:rsidP="0006427B">
            <w:r>
              <w:rPr>
                <w:b/>
              </w:rPr>
              <w:t>Colonnade Insurance S.A</w:t>
            </w:r>
            <w:r>
              <w:t xml:space="preserve">., organizační složka, se sídlem Na Pankráci 1683/127, 140 00 Praha 4, Česká republika, identifikační číslo </w:t>
            </w:r>
            <w:r w:rsidR="00204564">
              <w:br/>
            </w:r>
            <w:r>
              <w:t xml:space="preserve">044 85 297, zapsané v obchodním rejstříku vedeném Městským soudem </w:t>
            </w:r>
          </w:p>
          <w:p w14:paraId="1C343E19" w14:textId="77777777" w:rsidR="001B35EC" w:rsidRPr="0006427B" w:rsidRDefault="0006427B" w:rsidP="0006427B">
            <w:r>
              <w:t xml:space="preserve">v Praze, oddíl A, vložka 77229. </w:t>
            </w:r>
          </w:p>
        </w:tc>
      </w:tr>
    </w:tbl>
    <w:p w14:paraId="5AB84D46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14:paraId="086211F8" w14:textId="77777777" w:rsidTr="0006427B">
        <w:tc>
          <w:tcPr>
            <w:tcW w:w="2410" w:type="dxa"/>
            <w:shd w:val="pct5" w:color="auto" w:fill="FFFFFF"/>
          </w:tcPr>
          <w:p w14:paraId="6B795F67" w14:textId="77777777" w:rsidR="0006427B" w:rsidRPr="00EF090E" w:rsidRDefault="00ED2250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06427B"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14:paraId="2A4DDE9E" w14:textId="77777777" w:rsidR="0006427B" w:rsidRDefault="00204564" w:rsidP="009B1B5C">
            <w:pPr>
              <w:spacing w:before="60" w:after="60"/>
            </w:pPr>
            <w:r w:rsidRPr="00FB0BF0">
              <w:rPr>
                <w:sz w:val="18"/>
                <w:szCs w:val="18"/>
              </w:rPr>
              <w:t>Na Pankráci 1683/127, 140 00 Praha 4, Česká republika</w:t>
            </w:r>
          </w:p>
        </w:tc>
      </w:tr>
      <w:tr w:rsidR="00EF090E" w:rsidRPr="00EF090E" w14:paraId="2834BBFD" w14:textId="77777777" w:rsidTr="0006427B">
        <w:tc>
          <w:tcPr>
            <w:tcW w:w="2410" w:type="dxa"/>
            <w:shd w:val="pct5" w:color="auto" w:fill="FFFFFF"/>
          </w:tcPr>
          <w:p w14:paraId="3557FDE8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14:paraId="0BB48A92" w14:textId="37F8027E"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r>
              <w:rPr>
                <w:sz w:val="18"/>
                <w:szCs w:val="18"/>
              </w:rPr>
              <w:t xml:space="preserve">Adéla </w:t>
            </w:r>
            <w:proofErr w:type="spellStart"/>
            <w:r>
              <w:rPr>
                <w:sz w:val="18"/>
                <w:szCs w:val="18"/>
              </w:rPr>
              <w:t>Kryšková</w:t>
            </w:r>
            <w:bookmarkEnd w:id="0"/>
            <w:proofErr w:type="spellEnd"/>
            <w:r w:rsidR="001B35EC" w:rsidRPr="00EF090E">
              <w:rPr>
                <w:sz w:val="18"/>
                <w:szCs w:val="18"/>
              </w:rPr>
              <w:t>, zmocněn</w:t>
            </w:r>
            <w:r w:rsidR="00FB0BF0">
              <w:rPr>
                <w:sz w:val="18"/>
                <w:szCs w:val="18"/>
              </w:rPr>
              <w:t>á</w:t>
            </w:r>
            <w:r w:rsidR="001B35EC" w:rsidRPr="00EF090E">
              <w:rPr>
                <w:sz w:val="18"/>
                <w:szCs w:val="18"/>
              </w:rPr>
              <w:t xml:space="preserve"> pro záležitosti smluvní</w:t>
            </w:r>
          </w:p>
        </w:tc>
      </w:tr>
    </w:tbl>
    <w:p w14:paraId="0A1C8E30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0312F162" w14:textId="77777777" w:rsidTr="00556B62">
        <w:tc>
          <w:tcPr>
            <w:tcW w:w="2410" w:type="dxa"/>
            <w:shd w:val="pct5" w:color="auto" w:fill="FFFFFF"/>
            <w:vAlign w:val="center"/>
          </w:tcPr>
          <w:p w14:paraId="04878089" w14:textId="77777777"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14:paraId="5D5ACAFB" w14:textId="77777777"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>
              <w:rPr>
                <w:b/>
                <w:sz w:val="18"/>
                <w:szCs w:val="18"/>
              </w:rPr>
              <w:t>Vodovody a kanalizace Zlín, a.s.</w:t>
            </w:r>
            <w:bookmarkEnd w:id="1"/>
            <w:r w:rsidRPr="00EF090E">
              <w:rPr>
                <w:sz w:val="18"/>
                <w:szCs w:val="18"/>
              </w:rPr>
              <w:t xml:space="preserve">, </w:t>
            </w:r>
          </w:p>
          <w:p w14:paraId="7F29D666" w14:textId="4ADA0FB5" w:rsidR="001B35EC" w:rsidRPr="00EF090E" w:rsidRDefault="00953123" w:rsidP="00C635FF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 </w:t>
            </w:r>
            <w:bookmarkStart w:id="2" w:name="CLIENT_REGISTER"/>
            <w:r>
              <w:rPr>
                <w:sz w:val="18"/>
                <w:szCs w:val="18"/>
              </w:rPr>
              <w:t>zapsána v obchodním rejstříku vedeném Krajským soudem v Brně, oddíl B, vložka 1169</w:t>
            </w:r>
            <w:bookmarkEnd w:id="2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číslo </w:t>
            </w:r>
            <w:bookmarkStart w:id="3" w:name="CLIENT_ID"/>
            <w:r>
              <w:rPr>
                <w:sz w:val="18"/>
                <w:szCs w:val="18"/>
              </w:rPr>
              <w:t>494 54 561</w:t>
            </w:r>
            <w:bookmarkEnd w:id="3"/>
          </w:p>
        </w:tc>
      </w:tr>
    </w:tbl>
    <w:p w14:paraId="08C2E67D" w14:textId="77777777"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7B518E52" w14:textId="77777777" w:rsidTr="00556B62">
        <w:tc>
          <w:tcPr>
            <w:tcW w:w="2410" w:type="dxa"/>
            <w:shd w:val="pct5" w:color="auto" w:fill="FFFFFF"/>
            <w:vAlign w:val="center"/>
          </w:tcPr>
          <w:p w14:paraId="3811117F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14:paraId="01D8F592" w14:textId="44A163CE" w:rsidR="001B35EC" w:rsidRPr="00EF090E" w:rsidRDefault="00953123" w:rsidP="001B35EC">
            <w:pPr>
              <w:pStyle w:val="Textkomente"/>
              <w:rPr>
                <w:sz w:val="18"/>
                <w:szCs w:val="18"/>
              </w:rPr>
            </w:pPr>
            <w:bookmarkStart w:id="4" w:name="CLIENT_COMP_FULLADDRESS"/>
            <w:r>
              <w:rPr>
                <w:sz w:val="18"/>
                <w:szCs w:val="18"/>
              </w:rPr>
              <w:t>třída Tomáše Bati 383, 760</w:t>
            </w:r>
            <w:r w:rsidR="00FB0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49 Zlín</w:t>
            </w:r>
            <w:bookmarkEnd w:id="4"/>
          </w:p>
        </w:tc>
      </w:tr>
      <w:tr w:rsidR="00EF090E" w:rsidRPr="00EF090E" w14:paraId="2E378BE2" w14:textId="77777777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14:paraId="02CDC70C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14:paraId="2B59C717" w14:textId="394EA09F" w:rsidR="001B35EC" w:rsidRPr="00EF090E" w:rsidRDefault="00FB0BF0" w:rsidP="001B35EC">
            <w:pPr>
              <w:pStyle w:val="Textkomente"/>
              <w:rPr>
                <w:sz w:val="18"/>
                <w:szCs w:val="18"/>
              </w:rPr>
            </w:pPr>
            <w:r w:rsidRPr="00824437">
              <w:rPr>
                <w:sz w:val="18"/>
                <w:szCs w:val="18"/>
              </w:rPr>
              <w:t>Ing. Svatopluk Březík, předseda představenstva</w:t>
            </w:r>
          </w:p>
        </w:tc>
      </w:tr>
      <w:tr w:rsidR="00EF090E" w:rsidRPr="00EF090E" w14:paraId="6E05ED64" w14:textId="77777777" w:rsidTr="00556B62">
        <w:tc>
          <w:tcPr>
            <w:tcW w:w="2410" w:type="dxa"/>
            <w:shd w:val="pct5" w:color="auto" w:fill="FFFFFF"/>
            <w:vAlign w:val="center"/>
          </w:tcPr>
          <w:p w14:paraId="23FE355E" w14:textId="77777777"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14:paraId="6A522FF0" w14:textId="7E7EC15B"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5" w:name="CLIENT_COMP_FULLADDRESS1"/>
            <w:r>
              <w:rPr>
                <w:sz w:val="18"/>
                <w:szCs w:val="18"/>
              </w:rPr>
              <w:t>třída Tomáše Bati 383, 760</w:t>
            </w:r>
            <w:r w:rsidR="00FB0B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49 Zlín</w:t>
            </w:r>
            <w:bookmarkEnd w:id="5"/>
          </w:p>
        </w:tc>
      </w:tr>
    </w:tbl>
    <w:p w14:paraId="7471020C" w14:textId="77777777"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14:paraId="1B889909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2E6875C7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14:paraId="787B3106" w14:textId="77777777" w:rsidR="00BB03C8" w:rsidRPr="00EF090E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6" w:name="BROKER_NAME"/>
            <w:r>
              <w:rPr>
                <w:b/>
                <w:sz w:val="18"/>
                <w:szCs w:val="18"/>
              </w:rPr>
              <w:t>IMG a.s.</w:t>
            </w:r>
            <w:bookmarkEnd w:id="6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14:paraId="2914BC4D" w14:textId="5FCCB2FF" w:rsidR="001B35EC" w:rsidRPr="00EF090E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7" w:name="BROKER_REGISTER"/>
            <w:r>
              <w:rPr>
                <w:sz w:val="18"/>
                <w:szCs w:val="18"/>
              </w:rPr>
              <w:t>zapsána v obchodním rejstříku vedeném Městským soudem v Praze, oddíl B, vložka 3292</w:t>
            </w:r>
            <w:bookmarkEnd w:id="7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</w:t>
            </w:r>
            <w:proofErr w:type="gramStart"/>
            <w:r w:rsidRPr="00EF090E">
              <w:rPr>
                <w:sz w:val="18"/>
                <w:szCs w:val="18"/>
              </w:rPr>
              <w:t xml:space="preserve">číslo  </w:t>
            </w:r>
            <w:bookmarkStart w:id="8" w:name="BROKER_ID"/>
            <w:r>
              <w:rPr>
                <w:sz w:val="18"/>
                <w:szCs w:val="18"/>
              </w:rPr>
              <w:t>630</w:t>
            </w:r>
            <w:proofErr w:type="gramEnd"/>
            <w:r>
              <w:rPr>
                <w:sz w:val="18"/>
                <w:szCs w:val="18"/>
              </w:rPr>
              <w:t xml:space="preserve"> 80 419</w:t>
            </w:r>
            <w:bookmarkEnd w:id="8"/>
          </w:p>
        </w:tc>
      </w:tr>
      <w:tr w:rsidR="00EF090E" w:rsidRPr="00EF090E" w14:paraId="6703ED05" w14:textId="77777777" w:rsidTr="00556B62">
        <w:trPr>
          <w:trHeight w:val="254"/>
        </w:trPr>
        <w:tc>
          <w:tcPr>
            <w:tcW w:w="2410" w:type="dxa"/>
            <w:shd w:val="pct5" w:color="auto" w:fill="auto"/>
          </w:tcPr>
          <w:p w14:paraId="6263B78C" w14:textId="77777777" w:rsidR="001B35EC" w:rsidRPr="00EF090E" w:rsidRDefault="001B35EC" w:rsidP="001B35EC">
            <w:pPr>
              <w:pStyle w:val="Nadpis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14:paraId="2685686D" w14:textId="70F7603F"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9" w:name="BROKER_COMP_FULLADDRESS"/>
            <w:r>
              <w:rPr>
                <w:rStyle w:val="platne"/>
                <w:sz w:val="18"/>
                <w:szCs w:val="18"/>
              </w:rPr>
              <w:t>Nuselská 236/39, 140</w:t>
            </w:r>
            <w:r w:rsidR="00FB0BF0">
              <w:rPr>
                <w:rStyle w:val="platne"/>
                <w:sz w:val="18"/>
                <w:szCs w:val="18"/>
              </w:rPr>
              <w:t xml:space="preserve"> </w:t>
            </w:r>
            <w:r>
              <w:rPr>
                <w:rStyle w:val="platne"/>
                <w:sz w:val="18"/>
                <w:szCs w:val="18"/>
              </w:rPr>
              <w:t>00 Praha 4 - Nusle</w:t>
            </w:r>
            <w:bookmarkEnd w:id="9"/>
          </w:p>
        </w:tc>
      </w:tr>
    </w:tbl>
    <w:p w14:paraId="1CA8C757" w14:textId="77777777" w:rsidR="001B35EC" w:rsidRPr="00EF090E" w:rsidRDefault="001B35EC" w:rsidP="001B35EC">
      <w:pPr>
        <w:pStyle w:val="Nadpis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bookmarkStart w:id="10" w:name="POLICY_NO"/>
      <w:r>
        <w:rPr>
          <w:color w:val="auto"/>
          <w:sz w:val="28"/>
          <w:szCs w:val="28"/>
        </w:rPr>
        <w:t>2305 1113 22</w:t>
      </w:r>
      <w:bookmarkEnd w:id="10"/>
      <w:r w:rsidR="00953123" w:rsidRPr="00EF090E">
        <w:rPr>
          <w:color w:val="auto"/>
          <w:sz w:val="28"/>
          <w:szCs w:val="28"/>
        </w:rPr>
        <w:t xml:space="preserve"> </w:t>
      </w:r>
      <w:r w:rsidRPr="00EF090E">
        <w:rPr>
          <w:color w:val="auto"/>
          <w:sz w:val="28"/>
          <w:szCs w:val="28"/>
        </w:rPr>
        <w:t>- návrh</w:t>
      </w:r>
    </w:p>
    <w:p w14:paraId="11F40503" w14:textId="77777777" w:rsidR="001B35EC" w:rsidRPr="00EF090E" w:rsidRDefault="001B35EC" w:rsidP="001B35EC"/>
    <w:p w14:paraId="5971049A" w14:textId="77777777" w:rsidR="001B35EC" w:rsidRPr="00EF090E" w:rsidRDefault="001B35EC" w:rsidP="001B35EC">
      <w:pPr>
        <w:pStyle w:val="Nadpis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14:paraId="5FCA70D8" w14:textId="77777777" w:rsidR="001B35EC" w:rsidRPr="00EF090E" w:rsidRDefault="001B35EC" w:rsidP="001B35EC">
      <w:pPr>
        <w:pStyle w:val="Zkladntext"/>
        <w:rPr>
          <w:sz w:val="18"/>
          <w:szCs w:val="18"/>
        </w:rPr>
      </w:pPr>
    </w:p>
    <w:p w14:paraId="7457F3B2" w14:textId="77777777" w:rsidR="001B35EC" w:rsidRPr="00EF090E" w:rsidRDefault="001B35EC" w:rsidP="001B35EC">
      <w:pPr>
        <w:pStyle w:val="Zkladn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14:paraId="6D2CDCB6" w14:textId="77777777" w:rsidR="001B35EC" w:rsidRPr="00EF090E" w:rsidRDefault="001B35EC" w:rsidP="001B35EC">
      <w:pPr>
        <w:pStyle w:val="Zkladn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14:paraId="60005402" w14:textId="77777777" w:rsidTr="00D02F44">
        <w:trPr>
          <w:trHeight w:val="483"/>
        </w:trPr>
        <w:tc>
          <w:tcPr>
            <w:tcW w:w="5070" w:type="dxa"/>
            <w:gridSpan w:val="2"/>
          </w:tcPr>
          <w:p w14:paraId="6D1C256E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14:paraId="6BD4DBC7" w14:textId="77777777"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14:paraId="6EA56079" w14:textId="77777777" w:rsidTr="00D02F44">
        <w:trPr>
          <w:trHeight w:val="725"/>
        </w:trPr>
        <w:tc>
          <w:tcPr>
            <w:tcW w:w="5070" w:type="dxa"/>
            <w:gridSpan w:val="2"/>
          </w:tcPr>
          <w:p w14:paraId="07A3AE2A" w14:textId="085E3DC3" w:rsidR="001B35EC" w:rsidRPr="00EF090E" w:rsidRDefault="001B35EC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 xml:space="preserve">__.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85E99">
              <w:rPr>
                <w:sz w:val="18"/>
                <w:szCs w:val="18"/>
              </w:rPr>
              <w:t>2</w:t>
            </w:r>
            <w:r w:rsidR="00DD1B6C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2"/>
          </w:tcPr>
          <w:p w14:paraId="2D5D4824" w14:textId="160A8D12" w:rsidR="001B35EC" w:rsidRPr="00EF090E" w:rsidRDefault="00EC6D1E" w:rsidP="00697012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</w:t>
            </w:r>
            <w:r w:rsidR="00385E99">
              <w:rPr>
                <w:sz w:val="18"/>
                <w:szCs w:val="18"/>
              </w:rPr>
              <w:t>2</w:t>
            </w:r>
            <w:r w:rsidR="00DD1B6C">
              <w:rPr>
                <w:sz w:val="18"/>
                <w:szCs w:val="18"/>
              </w:rPr>
              <w:t>2</w:t>
            </w:r>
          </w:p>
        </w:tc>
      </w:tr>
      <w:tr w:rsidR="00EF090E" w:rsidRPr="00EF090E" w14:paraId="107056B0" w14:textId="77777777" w:rsidTr="00D02F44">
        <w:trPr>
          <w:trHeight w:val="690"/>
        </w:trPr>
        <w:tc>
          <w:tcPr>
            <w:tcW w:w="1101" w:type="dxa"/>
          </w:tcPr>
          <w:p w14:paraId="5972E22A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14:paraId="275B47CA" w14:textId="77777777"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3DDE4C0" w14:textId="77777777"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14:paraId="229D87D2" w14:textId="77777777"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14:paraId="67A3632F" w14:textId="77777777" w:rsidTr="00D02F44">
        <w:tc>
          <w:tcPr>
            <w:tcW w:w="1101" w:type="dxa"/>
          </w:tcPr>
          <w:p w14:paraId="40BA57C8" w14:textId="77777777"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A47555" w14:textId="77777777" w:rsidR="00FB0BF0" w:rsidRPr="0099175A" w:rsidRDefault="00FB0BF0" w:rsidP="00FB0BF0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 w:rsidRPr="0099175A">
              <w:rPr>
                <w:b/>
                <w:sz w:val="18"/>
                <w:szCs w:val="18"/>
              </w:rPr>
              <w:t>Ing. Svatopluk Březík</w:t>
            </w:r>
          </w:p>
          <w:p w14:paraId="47C67630" w14:textId="2C362B80" w:rsidR="001B35EC" w:rsidRPr="00EF090E" w:rsidRDefault="00FB0BF0" w:rsidP="00FB0BF0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 w:rsidRPr="0099175A">
              <w:rPr>
                <w:b/>
                <w:sz w:val="18"/>
                <w:szCs w:val="18"/>
              </w:rPr>
              <w:t>Předseda představenstva</w:t>
            </w:r>
          </w:p>
        </w:tc>
        <w:tc>
          <w:tcPr>
            <w:tcW w:w="283" w:type="dxa"/>
          </w:tcPr>
          <w:p w14:paraId="23B0E3CF" w14:textId="77777777"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42043E8" w14:textId="77777777" w:rsidR="00953123" w:rsidRPr="00EF090E" w:rsidRDefault="00953123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bookmarkStart w:id="11" w:name="UWRESP_NAME2"/>
            <w:r>
              <w:rPr>
                <w:b/>
                <w:bCs/>
                <w:sz w:val="18"/>
                <w:szCs w:val="18"/>
              </w:rPr>
              <w:t xml:space="preserve">Adéla </w:t>
            </w:r>
            <w:proofErr w:type="spellStart"/>
            <w:r>
              <w:rPr>
                <w:b/>
                <w:bCs/>
                <w:sz w:val="18"/>
                <w:szCs w:val="18"/>
              </w:rPr>
              <w:t>Kryšková</w:t>
            </w:r>
            <w:bookmarkEnd w:id="11"/>
            <w:proofErr w:type="spellEnd"/>
          </w:p>
          <w:p w14:paraId="74D9EE99" w14:textId="052A2255" w:rsidR="001B35EC" w:rsidRPr="00EF090E" w:rsidRDefault="00ED2250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bookmarkStart w:id="12" w:name="UWRESP_POSEN"/>
            <w:r>
              <w:rPr>
                <w:b/>
                <w:sz w:val="18"/>
                <w:szCs w:val="18"/>
              </w:rPr>
              <w:t xml:space="preserve">Team Leader &amp; </w:t>
            </w:r>
            <w:proofErr w:type="spellStart"/>
            <w:r>
              <w:rPr>
                <w:b/>
                <w:sz w:val="18"/>
                <w:szCs w:val="18"/>
              </w:rPr>
              <w:t>Underwriter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2132D">
              <w:rPr>
                <w:b/>
                <w:sz w:val="18"/>
                <w:szCs w:val="18"/>
              </w:rPr>
              <w:t>Financial</w:t>
            </w:r>
            <w:proofErr w:type="spellEnd"/>
            <w:r w:rsidR="0072132D">
              <w:rPr>
                <w:b/>
                <w:sz w:val="18"/>
                <w:szCs w:val="18"/>
              </w:rPr>
              <w:t xml:space="preserve"> Lines</w:t>
            </w:r>
            <w:bookmarkEnd w:id="12"/>
          </w:p>
        </w:tc>
      </w:tr>
    </w:tbl>
    <w:p w14:paraId="0220E8CE" w14:textId="77777777" w:rsidR="003453CC" w:rsidRPr="00EF090E" w:rsidRDefault="001B35EC" w:rsidP="0075051D">
      <w:pPr>
        <w:pStyle w:val="Nadpis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13" w:name="POLICY_NO1"/>
      <w:r>
        <w:rPr>
          <w:color w:val="auto"/>
          <w:sz w:val="24"/>
          <w:szCs w:val="24"/>
        </w:rPr>
        <w:t>2305 1113 22</w:t>
      </w:r>
      <w:bookmarkEnd w:id="13"/>
    </w:p>
    <w:p w14:paraId="438FDB70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14:paraId="7DC4510C" w14:textId="77777777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14:paraId="00E21ECD" w14:textId="776F026F"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</w:p>
        </w:tc>
      </w:tr>
      <w:tr w:rsidR="00EF090E" w:rsidRPr="00EF090E" w14:paraId="63D7CD5B" w14:textId="77777777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14:paraId="6F662A80" w14:textId="77777777"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96085" w14:textId="77777777"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4" w:name="INC_DATE"/>
            <w:r>
              <w:rPr>
                <w:b/>
                <w:snapToGrid w:val="0"/>
                <w:sz w:val="18"/>
                <w:szCs w:val="18"/>
                <w:lang w:eastAsia="en-US"/>
              </w:rPr>
              <w:t>21. 4. 2022</w:t>
            </w:r>
            <w:bookmarkEnd w:id="14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14:paraId="74789712" w14:textId="77777777"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875B0" w14:textId="77777777"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5" w:name="EXP_DATE"/>
            <w:r>
              <w:rPr>
                <w:b/>
                <w:snapToGrid w:val="0"/>
                <w:sz w:val="18"/>
                <w:szCs w:val="18"/>
                <w:lang w:eastAsia="en-US"/>
              </w:rPr>
              <w:t>20. 4. 2023</w:t>
            </w:r>
            <w:bookmarkEnd w:id="15"/>
          </w:p>
        </w:tc>
      </w:tr>
    </w:tbl>
    <w:p w14:paraId="68EE15E4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14:paraId="670BA8CD" w14:textId="77777777" w:rsidTr="001D4BB0">
        <w:tc>
          <w:tcPr>
            <w:tcW w:w="9072" w:type="dxa"/>
            <w:shd w:val="pct5" w:color="auto" w:fill="auto"/>
          </w:tcPr>
          <w:p w14:paraId="10CAB302" w14:textId="77777777" w:rsidR="00697012" w:rsidRDefault="00697012" w:rsidP="00697012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14:paraId="4B420BC6" w14:textId="77777777" w:rsidR="00697012" w:rsidRDefault="00697012" w:rsidP="00697012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14:paraId="3FCA7FAD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5690D408" w14:textId="77777777" w:rsidR="00697012" w:rsidRDefault="00697012" w:rsidP="00697012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14:paraId="0D231BFD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16F56DAA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607CC170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2D15C5BF" w14:textId="77777777" w:rsidR="00697012" w:rsidRDefault="00697012" w:rsidP="00697012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375004FB" w14:textId="77777777" w:rsidR="00B75FD5" w:rsidRPr="00EF090E" w:rsidRDefault="00B75FD5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 xml:space="preserve">de facto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14:paraId="13DBEDCC" w14:textId="77777777" w:rsidR="00B75FD5" w:rsidRPr="00EF090E" w:rsidRDefault="00130E2F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proofErr w:type="spellStart"/>
            <w:r w:rsidRPr="00EF090E">
              <w:rPr>
                <w:i/>
                <w:sz w:val="18"/>
                <w:szCs w:val="18"/>
              </w:rPr>
              <w:t>prospective</w:t>
            </w:r>
            <w:proofErr w:type="spellEnd"/>
            <w:r w:rsidRPr="00EF090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i/>
                <w:sz w:val="18"/>
                <w:szCs w:val="18"/>
              </w:rPr>
              <w:t>director</w:t>
            </w:r>
            <w:proofErr w:type="spellEnd"/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14:paraId="773E7210" w14:textId="77777777" w:rsidR="00E52B79" w:rsidRPr="00EF090E" w:rsidRDefault="00E52B79" w:rsidP="00697012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14:paraId="31AAD08A" w14:textId="77777777"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010F1A60" w14:textId="77777777"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14:paraId="3B7378FE" w14:textId="77777777"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14:paraId="57F570E1" w14:textId="77777777"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14:paraId="7DF84D6A" w14:textId="77777777"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14:paraId="39BEC801" w14:textId="77777777"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14:paraId="4557A387" w14:textId="77777777" w:rsidR="003453CC" w:rsidRPr="00EF090E" w:rsidRDefault="003453CC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14:paraId="220EA63D" w14:textId="77777777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14:paraId="4E2950D4" w14:textId="77777777"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14:paraId="1D36F466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14:paraId="270C481B" w14:textId="77777777"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14:paraId="2D4A6D0F" w14:textId="77777777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14:paraId="604AB68F" w14:textId="77777777"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1B469B83" w14:textId="77777777" w:rsidR="003453CC" w:rsidRPr="00EF090E" w:rsidRDefault="003B77B5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1A37497B" w14:textId="77777777" w:rsidTr="003A33C7">
        <w:trPr>
          <w:trHeight w:val="254"/>
        </w:trPr>
        <w:tc>
          <w:tcPr>
            <w:tcW w:w="3261" w:type="dxa"/>
            <w:shd w:val="pct5" w:color="auto" w:fill="auto"/>
          </w:tcPr>
          <w:p w14:paraId="7EC8B9DE" w14:textId="288044B0" w:rsidR="003453CC" w:rsidRPr="00EF090E" w:rsidRDefault="00FB0BF0" w:rsidP="00EC5A63">
            <w:pPr>
              <w:widowControl w:val="0"/>
              <w:tabs>
                <w:tab w:val="left" w:pos="851"/>
              </w:tabs>
              <w:spacing w:before="40" w:after="40"/>
            </w:pPr>
            <w:r>
              <w:rPr>
                <w:snapToGrid w:val="0"/>
                <w:sz w:val="18"/>
                <w:szCs w:val="18"/>
                <w:lang w:eastAsia="en-US"/>
              </w:rPr>
              <w:t>21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>
              <w:rPr>
                <w:snapToGrid w:val="0"/>
                <w:sz w:val="18"/>
                <w:szCs w:val="18"/>
                <w:lang w:eastAsia="en-US"/>
              </w:rPr>
              <w:t>4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20</w:t>
            </w:r>
            <w:r>
              <w:rPr>
                <w:snapToGrid w:val="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5811" w:type="dxa"/>
          </w:tcPr>
          <w:p w14:paraId="758F6C36" w14:textId="77777777"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14:paraId="560AC2E2" w14:textId="77777777" w:rsidR="00EB1201" w:rsidRPr="00EF090E" w:rsidRDefault="00EB1201" w:rsidP="003A33C7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2645B49A" w14:textId="77777777" w:rsidTr="001D4BB0">
        <w:trPr>
          <w:trHeight w:val="254"/>
        </w:trPr>
        <w:tc>
          <w:tcPr>
            <w:tcW w:w="3261" w:type="dxa"/>
            <w:shd w:val="pct5" w:color="auto" w:fill="auto"/>
          </w:tcPr>
          <w:p w14:paraId="75E331B6" w14:textId="77777777"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14:paraId="27F71C9D" w14:textId="5513784C" w:rsidR="005C2B4A" w:rsidRPr="00EF090E" w:rsidRDefault="00FB0BF0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14:paraId="4E117280" w14:textId="77777777"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14:paraId="0E626C93" w14:textId="77777777" w:rsidR="005C2B4A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14:paraId="70EBEF3C" w14:textId="77777777" w:rsidR="002E6E0F" w:rsidRPr="00EF090E" w:rsidRDefault="005C2B4A" w:rsidP="00697012">
            <w:pPr>
              <w:pStyle w:val="Odstavecseseznamem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14:paraId="01D793C1" w14:textId="77777777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14:paraId="5B2E4FAF" w14:textId="77777777"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14:paraId="1AB3E151" w14:textId="77777777" w:rsidR="00B8773C" w:rsidRPr="00EF090E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</w:t>
            </w:r>
            <w:proofErr w:type="gramStart"/>
            <w:r w:rsidR="00724E88" w:rsidRPr="00EF090E">
              <w:rPr>
                <w:sz w:val="18"/>
                <w:szCs w:val="18"/>
              </w:rPr>
              <w:t>30%</w:t>
            </w:r>
            <w:proofErr w:type="gramEnd"/>
            <w:r w:rsidR="00724E88" w:rsidRPr="00EF090E">
              <w:rPr>
                <w:sz w:val="18"/>
                <w:szCs w:val="18"/>
              </w:rPr>
              <w:t xml:space="preserve">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</w:tc>
      </w:tr>
    </w:tbl>
    <w:p w14:paraId="464C16D9" w14:textId="77777777" w:rsidR="000039B1" w:rsidRPr="00EF090E" w:rsidRDefault="000039B1" w:rsidP="000039B1">
      <w:pPr>
        <w:pStyle w:val="Nadpis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proofErr w:type="spellStart"/>
      <w:r w:rsidRPr="00EF090E">
        <w:rPr>
          <w:caps w:val="0"/>
          <w:color w:val="auto"/>
          <w:sz w:val="22"/>
        </w:rPr>
        <w:lastRenderedPageBreak/>
        <w:t>Sublimity</w:t>
      </w:r>
      <w:proofErr w:type="spellEnd"/>
      <w:r w:rsidRPr="00EF090E">
        <w:rPr>
          <w:caps w:val="0"/>
          <w:color w:val="auto"/>
          <w:sz w:val="22"/>
        </w:rPr>
        <w:t xml:space="preserve"> pojistného plnění </w:t>
      </w:r>
    </w:p>
    <w:p w14:paraId="70156477" w14:textId="77777777" w:rsidR="008D4E08" w:rsidRPr="00EF090E" w:rsidRDefault="00FC3256" w:rsidP="008D4E08">
      <w:pPr>
        <w:rPr>
          <w:sz w:val="18"/>
          <w:szCs w:val="18"/>
        </w:rPr>
      </w:pP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</w:t>
      </w:r>
      <w:proofErr w:type="spellStart"/>
      <w:r w:rsidRPr="00EF090E">
        <w:rPr>
          <w:sz w:val="18"/>
          <w:szCs w:val="18"/>
        </w:rPr>
        <w:t>sublimit</w:t>
      </w:r>
      <w:proofErr w:type="spellEnd"/>
      <w:r w:rsidRPr="00EF090E">
        <w:rPr>
          <w:sz w:val="18"/>
          <w:szCs w:val="18"/>
        </w:rPr>
        <w:t xml:space="preserve">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</w:t>
      </w:r>
      <w:proofErr w:type="spellStart"/>
      <w:r w:rsidRPr="00EF090E">
        <w:rPr>
          <w:sz w:val="18"/>
          <w:szCs w:val="18"/>
        </w:rPr>
        <w:t>sublimitů</w:t>
      </w:r>
      <w:proofErr w:type="spellEnd"/>
      <w:r w:rsidRPr="00EF090E">
        <w:rPr>
          <w:sz w:val="18"/>
          <w:szCs w:val="18"/>
        </w:rPr>
        <w:t xml:space="preserve">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</w:t>
      </w:r>
      <w:proofErr w:type="spellStart"/>
      <w:r w:rsidRPr="00EF090E">
        <w:rPr>
          <w:sz w:val="18"/>
          <w:szCs w:val="18"/>
        </w:rPr>
        <w:t>Sublimity</w:t>
      </w:r>
      <w:proofErr w:type="spellEnd"/>
      <w:r w:rsidRPr="00EF090E">
        <w:rPr>
          <w:sz w:val="18"/>
          <w:szCs w:val="18"/>
        </w:rPr>
        <w:t xml:space="preserve">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14:paraId="7FBC0DB5" w14:textId="77777777" w:rsidR="00EC6D1E" w:rsidRPr="00EF090E" w:rsidRDefault="00EC6D1E" w:rsidP="008D4E08">
      <w:pPr>
        <w:rPr>
          <w:sz w:val="18"/>
          <w:szCs w:val="18"/>
        </w:rPr>
      </w:pPr>
    </w:p>
    <w:p w14:paraId="6C66C8EB" w14:textId="77777777"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14:paraId="481C1EC1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3E36DC6D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14:paraId="59B32194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311CC18B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79D4B2D8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14:paraId="6FDDF569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14:paraId="6F152039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3739C9D6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14:paraId="3F00F680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15%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14:paraId="22FD6B96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30%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13BFA06E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18821688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14:paraId="51A72191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 w:rsidRPr="00EF090E">
              <w:rPr>
                <w:snapToGrid w:val="0"/>
                <w:sz w:val="18"/>
                <w:szCs w:val="18"/>
                <w:lang w:eastAsia="en-US"/>
              </w:rPr>
              <w:t>Sublimit</w:t>
            </w:r>
            <w:proofErr w:type="spellEnd"/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12B88B88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397A4CE4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14:paraId="23E491C2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3678DCE0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4CCDA1E5" w14:textId="77777777"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14:paraId="07C89E98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10%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14:paraId="3896B4BD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55BE44EE" w14:textId="77777777"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14:paraId="7F674A34" w14:textId="77777777"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20%</w:t>
            </w:r>
            <w:proofErr w:type="gramEnd"/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761760" w:rsidRPr="00EF090E" w14:paraId="068F1BCA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33DD0C67" w14:textId="3EE618DE" w:rsidR="00761760" w:rsidRPr="00EF090E" w:rsidRDefault="00761760" w:rsidP="00761760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b/>
                <w:snapToGrid w:val="0"/>
                <w:sz w:val="18"/>
                <w:szCs w:val="18"/>
                <w:lang w:eastAsia="en-US"/>
              </w:rPr>
              <w:t>Náklady na náhradní firemní vůz</w:t>
            </w:r>
          </w:p>
        </w:tc>
        <w:tc>
          <w:tcPr>
            <w:tcW w:w="5811" w:type="dxa"/>
          </w:tcPr>
          <w:p w14:paraId="4231AB8D" w14:textId="1C54D298" w:rsidR="00761760" w:rsidRPr="00EF090E" w:rsidRDefault="00761760" w:rsidP="00761760">
            <w:pPr>
              <w:widowControl w:val="0"/>
              <w:spacing w:before="40" w:after="40"/>
              <w:ind w:left="112" w:right="111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snapToGrid w:val="0"/>
                <w:sz w:val="18"/>
                <w:szCs w:val="18"/>
                <w:lang w:eastAsia="en-US"/>
              </w:rPr>
              <w:t>650 000,- Kč za jednu a za všechny pojistné události z tohoto pojištění</w:t>
            </w:r>
          </w:p>
        </w:tc>
      </w:tr>
      <w:tr w:rsidR="00761760" w:rsidRPr="00EF090E" w14:paraId="24E1257C" w14:textId="77777777" w:rsidTr="00814E35">
        <w:trPr>
          <w:trHeight w:val="254"/>
        </w:trPr>
        <w:tc>
          <w:tcPr>
            <w:tcW w:w="3261" w:type="dxa"/>
            <w:shd w:val="pct5" w:color="auto" w:fill="auto"/>
          </w:tcPr>
          <w:p w14:paraId="24EDC993" w14:textId="279DB238" w:rsidR="00761760" w:rsidRPr="00CA38D9" w:rsidRDefault="00761760" w:rsidP="00761760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b/>
                <w:snapToGrid w:val="0"/>
                <w:sz w:val="18"/>
                <w:szCs w:val="18"/>
                <w:lang w:eastAsia="en-US"/>
              </w:rPr>
              <w:t>Náklady na psychologickou podporu</w:t>
            </w:r>
          </w:p>
        </w:tc>
        <w:tc>
          <w:tcPr>
            <w:tcW w:w="5811" w:type="dxa"/>
          </w:tcPr>
          <w:p w14:paraId="515AD66E" w14:textId="67CAE2DC" w:rsidR="00761760" w:rsidRPr="00CA38D9" w:rsidRDefault="00761760" w:rsidP="0076176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CA38D9">
              <w:rPr>
                <w:snapToGrid w:val="0"/>
                <w:sz w:val="18"/>
                <w:szCs w:val="18"/>
                <w:lang w:eastAsia="en-US"/>
              </w:rPr>
              <w:t>1 200 000,- Kč za jednu a za všechny pojistné události z tohoto pojištění</w:t>
            </w:r>
          </w:p>
        </w:tc>
      </w:tr>
    </w:tbl>
    <w:p w14:paraId="08A07647" w14:textId="77777777" w:rsidR="000A1DDA" w:rsidRPr="00EF090E" w:rsidRDefault="000A1DDA" w:rsidP="000A1DDA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095E6723" w14:textId="77777777" w:rsidTr="001B35EC">
        <w:tc>
          <w:tcPr>
            <w:tcW w:w="2552" w:type="dxa"/>
            <w:shd w:val="pct5" w:color="auto" w:fill="auto"/>
          </w:tcPr>
          <w:p w14:paraId="0EE63D70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31CFBBA5" w14:textId="77777777"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14:paraId="05A7540E" w14:textId="77777777" w:rsidR="003453CC" w:rsidRPr="00EF090E" w:rsidRDefault="001A177A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3C451CE5" w14:textId="77777777" w:rsidTr="001B35EC">
        <w:tc>
          <w:tcPr>
            <w:tcW w:w="2552" w:type="dxa"/>
            <w:shd w:val="pct5" w:color="auto" w:fill="auto"/>
          </w:tcPr>
          <w:p w14:paraId="7F50423F" w14:textId="77777777"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450A6EB0" w14:textId="77777777"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4272578E" w14:textId="77777777" w:rsidR="007A3BAB" w:rsidRPr="00EF090E" w:rsidRDefault="007A3BAB" w:rsidP="007A3BAB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2915602D" w14:textId="77777777" w:rsidTr="001B35EC">
        <w:tc>
          <w:tcPr>
            <w:tcW w:w="2552" w:type="dxa"/>
            <w:shd w:val="pct5" w:color="auto" w:fill="auto"/>
          </w:tcPr>
          <w:p w14:paraId="3795BEAC" w14:textId="77777777"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06C0AF65" w14:textId="77777777"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341777D0" w14:textId="77777777" w:rsidR="00447BFF" w:rsidRPr="00EF090E" w:rsidRDefault="00447BFF" w:rsidP="00447BFF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6F9A8385" w14:textId="77777777" w:rsidTr="001B35EC">
        <w:tc>
          <w:tcPr>
            <w:tcW w:w="2552" w:type="dxa"/>
            <w:shd w:val="pct5" w:color="auto" w:fill="auto"/>
          </w:tcPr>
          <w:p w14:paraId="035C3BC3" w14:textId="77777777"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14:paraId="046D491D" w14:textId="77777777"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14:paraId="15B4890B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0B324C83" w14:textId="77777777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14:paraId="49FA2B0F" w14:textId="77777777" w:rsidR="0034658F" w:rsidRPr="00EF090E" w:rsidRDefault="0034658F" w:rsidP="00B30E0D">
            <w:pPr>
              <w:pStyle w:val="Nadpis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2C3E8" w14:textId="7B30C550" w:rsidR="0034658F" w:rsidRPr="00FB0BF0" w:rsidRDefault="00D1049C" w:rsidP="00B30E0D">
            <w:pPr>
              <w:widowControl w:val="0"/>
              <w:spacing w:before="60" w:after="60"/>
              <w:jc w:val="left"/>
              <w:rPr>
                <w:b/>
                <w:bCs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 </w:t>
            </w:r>
            <w:bookmarkStart w:id="16" w:name="PREMIUM"/>
            <w:r w:rsidRPr="00FB0BF0">
              <w:rPr>
                <w:b/>
                <w:bCs/>
                <w:sz w:val="18"/>
                <w:szCs w:val="18"/>
              </w:rPr>
              <w:t>367 680</w:t>
            </w:r>
            <w:bookmarkEnd w:id="16"/>
            <w:r w:rsidR="0034658F" w:rsidRPr="00FB0BF0">
              <w:rPr>
                <w:b/>
                <w:bCs/>
                <w:sz w:val="18"/>
                <w:szCs w:val="18"/>
              </w:rPr>
              <w:t>,- Kč</w:t>
            </w:r>
          </w:p>
        </w:tc>
      </w:tr>
    </w:tbl>
    <w:p w14:paraId="23ADFE08" w14:textId="77777777"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14:paraId="60CEA784" w14:textId="77777777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14:paraId="64F73479" w14:textId="77777777"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14:paraId="7AA4EF4E" w14:textId="77777777"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14:paraId="3A18B46E" w14:textId="7DCE524E" w:rsidR="003453CC" w:rsidRPr="00EF090E" w:rsidRDefault="001B35EC" w:rsidP="00557F45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Pojistné je splatné na účet </w:t>
            </w:r>
            <w:r w:rsidRPr="00EF090E">
              <w:rPr>
                <w:b/>
                <w:sz w:val="18"/>
                <w:szCs w:val="18"/>
              </w:rPr>
              <w:t>pojistitele</w:t>
            </w:r>
            <w:r w:rsidRPr="00EF090E">
              <w:rPr>
                <w:sz w:val="18"/>
                <w:szCs w:val="18"/>
              </w:rPr>
              <w:t xml:space="preserve"> č. </w:t>
            </w:r>
            <w:r w:rsidR="00557F45">
              <w:rPr>
                <w:sz w:val="18"/>
                <w:szCs w:val="18"/>
              </w:rPr>
              <w:t>2550690105</w:t>
            </w:r>
            <w:r w:rsidR="00557F45" w:rsidRPr="00EF090E">
              <w:rPr>
                <w:sz w:val="18"/>
                <w:szCs w:val="18"/>
              </w:rPr>
              <w:t>/</w:t>
            </w:r>
            <w:proofErr w:type="gramStart"/>
            <w:r w:rsidR="00557F45" w:rsidRPr="00EF090E">
              <w:rPr>
                <w:sz w:val="18"/>
                <w:szCs w:val="18"/>
              </w:rPr>
              <w:t xml:space="preserve">2600 </w:t>
            </w:r>
            <w:r w:rsidRPr="00EF090E">
              <w:rPr>
                <w:sz w:val="18"/>
                <w:szCs w:val="18"/>
              </w:rPr>
              <w:t xml:space="preserve"> Citibank</w:t>
            </w:r>
            <w:proofErr w:type="gramEnd"/>
            <w:r w:rsidRPr="00EF090E">
              <w:rPr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sz w:val="18"/>
                <w:szCs w:val="18"/>
              </w:rPr>
              <w:t>Europe</w:t>
            </w:r>
            <w:proofErr w:type="spellEnd"/>
            <w:r w:rsidRPr="00EF090E">
              <w:rPr>
                <w:sz w:val="18"/>
                <w:szCs w:val="18"/>
              </w:rPr>
              <w:t xml:space="preserve"> </w:t>
            </w:r>
            <w:proofErr w:type="spellStart"/>
            <w:r w:rsidRPr="00EF090E">
              <w:rPr>
                <w:sz w:val="18"/>
                <w:szCs w:val="18"/>
              </w:rPr>
              <w:t>plc</w:t>
            </w:r>
            <w:proofErr w:type="spellEnd"/>
            <w:r w:rsidRPr="00EF090E">
              <w:rPr>
                <w:sz w:val="18"/>
                <w:szCs w:val="18"/>
              </w:rPr>
              <w:t xml:space="preserve">, organizační složka, Bucharova 2641/14, Praha 5, 158 02, konstantní symbol 3558, </w:t>
            </w:r>
            <w:proofErr w:type="spellStart"/>
            <w:r w:rsidRPr="00EF090E">
              <w:rPr>
                <w:sz w:val="18"/>
                <w:szCs w:val="18"/>
              </w:rPr>
              <w:t>ref</w:t>
            </w:r>
            <w:proofErr w:type="spellEnd"/>
            <w:r w:rsidRPr="00EF090E">
              <w:rPr>
                <w:sz w:val="18"/>
                <w:szCs w:val="18"/>
              </w:rPr>
              <w:t>./</w:t>
            </w:r>
            <w:proofErr w:type="spellStart"/>
            <w:r w:rsidRPr="00EF090E">
              <w:rPr>
                <w:sz w:val="18"/>
                <w:szCs w:val="18"/>
              </w:rPr>
              <w:t>var.symbol</w:t>
            </w:r>
            <w:proofErr w:type="spellEnd"/>
            <w:r w:rsidRPr="00EF090E">
              <w:rPr>
                <w:sz w:val="18"/>
                <w:szCs w:val="18"/>
              </w:rPr>
              <w:t xml:space="preserve"> = číslo pojistné smlouvy,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termínu splatnosti </w:t>
            </w:r>
            <w:r w:rsidR="00FB0BF0">
              <w:rPr>
                <w:sz w:val="18"/>
                <w:szCs w:val="18"/>
              </w:rPr>
              <w:br/>
            </w:r>
            <w:r w:rsidRPr="00EF090E">
              <w:rPr>
                <w:sz w:val="18"/>
                <w:szCs w:val="18"/>
              </w:rPr>
              <w:t xml:space="preserve">do </w:t>
            </w:r>
            <w:r w:rsidR="00FB0BF0" w:rsidRPr="00FB0BF0">
              <w:rPr>
                <w:b/>
                <w:bCs/>
                <w:sz w:val="18"/>
                <w:szCs w:val="18"/>
              </w:rPr>
              <w:t>12.5.2022</w:t>
            </w:r>
            <w:r w:rsidR="00FB0BF0">
              <w:rPr>
                <w:sz w:val="18"/>
                <w:szCs w:val="18"/>
              </w:rPr>
              <w:t>.</w:t>
            </w:r>
          </w:p>
        </w:tc>
      </w:tr>
    </w:tbl>
    <w:p w14:paraId="7D26DA81" w14:textId="77777777" w:rsidR="005353C5" w:rsidRPr="00EF090E" w:rsidRDefault="00813865" w:rsidP="005353C5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="004363E7"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14:paraId="10580862" w14:textId="77777777" w:rsidTr="004A0205">
        <w:trPr>
          <w:trHeight w:val="369"/>
        </w:trPr>
        <w:tc>
          <w:tcPr>
            <w:tcW w:w="9072" w:type="dxa"/>
            <w:shd w:val="pct5" w:color="auto" w:fill="auto"/>
          </w:tcPr>
          <w:p w14:paraId="56999334" w14:textId="77777777"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14:paraId="5CB113F8" w14:textId="77777777"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14:paraId="1C4651AC" w14:textId="77777777" w:rsidR="003453CC" w:rsidRPr="00EF090E" w:rsidRDefault="003453CC" w:rsidP="003453CC">
      <w:pPr>
        <w:pStyle w:val="Nadpis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14:paraId="11B6AE80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50B8048E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14:paraId="3E93A9F5" w14:textId="238C3A47"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</w:t>
            </w:r>
            <w:r w:rsidR="00761760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>/20</w:t>
            </w:r>
            <w:r w:rsidR="00761760">
              <w:rPr>
                <w:snapToGrid w:val="0"/>
                <w:sz w:val="18"/>
                <w:szCs w:val="18"/>
                <w:lang w:eastAsia="en-US"/>
              </w:rPr>
              <w:t>22</w:t>
            </w:r>
          </w:p>
          <w:p w14:paraId="41EBE4D6" w14:textId="77777777"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14:paraId="6842F347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2851264A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14:paraId="4C36AACA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14:paraId="0842AABC" w14:textId="77777777" w:rsidTr="001D4BB0">
        <w:trPr>
          <w:trHeight w:val="254"/>
        </w:trPr>
        <w:tc>
          <w:tcPr>
            <w:tcW w:w="1418" w:type="dxa"/>
            <w:shd w:val="pct5" w:color="auto" w:fill="auto"/>
          </w:tcPr>
          <w:p w14:paraId="6B7BDA36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14:paraId="096F2748" w14:textId="77777777"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Kopie vyplněného dotazníku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4363E7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ojistníka </w:t>
            </w:r>
          </w:p>
        </w:tc>
      </w:tr>
    </w:tbl>
    <w:p w14:paraId="009C9CE8" w14:textId="77777777" w:rsidR="007F725A" w:rsidRPr="00EF090E" w:rsidRDefault="007F725A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14:paraId="133C2303" w14:textId="77777777" w:rsidR="003453CC" w:rsidRPr="00EF090E" w:rsidRDefault="003453CC" w:rsidP="007F725A">
      <w:pPr>
        <w:pStyle w:val="Nadpis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14:paraId="0517DC72" w14:textId="77777777" w:rsidR="0011512A" w:rsidRPr="00EF090E" w:rsidRDefault="0011512A" w:rsidP="0011512A"/>
    <w:p w14:paraId="7F70C2C9" w14:textId="77777777"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14:paraId="23ED9883" w14:textId="77777777" w:rsidR="0001164C" w:rsidRDefault="0001164C" w:rsidP="0011512A">
      <w:pPr>
        <w:rPr>
          <w:snapToGrid w:val="0"/>
          <w:sz w:val="18"/>
          <w:lang w:eastAsia="en-US"/>
        </w:rPr>
      </w:pPr>
    </w:p>
    <w:p w14:paraId="6D00A2A4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14:paraId="4C6C719A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</w:p>
    <w:p w14:paraId="774EFCE1" w14:textId="77777777"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14:paraId="2C483F12" w14:textId="77777777" w:rsidR="0001164C" w:rsidRDefault="0001164C" w:rsidP="0011512A">
      <w:pPr>
        <w:rPr>
          <w:sz w:val="18"/>
        </w:rPr>
      </w:pPr>
    </w:p>
    <w:p w14:paraId="6AA86EC7" w14:textId="77777777" w:rsidR="00EC6CE8" w:rsidRPr="00EF090E" w:rsidRDefault="00EC6CE8" w:rsidP="0011512A">
      <w:pPr>
        <w:rPr>
          <w:sz w:val="18"/>
        </w:rPr>
      </w:pPr>
    </w:p>
    <w:p w14:paraId="5AAEAEF2" w14:textId="77777777" w:rsidR="00EC6CE8" w:rsidRPr="00EC6CE8" w:rsidRDefault="00EC6CE8" w:rsidP="00EC6CE8">
      <w:pPr>
        <w:pStyle w:val="Nadpis2"/>
        <w:keepNext w:val="0"/>
        <w:keepLines w:val="0"/>
        <w:numPr>
          <w:ilvl w:val="0"/>
          <w:numId w:val="5"/>
        </w:numPr>
        <w:spacing w:before="0" w:after="0"/>
        <w:ind w:left="0" w:firstLine="426"/>
        <w:jc w:val="both"/>
        <w:rPr>
          <w:bCs/>
          <w:caps w:val="0"/>
          <w:color w:val="auto"/>
          <w:sz w:val="18"/>
          <w:szCs w:val="18"/>
        </w:rPr>
      </w:pPr>
      <w:r w:rsidRPr="00EC6CE8">
        <w:rPr>
          <w:bCs/>
          <w:caps w:val="0"/>
          <w:color w:val="auto"/>
          <w:sz w:val="18"/>
          <w:szCs w:val="18"/>
        </w:rPr>
        <w:t>Oznámení nároku v případě zániku nebo neobnovení pojistné smlouvy (Lhůta pro zjištění a oznámení nároků 48 měsíců)</w:t>
      </w:r>
    </w:p>
    <w:p w14:paraId="7A7A4DE8" w14:textId="77777777" w:rsidR="00EC6CE8" w:rsidRDefault="00EC6CE8" w:rsidP="00EC6CE8">
      <w:pPr>
        <w:pStyle w:val="Zkladntext"/>
        <w:spacing w:before="0" w:after="0"/>
        <w:ind w:right="1"/>
        <w:rPr>
          <w:rFonts w:eastAsiaTheme="minorHAnsi"/>
          <w:snapToGrid w:val="0"/>
          <w:sz w:val="18"/>
          <w:szCs w:val="18"/>
        </w:rPr>
      </w:pPr>
    </w:p>
    <w:p w14:paraId="410BAEDF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Dodatečně k článku 3.2 odstavec (</w:t>
      </w:r>
      <w:proofErr w:type="spellStart"/>
      <w:r>
        <w:rPr>
          <w:snapToGrid w:val="0"/>
          <w:sz w:val="18"/>
          <w:szCs w:val="18"/>
        </w:rPr>
        <w:t>ii</w:t>
      </w:r>
      <w:proofErr w:type="spellEnd"/>
      <w:r>
        <w:rPr>
          <w:snapToGrid w:val="0"/>
          <w:sz w:val="18"/>
          <w:szCs w:val="18"/>
        </w:rPr>
        <w:t xml:space="preserve">) pojistných podmínek se ujednává, že pokud tato </w:t>
      </w:r>
      <w:r>
        <w:rPr>
          <w:b/>
          <w:bCs/>
          <w:snapToGrid w:val="0"/>
          <w:sz w:val="18"/>
          <w:szCs w:val="18"/>
        </w:rPr>
        <w:t>pojistná smlouva</w:t>
      </w:r>
      <w:r>
        <w:rPr>
          <w:snapToGrid w:val="0"/>
          <w:sz w:val="18"/>
          <w:szCs w:val="18"/>
        </w:rPr>
        <w:t xml:space="preserve"> nebude obnovena či nahrazena jinou pojistnou smlouvou, a pokud nedojde k </w:t>
      </w:r>
      <w:r>
        <w:rPr>
          <w:b/>
          <w:bCs/>
          <w:snapToGrid w:val="0"/>
          <w:sz w:val="18"/>
          <w:szCs w:val="18"/>
        </w:rPr>
        <w:t>transakci</w:t>
      </w:r>
      <w:r>
        <w:rPr>
          <w:snapToGrid w:val="0"/>
          <w:sz w:val="18"/>
          <w:szCs w:val="18"/>
        </w:rPr>
        <w:t xml:space="preserve"> nebo k předčasnému ukončení pojištění ze strany </w:t>
      </w:r>
      <w:r>
        <w:rPr>
          <w:b/>
          <w:bCs/>
          <w:snapToGrid w:val="0"/>
          <w:sz w:val="18"/>
          <w:szCs w:val="18"/>
        </w:rPr>
        <w:t>pojistitele</w:t>
      </w:r>
      <w:r>
        <w:rPr>
          <w:snapToGrid w:val="0"/>
          <w:sz w:val="18"/>
          <w:szCs w:val="18"/>
        </w:rPr>
        <w:t xml:space="preserve"> včetně jeho ukončení z důvodu nezaplacení pojistného, má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právo sjednat dodatečnou </w:t>
      </w:r>
      <w:r>
        <w:rPr>
          <w:b/>
          <w:bCs/>
          <w:snapToGrid w:val="0"/>
          <w:sz w:val="18"/>
          <w:szCs w:val="18"/>
        </w:rPr>
        <w:t>lhůtu pro zjištění a oznámení nároků</w:t>
      </w:r>
      <w:r>
        <w:rPr>
          <w:snapToGrid w:val="0"/>
          <w:sz w:val="18"/>
          <w:szCs w:val="18"/>
        </w:rPr>
        <w:t xml:space="preserve"> v délce 48 měsíců, která bezprostředně následuje po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snapToGrid w:val="0"/>
          <w:sz w:val="18"/>
          <w:szCs w:val="18"/>
        </w:rPr>
        <w:t>.   </w:t>
      </w:r>
    </w:p>
    <w:p w14:paraId="784088EF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5ED2368D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 případě sjednání </w:t>
      </w:r>
      <w:r>
        <w:rPr>
          <w:b/>
          <w:bCs/>
          <w:snapToGrid w:val="0"/>
          <w:sz w:val="18"/>
          <w:szCs w:val="18"/>
        </w:rPr>
        <w:t xml:space="preserve">lhůty pro zjištění a oznámení nároků </w:t>
      </w:r>
      <w:r>
        <w:rPr>
          <w:snapToGrid w:val="0"/>
          <w:sz w:val="18"/>
          <w:szCs w:val="18"/>
        </w:rPr>
        <w:t xml:space="preserve">vzniká </w:t>
      </w:r>
      <w:r>
        <w:rPr>
          <w:b/>
          <w:bCs/>
          <w:snapToGrid w:val="0"/>
          <w:sz w:val="18"/>
          <w:szCs w:val="18"/>
        </w:rPr>
        <w:t xml:space="preserve">pojistníkovi </w:t>
      </w:r>
      <w:r>
        <w:rPr>
          <w:snapToGrid w:val="0"/>
          <w:sz w:val="18"/>
          <w:szCs w:val="18"/>
        </w:rPr>
        <w:t xml:space="preserve">povinnost uhradit dodatečné pojistné, jehož výše odpovídá 140 % ročního pojistného neobnovené nebo zaniklé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  <w:r>
        <w:rPr>
          <w:b/>
          <w:bCs/>
          <w:snapToGrid w:val="0"/>
          <w:sz w:val="18"/>
          <w:szCs w:val="18"/>
        </w:rPr>
        <w:t>Pojistník</w:t>
      </w:r>
      <w:r>
        <w:rPr>
          <w:snapToGrid w:val="0"/>
          <w:sz w:val="18"/>
          <w:szCs w:val="18"/>
        </w:rPr>
        <w:t xml:space="preserve"> je povinen </w:t>
      </w:r>
      <w:r>
        <w:rPr>
          <w:b/>
          <w:bCs/>
          <w:snapToGrid w:val="0"/>
          <w:sz w:val="18"/>
          <w:szCs w:val="18"/>
        </w:rPr>
        <w:t xml:space="preserve">pojistiteli </w:t>
      </w:r>
      <w:r>
        <w:rPr>
          <w:snapToGrid w:val="0"/>
          <w:sz w:val="18"/>
          <w:szCs w:val="18"/>
        </w:rPr>
        <w:t xml:space="preserve">oznámit, že využívá právo sjednat dodatečnou </w:t>
      </w:r>
      <w:r>
        <w:rPr>
          <w:b/>
          <w:bCs/>
          <w:snapToGrid w:val="0"/>
          <w:sz w:val="18"/>
          <w:szCs w:val="18"/>
        </w:rPr>
        <w:t xml:space="preserve">lhůtu pro zjištění a oznámení nároků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</w:t>
      </w:r>
      <w:r>
        <w:rPr>
          <w:i/>
          <w:iCs/>
          <w:snapToGrid w:val="0"/>
          <w:sz w:val="18"/>
          <w:szCs w:val="18"/>
        </w:rPr>
        <w:t>.</w:t>
      </w:r>
      <w:r>
        <w:rPr>
          <w:snapToGrid w:val="0"/>
          <w:sz w:val="18"/>
          <w:szCs w:val="18"/>
        </w:rPr>
        <w:t xml:space="preserve"> Dodatečná </w:t>
      </w:r>
      <w:r>
        <w:rPr>
          <w:b/>
          <w:bCs/>
          <w:snapToGrid w:val="0"/>
          <w:sz w:val="18"/>
          <w:szCs w:val="18"/>
        </w:rPr>
        <w:t>lhůta pro zjištění a oznámení nároků</w:t>
      </w:r>
      <w:r>
        <w:rPr>
          <w:snapToGrid w:val="0"/>
          <w:sz w:val="18"/>
          <w:szCs w:val="18"/>
        </w:rPr>
        <w:t>, včetně konkrétní výše pojistného a jeho splatnosti, musí být upravena dodatkem k </w:t>
      </w:r>
      <w:r>
        <w:rPr>
          <w:b/>
          <w:bCs/>
          <w:snapToGrid w:val="0"/>
          <w:sz w:val="18"/>
          <w:szCs w:val="18"/>
        </w:rPr>
        <w:t xml:space="preserve">pojistné smlouvě </w:t>
      </w:r>
      <w:r>
        <w:rPr>
          <w:snapToGrid w:val="0"/>
          <w:sz w:val="18"/>
          <w:szCs w:val="18"/>
        </w:rPr>
        <w:t xml:space="preserve">nejpozději do 30 dnů ode dne uplynutí </w:t>
      </w:r>
      <w:r>
        <w:rPr>
          <w:b/>
          <w:bCs/>
          <w:snapToGrid w:val="0"/>
          <w:sz w:val="18"/>
          <w:szCs w:val="18"/>
        </w:rPr>
        <w:t>pojistné doby.</w:t>
      </w:r>
    </w:p>
    <w:p w14:paraId="4183B7A2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752897B7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škodné události, které nastanou v průběhu dodatečné </w:t>
      </w:r>
      <w:r>
        <w:rPr>
          <w:b/>
          <w:bCs/>
          <w:snapToGrid w:val="0"/>
          <w:sz w:val="18"/>
          <w:szCs w:val="18"/>
        </w:rPr>
        <w:t>lhůty pro zjištění a oznámení nároků</w:t>
      </w:r>
      <w:r>
        <w:rPr>
          <w:snapToGrid w:val="0"/>
          <w:sz w:val="18"/>
          <w:szCs w:val="18"/>
        </w:rPr>
        <w:t xml:space="preserve">, se vztahuje stejný </w:t>
      </w:r>
      <w:r>
        <w:rPr>
          <w:b/>
          <w:bCs/>
          <w:snapToGrid w:val="0"/>
          <w:sz w:val="18"/>
          <w:szCs w:val="18"/>
        </w:rPr>
        <w:t>limit pojistného plnění</w:t>
      </w:r>
      <w:r>
        <w:rPr>
          <w:snapToGrid w:val="0"/>
          <w:sz w:val="18"/>
          <w:szCs w:val="18"/>
        </w:rPr>
        <w:t xml:space="preserve">, který platil v okamžiku zániku nebo ukončení </w:t>
      </w:r>
      <w:r>
        <w:rPr>
          <w:b/>
          <w:bCs/>
          <w:snapToGrid w:val="0"/>
          <w:sz w:val="18"/>
          <w:szCs w:val="18"/>
        </w:rPr>
        <w:t>pojistné smlouvy</w:t>
      </w:r>
      <w:r>
        <w:rPr>
          <w:snapToGrid w:val="0"/>
          <w:sz w:val="18"/>
          <w:szCs w:val="18"/>
        </w:rPr>
        <w:t xml:space="preserve">. </w:t>
      </w:r>
    </w:p>
    <w:p w14:paraId="31514DD4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17238BB8" w14:textId="77777777" w:rsidR="00EC6CE8" w:rsidRDefault="00EC6CE8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Pokud </w:t>
      </w:r>
      <w:r>
        <w:rPr>
          <w:b/>
          <w:bCs/>
          <w:snapToGrid w:val="0"/>
          <w:sz w:val="18"/>
          <w:szCs w:val="18"/>
        </w:rPr>
        <w:t xml:space="preserve">pojistník </w:t>
      </w:r>
      <w:r>
        <w:rPr>
          <w:snapToGrid w:val="0"/>
          <w:sz w:val="18"/>
          <w:szCs w:val="18"/>
        </w:rPr>
        <w:t xml:space="preserve">této možnosti nevyužije, pak platí ustanovení článku 6.1 pojistných podmínek v plném rozsahu. </w:t>
      </w:r>
    </w:p>
    <w:p w14:paraId="49B3D32E" w14:textId="77777777" w:rsidR="00437F14" w:rsidRDefault="00437F14" w:rsidP="00EC6CE8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2E311F3B" w14:textId="77777777" w:rsidR="00FB0BF0" w:rsidRDefault="00FB0BF0" w:rsidP="00FB0BF0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2D87DB3F" w14:textId="77777777" w:rsidR="00FB0BF0" w:rsidRDefault="00FB0BF0" w:rsidP="00FB0BF0">
      <w:pPr>
        <w:pStyle w:val="Zkladntext"/>
        <w:spacing w:before="0" w:after="0"/>
        <w:ind w:right="1"/>
        <w:rPr>
          <w:snapToGrid w:val="0"/>
          <w:sz w:val="18"/>
          <w:szCs w:val="18"/>
        </w:rPr>
      </w:pPr>
    </w:p>
    <w:p w14:paraId="4FF2DE4C" w14:textId="3C0B599A" w:rsidR="00FB0BF0" w:rsidRPr="00AE5463" w:rsidRDefault="00FB0BF0" w:rsidP="00FB0BF0">
      <w:pPr>
        <w:pStyle w:val="Nadpis2"/>
        <w:keepNext w:val="0"/>
        <w:widowControl w:val="0"/>
        <w:numPr>
          <w:ilvl w:val="0"/>
          <w:numId w:val="5"/>
        </w:numPr>
        <w:spacing w:before="0" w:after="0"/>
        <w:jc w:val="both"/>
        <w:rPr>
          <w:caps w:val="0"/>
          <w:color w:val="auto"/>
          <w:sz w:val="18"/>
          <w:szCs w:val="18"/>
        </w:rPr>
      </w:pPr>
      <w:r w:rsidRPr="00AE5463">
        <w:rPr>
          <w:caps w:val="0"/>
          <w:color w:val="auto"/>
          <w:sz w:val="18"/>
          <w:szCs w:val="18"/>
        </w:rPr>
        <w:t>Změna definice pojmu pojistná doba</w:t>
      </w:r>
    </w:p>
    <w:p w14:paraId="3346DE5B" w14:textId="77777777" w:rsidR="00FB0BF0" w:rsidRPr="00AE5463" w:rsidRDefault="00FB0BF0" w:rsidP="00FB0BF0">
      <w:pPr>
        <w:rPr>
          <w:rFonts w:cs="Arial"/>
          <w:sz w:val="18"/>
          <w:szCs w:val="18"/>
          <w:highlight w:val="yellow"/>
        </w:rPr>
      </w:pPr>
    </w:p>
    <w:p w14:paraId="40CD0D3E" w14:textId="77777777" w:rsidR="00FB0BF0" w:rsidRPr="00AE5463" w:rsidRDefault="00FB0BF0" w:rsidP="00FB0BF0">
      <w:pPr>
        <w:rPr>
          <w:rFonts w:cs="Arial"/>
          <w:sz w:val="18"/>
          <w:szCs w:val="18"/>
        </w:rPr>
      </w:pPr>
      <w:r w:rsidRPr="00AE5463">
        <w:rPr>
          <w:rFonts w:cs="Arial"/>
          <w:sz w:val="18"/>
          <w:szCs w:val="18"/>
        </w:rPr>
        <w:t xml:space="preserve">Článek 5.34 pojistných podmínek Definice pojmu </w:t>
      </w:r>
      <w:r w:rsidRPr="00AE5463">
        <w:rPr>
          <w:rFonts w:cs="Arial"/>
          <w:b/>
          <w:sz w:val="18"/>
          <w:szCs w:val="18"/>
        </w:rPr>
        <w:t>pojistná doba</w:t>
      </w:r>
      <w:r w:rsidRPr="00AE5463">
        <w:rPr>
          <w:rFonts w:cs="Arial"/>
          <w:sz w:val="18"/>
          <w:szCs w:val="18"/>
        </w:rPr>
        <w:t xml:space="preserve"> se tímto výslovně ruší a nahrazuje se následujícím textem:</w:t>
      </w:r>
    </w:p>
    <w:p w14:paraId="1581E89B" w14:textId="77777777" w:rsidR="00FB0BF0" w:rsidRPr="00AE5463" w:rsidRDefault="00FB0BF0" w:rsidP="00FB0BF0">
      <w:pPr>
        <w:rPr>
          <w:rFonts w:cs="Arial"/>
          <w:sz w:val="18"/>
          <w:szCs w:val="18"/>
        </w:rPr>
      </w:pPr>
    </w:p>
    <w:p w14:paraId="33C5370F" w14:textId="77777777" w:rsidR="00FB0BF0" w:rsidRDefault="00FB0BF0" w:rsidP="00FB0BF0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AE5463">
        <w:rPr>
          <w:rFonts w:cs="Arial"/>
          <w:sz w:val="18"/>
          <w:szCs w:val="18"/>
        </w:rPr>
        <w:lastRenderedPageBreak/>
        <w:t xml:space="preserve">5.34 </w:t>
      </w:r>
      <w:r w:rsidRPr="00AE5463">
        <w:rPr>
          <w:rFonts w:cs="Arial"/>
          <w:b/>
          <w:sz w:val="18"/>
          <w:szCs w:val="18"/>
        </w:rPr>
        <w:t>Pojistná doba</w:t>
      </w:r>
      <w:r w:rsidRPr="00AE5463">
        <w:rPr>
          <w:rFonts w:cs="Arial"/>
          <w:sz w:val="18"/>
          <w:szCs w:val="18"/>
        </w:rPr>
        <w:t xml:space="preserve"> znamená dobu stanovenou v </w:t>
      </w:r>
      <w:r w:rsidRPr="00AE5463">
        <w:rPr>
          <w:rFonts w:cs="Arial"/>
          <w:b/>
          <w:sz w:val="18"/>
          <w:szCs w:val="18"/>
        </w:rPr>
        <w:t>pojistné smlouvě</w:t>
      </w:r>
      <w:r w:rsidRPr="00AE5463">
        <w:rPr>
          <w:rFonts w:cs="Arial"/>
          <w:sz w:val="18"/>
          <w:szCs w:val="18"/>
        </w:rPr>
        <w:t xml:space="preserve">, na kterou bylo toto pojištění sjednáno a která začíná dnem uvedeným v </w:t>
      </w:r>
      <w:r w:rsidRPr="00AE5463">
        <w:rPr>
          <w:rFonts w:cs="Arial"/>
          <w:b/>
          <w:sz w:val="18"/>
          <w:szCs w:val="18"/>
        </w:rPr>
        <w:t>pojistné smlouvě</w:t>
      </w:r>
      <w:r w:rsidRPr="00AE5463">
        <w:rPr>
          <w:rFonts w:cs="Arial"/>
          <w:sz w:val="18"/>
          <w:szCs w:val="18"/>
        </w:rPr>
        <w:t xml:space="preserve"> a končí dnem uvedeným v </w:t>
      </w:r>
      <w:r w:rsidRPr="00AE5463">
        <w:rPr>
          <w:rFonts w:cs="Arial"/>
          <w:b/>
          <w:sz w:val="18"/>
          <w:szCs w:val="18"/>
        </w:rPr>
        <w:t>pojistné smlouvě</w:t>
      </w:r>
      <w:r w:rsidRPr="00AE5463">
        <w:rPr>
          <w:rFonts w:cs="Arial"/>
          <w:sz w:val="18"/>
          <w:szCs w:val="18"/>
        </w:rPr>
        <w:t xml:space="preserve"> nebo dřívějším dnem, kdy dojde k předčasnému ukončení pojistné smlouvy. </w:t>
      </w:r>
    </w:p>
    <w:p w14:paraId="2FDE0F7F" w14:textId="77777777" w:rsidR="00FB0BF0" w:rsidRDefault="00FB0BF0" w:rsidP="00FB0BF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50534D4" w14:textId="77777777" w:rsidR="00FB0BF0" w:rsidRDefault="00FB0BF0" w:rsidP="00FB0BF0">
      <w:pPr>
        <w:pStyle w:val="Nadpis2"/>
        <w:keepNext w:val="0"/>
        <w:widowControl w:val="0"/>
        <w:jc w:val="left"/>
        <w:rPr>
          <w:caps w:val="0"/>
          <w:color w:val="auto"/>
          <w:sz w:val="18"/>
          <w:szCs w:val="18"/>
        </w:rPr>
      </w:pPr>
    </w:p>
    <w:p w14:paraId="63C8A3F9" w14:textId="3C352B45" w:rsidR="00FB0BF0" w:rsidRPr="00330F68" w:rsidRDefault="00FB0BF0" w:rsidP="00FB0BF0">
      <w:pPr>
        <w:pStyle w:val="Nadpis2"/>
        <w:keepNext w:val="0"/>
        <w:widowControl w:val="0"/>
        <w:numPr>
          <w:ilvl w:val="0"/>
          <w:numId w:val="5"/>
        </w:numPr>
        <w:jc w:val="left"/>
        <w:rPr>
          <w:color w:val="auto"/>
          <w:sz w:val="18"/>
          <w:szCs w:val="18"/>
        </w:rPr>
      </w:pPr>
      <w:r w:rsidRPr="00330F68">
        <w:rPr>
          <w:caps w:val="0"/>
          <w:color w:val="auto"/>
          <w:sz w:val="18"/>
          <w:szCs w:val="18"/>
        </w:rPr>
        <w:t>Smluvní ujednání zvláštní povahy</w:t>
      </w:r>
      <w:r w:rsidRPr="00330F68">
        <w:rPr>
          <w:b w:val="0"/>
          <w:caps w:val="0"/>
          <w:color w:val="auto"/>
          <w:sz w:val="18"/>
          <w:szCs w:val="18"/>
        </w:rPr>
        <w:t xml:space="preserve"> </w:t>
      </w:r>
      <w:r w:rsidRPr="000E472B">
        <w:rPr>
          <w:caps w:val="0"/>
          <w:color w:val="auto"/>
          <w:sz w:val="18"/>
          <w:szCs w:val="18"/>
        </w:rPr>
        <w:t>I.</w:t>
      </w:r>
    </w:p>
    <w:p w14:paraId="23476425" w14:textId="77777777" w:rsidR="00FB0BF0" w:rsidRDefault="00FB0BF0" w:rsidP="00FB0BF0"/>
    <w:p w14:paraId="04D9AD5F" w14:textId="77777777" w:rsidR="00FB0BF0" w:rsidRDefault="00FB0BF0" w:rsidP="00FB0BF0">
      <w:r>
        <w:rPr>
          <w:rFonts w:cs="Arial"/>
          <w:sz w:val="18"/>
          <w:szCs w:val="18"/>
        </w:rPr>
        <w:t xml:space="preserve">Pro vyloučení pochybností se uvádí, že toto pojištění se nevztahuje na jakékoliv </w:t>
      </w:r>
      <w:r>
        <w:rPr>
          <w:rFonts w:cs="Arial"/>
          <w:b/>
          <w:sz w:val="18"/>
          <w:szCs w:val="18"/>
        </w:rPr>
        <w:t xml:space="preserve">Nároky </w:t>
      </w:r>
      <w:r>
        <w:rPr>
          <w:rFonts w:cs="Arial"/>
          <w:sz w:val="18"/>
          <w:szCs w:val="18"/>
        </w:rPr>
        <w:t>či</w:t>
      </w:r>
      <w:r>
        <w:rPr>
          <w:rFonts w:cs="Arial"/>
          <w:b/>
          <w:sz w:val="18"/>
          <w:szCs w:val="18"/>
        </w:rPr>
        <w:t xml:space="preserve"> Škody</w:t>
      </w:r>
      <w:r>
        <w:rPr>
          <w:rFonts w:cs="Arial"/>
          <w:sz w:val="18"/>
          <w:szCs w:val="18"/>
        </w:rPr>
        <w:t xml:space="preserve"> související s již známou skutečností, nebo již probíhajícími soudními spory uvedenými v přiloženém Dotazníku.</w:t>
      </w:r>
    </w:p>
    <w:p w14:paraId="2DDCC564" w14:textId="77777777" w:rsidR="00FB0BF0" w:rsidRPr="0093482A" w:rsidRDefault="00FB0BF0" w:rsidP="00FB0BF0">
      <w:pPr>
        <w:pStyle w:val="Nadpis2"/>
        <w:keepNext w:val="0"/>
        <w:widowControl w:val="0"/>
        <w:jc w:val="left"/>
        <w:rPr>
          <w:color w:val="005984"/>
          <w:sz w:val="18"/>
          <w:szCs w:val="18"/>
        </w:rPr>
      </w:pPr>
    </w:p>
    <w:p w14:paraId="7D3D31AF" w14:textId="52A963D0" w:rsidR="00FB0BF0" w:rsidRDefault="00FB0BF0" w:rsidP="00FB0BF0">
      <w:pPr>
        <w:pStyle w:val="Nadpis2"/>
        <w:keepNext w:val="0"/>
        <w:widowControl w:val="0"/>
        <w:jc w:val="left"/>
        <w:rPr>
          <w:color w:val="005984"/>
          <w:sz w:val="18"/>
          <w:szCs w:val="18"/>
        </w:rPr>
      </w:pPr>
    </w:p>
    <w:p w14:paraId="4766F8BB" w14:textId="77777777" w:rsidR="00FB0BF0" w:rsidRPr="00FB0BF0" w:rsidRDefault="00FB0BF0" w:rsidP="00FB0BF0"/>
    <w:p w14:paraId="5F57137B" w14:textId="77777777" w:rsidR="001254AF" w:rsidRPr="0093482A" w:rsidRDefault="001254AF" w:rsidP="003A33C7">
      <w:pPr>
        <w:pStyle w:val="Nadpis2"/>
        <w:keepNext w:val="0"/>
        <w:widowControl w:val="0"/>
        <w:jc w:val="left"/>
        <w:rPr>
          <w:color w:val="005984"/>
          <w:sz w:val="18"/>
          <w:szCs w:val="18"/>
        </w:rPr>
      </w:pPr>
    </w:p>
    <w:sectPr w:rsidR="001254AF" w:rsidRPr="0093482A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01A1" w14:textId="77777777" w:rsidR="0073607F" w:rsidRDefault="0073607F">
      <w:r>
        <w:separator/>
      </w:r>
    </w:p>
  </w:endnote>
  <w:endnote w:type="continuationSeparator" w:id="0">
    <w:p w14:paraId="5343E52F" w14:textId="77777777" w:rsidR="0073607F" w:rsidRDefault="007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06" w14:textId="77777777" w:rsidR="005C0E70" w:rsidRPr="000D768A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proofErr w:type="spellStart"/>
    <w:r w:rsidRPr="00493896">
      <w:rPr>
        <w:rFonts w:ascii="Arial" w:hAnsi="Arial" w:cs="Arial"/>
        <w:sz w:val="18"/>
        <w:szCs w:val="18"/>
        <w:lang w:val="cs-CZ"/>
      </w:rPr>
      <w:t>Colonnade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</w:t>
    </w:r>
    <w:proofErr w:type="spellStart"/>
    <w:r w:rsidRPr="00493896">
      <w:rPr>
        <w:rFonts w:ascii="Arial" w:hAnsi="Arial" w:cs="Arial"/>
        <w:sz w:val="18"/>
        <w:szCs w:val="18"/>
        <w:lang w:val="cs-CZ"/>
      </w:rPr>
      <w:t>Insurance</w:t>
    </w:r>
    <w:proofErr w:type="spellEnd"/>
    <w:r w:rsidRPr="00493896">
      <w:rPr>
        <w:rFonts w:ascii="Arial" w:hAnsi="Arial" w:cs="Arial"/>
        <w:sz w:val="18"/>
        <w:szCs w:val="18"/>
        <w:lang w:val="cs-CZ"/>
      </w:rPr>
      <w:t xml:space="preserve">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ED2250">
      <w:rPr>
        <w:rFonts w:ascii="Arial" w:hAnsi="Arial" w:cs="Arial"/>
        <w:color w:val="005984"/>
        <w:sz w:val="18"/>
        <w:szCs w:val="18"/>
        <w:lang w:val="cs-CZ"/>
      </w:rPr>
      <w:tab/>
    </w:r>
    <w:r w:rsidR="00ED2250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proofErr w:type="spellStart"/>
    <w:r w:rsidR="005C0E70" w:rsidRPr="00556B62">
      <w:rPr>
        <w:rFonts w:ascii="Arial" w:hAnsi="Arial" w:cs="Arial"/>
        <w:sz w:val="18"/>
        <w:szCs w:val="18"/>
      </w:rPr>
      <w:t>Pojistná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proofErr w:type="spellStart"/>
    <w:proofErr w:type="gramStart"/>
    <w:r w:rsidR="005C0E70" w:rsidRPr="00556B62">
      <w:rPr>
        <w:rFonts w:ascii="Arial" w:hAnsi="Arial" w:cs="Arial"/>
        <w:sz w:val="18"/>
        <w:szCs w:val="18"/>
      </w:rPr>
      <w:t>smlouva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 č.</w:t>
    </w:r>
    <w:proofErr w:type="gramEnd"/>
    <w:r w:rsidR="00FB4995" w:rsidRPr="00556B62">
      <w:rPr>
        <w:rFonts w:ascii="Arial" w:hAnsi="Arial" w:cs="Arial"/>
        <w:sz w:val="18"/>
        <w:szCs w:val="18"/>
        <w:lang w:val="cs-CZ"/>
      </w:rPr>
      <w:t xml:space="preserve"> </w:t>
    </w:r>
    <w:bookmarkStart w:id="17" w:name="POLICY_NO2"/>
    <w:r>
      <w:rPr>
        <w:rFonts w:ascii="Arial" w:hAnsi="Arial" w:cs="Arial"/>
        <w:sz w:val="18"/>
        <w:szCs w:val="18"/>
      </w:rPr>
      <w:t>2305 1113 22</w:t>
    </w:r>
    <w:bookmarkEnd w:id="17"/>
  </w:p>
  <w:p w14:paraId="112C67D1" w14:textId="77777777"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</w:t>
    </w:r>
    <w:r w:rsidR="00204564" w:rsidRPr="00204564">
      <w:t>Na Pankráci 1683/127,</w:t>
    </w:r>
    <w:r w:rsidR="00204564">
      <w:t xml:space="preserve"> 140 00 Praha 4</w:t>
    </w:r>
  </w:p>
  <w:p w14:paraId="6F978035" w14:textId="77777777" w:rsidR="00EF090E" w:rsidRDefault="00EF090E" w:rsidP="00EF090E">
    <w:pPr>
      <w:pStyle w:val="Address"/>
      <w:jc w:val="both"/>
    </w:pPr>
    <w:r w:rsidRPr="00FD16DC">
      <w:t xml:space="preserve">tel.: +420 234 108 311, </w:t>
    </w:r>
    <w:r w:rsidRPr="00FD16DC">
      <w:rPr>
        <w:bCs/>
      </w:rPr>
      <w:t>fax: +420 234</w:t>
    </w:r>
    <w:r w:rsidRPr="00FD16DC">
      <w:t xml:space="preserve"> 108</w:t>
    </w:r>
    <w:r>
      <w:t> </w:t>
    </w:r>
    <w:r w:rsidRPr="00FD16DC">
      <w:t>384</w:t>
    </w:r>
  </w:p>
  <w:p w14:paraId="221E75CE" w14:textId="77777777"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 xml:space="preserve">e-mail: </w:t>
    </w:r>
    <w:proofErr w:type="gramStart"/>
    <w:r w:rsidRPr="00FD16DC">
      <w:rPr>
        <w:rFonts w:ascii="Arial" w:hAnsi="Arial" w:cs="Arial"/>
        <w:sz w:val="16"/>
        <w:szCs w:val="16"/>
        <w:lang w:val="en-US"/>
      </w:rPr>
      <w:t>info@colonnade.cz ,</w:t>
    </w:r>
    <w:proofErr w:type="gramEnd"/>
    <w:r w:rsidRPr="00FD16DC">
      <w:rPr>
        <w:rFonts w:ascii="Arial" w:hAnsi="Arial" w:cs="Arial"/>
        <w:sz w:val="16"/>
        <w:szCs w:val="16"/>
        <w:lang w:val="en-US"/>
      </w:rPr>
      <w:t xml:space="preserve"> web: </w:t>
    </w:r>
    <w:hyperlink r:id="rId1" w:history="1">
      <w:r w:rsidRPr="00F56E3A">
        <w:rPr>
          <w:rStyle w:val="Hypertextovodkaz"/>
          <w:rFonts w:ascii="Arial" w:hAnsi="Arial" w:cs="Arial"/>
          <w:sz w:val="16"/>
          <w:szCs w:val="16"/>
          <w:lang w:val="en-US"/>
        </w:rPr>
        <w:t>www.colonnade.cz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proofErr w:type="spellStart"/>
    <w:r w:rsidR="005C0E70" w:rsidRPr="00556B62">
      <w:rPr>
        <w:rFonts w:ascii="Arial" w:hAnsi="Arial" w:cs="Arial"/>
        <w:sz w:val="18"/>
        <w:szCs w:val="18"/>
      </w:rPr>
      <w:t>Strana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ED2250">
      <w:rPr>
        <w:rFonts w:ascii="Arial" w:hAnsi="Arial" w:cs="Arial"/>
        <w:noProof/>
        <w:sz w:val="18"/>
        <w:szCs w:val="18"/>
      </w:rPr>
      <w:t>5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</w:t>
    </w:r>
    <w:proofErr w:type="spellStart"/>
    <w:r w:rsidR="005C0E70" w:rsidRPr="00556B62">
      <w:rPr>
        <w:rFonts w:ascii="Arial" w:hAnsi="Arial" w:cs="Arial"/>
        <w:sz w:val="18"/>
        <w:szCs w:val="18"/>
      </w:rPr>
      <w:t>celkem</w:t>
    </w:r>
    <w:proofErr w:type="spellEnd"/>
    <w:r w:rsidR="005C0E70" w:rsidRPr="00556B62">
      <w:rPr>
        <w:rFonts w:ascii="Arial" w:hAnsi="Arial" w:cs="Arial"/>
        <w:sz w:val="18"/>
        <w:szCs w:val="18"/>
      </w:rPr>
      <w:t xml:space="preserve">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ED2250">
      <w:rPr>
        <w:rFonts w:ascii="Arial" w:hAnsi="Arial" w:cs="Arial"/>
        <w:noProof/>
        <w:sz w:val="18"/>
        <w:szCs w:val="18"/>
      </w:rPr>
      <w:t>5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33B8" w14:textId="77777777" w:rsidR="0073607F" w:rsidRDefault="0073607F">
      <w:r>
        <w:separator/>
      </w:r>
    </w:p>
  </w:footnote>
  <w:footnote w:type="continuationSeparator" w:id="0">
    <w:p w14:paraId="1FDBF4F7" w14:textId="77777777" w:rsidR="0073607F" w:rsidRDefault="0073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E045" w14:textId="77777777" w:rsidR="00D43EC3" w:rsidRPr="00D43EC3" w:rsidRDefault="00D43EC3" w:rsidP="000E3C64">
    <w:pPr>
      <w:pStyle w:val="Zhlav"/>
      <w:jc w:val="left"/>
      <w:rPr>
        <w:rFonts w:ascii="Free 3 of 9 Extended" w:hAnsi="Free 3 of 9 Extended"/>
        <w:sz w:val="40"/>
      </w:rPr>
    </w:pPr>
    <w:bookmarkStart w:id="18" w:name="DOCUMENTID"/>
    <w:r>
      <w:rPr>
        <w:rFonts w:ascii="Free 3 of 9 Extended" w:hAnsi="Free 3 of 9 Extended"/>
        <w:sz w:val="40"/>
      </w:rPr>
      <w:t>*14FCB1F8D2D76F*</w:t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56E83AEA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2811CBC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46449">
    <w:abstractNumId w:val="1"/>
  </w:num>
  <w:num w:numId="2" w16cid:durableId="1186603161">
    <w:abstractNumId w:val="0"/>
  </w:num>
  <w:num w:numId="3" w16cid:durableId="1768623466">
    <w:abstractNumId w:val="2"/>
  </w:num>
  <w:num w:numId="4" w16cid:durableId="10848842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98375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03433">
    <w:abstractNumId w:val="3"/>
  </w:num>
  <w:num w:numId="7" w16cid:durableId="214160769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16FB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3C64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0456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85E99"/>
    <w:rsid w:val="00392379"/>
    <w:rsid w:val="003938AC"/>
    <w:rsid w:val="00394938"/>
    <w:rsid w:val="0039519D"/>
    <w:rsid w:val="003A12D0"/>
    <w:rsid w:val="003A32EA"/>
    <w:rsid w:val="003A33C7"/>
    <w:rsid w:val="003B11CD"/>
    <w:rsid w:val="003B17E6"/>
    <w:rsid w:val="003B197A"/>
    <w:rsid w:val="003B77B5"/>
    <w:rsid w:val="003D11D4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37F14"/>
    <w:rsid w:val="00447BFF"/>
    <w:rsid w:val="0045077D"/>
    <w:rsid w:val="00460319"/>
    <w:rsid w:val="00462554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169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5BD"/>
    <w:rsid w:val="005A1FC0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97012"/>
    <w:rsid w:val="006A0EE7"/>
    <w:rsid w:val="006A3CEE"/>
    <w:rsid w:val="006A74DB"/>
    <w:rsid w:val="006B1C38"/>
    <w:rsid w:val="006B3F49"/>
    <w:rsid w:val="006C3364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132D"/>
    <w:rsid w:val="0072451A"/>
    <w:rsid w:val="00724E88"/>
    <w:rsid w:val="007262DE"/>
    <w:rsid w:val="00727071"/>
    <w:rsid w:val="00727A3D"/>
    <w:rsid w:val="00735E11"/>
    <w:rsid w:val="0073607F"/>
    <w:rsid w:val="007475FC"/>
    <w:rsid w:val="0075051D"/>
    <w:rsid w:val="0076059C"/>
    <w:rsid w:val="00761760"/>
    <w:rsid w:val="0076634C"/>
    <w:rsid w:val="00767CCD"/>
    <w:rsid w:val="00770745"/>
    <w:rsid w:val="007758FB"/>
    <w:rsid w:val="00776E87"/>
    <w:rsid w:val="00790848"/>
    <w:rsid w:val="00793A1A"/>
    <w:rsid w:val="0079660E"/>
    <w:rsid w:val="007A2A89"/>
    <w:rsid w:val="007A3BAB"/>
    <w:rsid w:val="007A3C19"/>
    <w:rsid w:val="007A5B1C"/>
    <w:rsid w:val="007B4EC3"/>
    <w:rsid w:val="007B7940"/>
    <w:rsid w:val="007C1852"/>
    <w:rsid w:val="007C4BFA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6F51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E0067"/>
    <w:rsid w:val="00AE1538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149"/>
    <w:rsid w:val="00B42E4C"/>
    <w:rsid w:val="00B47DC7"/>
    <w:rsid w:val="00B50088"/>
    <w:rsid w:val="00B5135E"/>
    <w:rsid w:val="00B51F20"/>
    <w:rsid w:val="00B524B0"/>
    <w:rsid w:val="00B53BBB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2C45"/>
    <w:rsid w:val="00D20DBC"/>
    <w:rsid w:val="00D22D7A"/>
    <w:rsid w:val="00D23AA7"/>
    <w:rsid w:val="00D23BA8"/>
    <w:rsid w:val="00D247FE"/>
    <w:rsid w:val="00D34219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D0683"/>
    <w:rsid w:val="00DD1B6C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5D21"/>
    <w:rsid w:val="00EA6A5B"/>
    <w:rsid w:val="00EA700F"/>
    <w:rsid w:val="00EB1201"/>
    <w:rsid w:val="00EB1553"/>
    <w:rsid w:val="00EB2B17"/>
    <w:rsid w:val="00EB2B9F"/>
    <w:rsid w:val="00EB5488"/>
    <w:rsid w:val="00EB573E"/>
    <w:rsid w:val="00EB59C6"/>
    <w:rsid w:val="00EC29B5"/>
    <w:rsid w:val="00EC5A63"/>
    <w:rsid w:val="00EC6CE8"/>
    <w:rsid w:val="00EC6D1E"/>
    <w:rsid w:val="00ED1900"/>
    <w:rsid w:val="00ED225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0BF0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5E3B848"/>
  <w15:docId w15:val="{700D6A6A-5D16-4BC1-9923-D0C2DA0F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Nadpis2">
    <w:name w:val="heading 2"/>
    <w:aliases w:val="Nadpis 2 Char Char"/>
    <w:basedOn w:val="Normln"/>
    <w:next w:val="Normln"/>
    <w:link w:val="Nadpis2Char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Nadpis5">
    <w:name w:val="heading 5"/>
    <w:basedOn w:val="Normln"/>
    <w:next w:val="Normln"/>
    <w:qFormat/>
    <w:pPr>
      <w:keepNext/>
      <w:spacing w:before="20" w:after="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ind w:left="709" w:hanging="72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Nadpis8">
    <w:name w:val="heading 8"/>
    <w:basedOn w:val="Normln"/>
    <w:next w:val="Normln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Nadpis9">
    <w:name w:val="heading 9"/>
    <w:basedOn w:val="Normln"/>
    <w:next w:val="Normln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pPr>
      <w:spacing w:before="60" w:after="60"/>
    </w:pPr>
  </w:style>
  <w:style w:type="paragraph" w:styleId="Textvbloku">
    <w:name w:val="Block Text"/>
    <w:basedOn w:val="Normln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ln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ln"/>
    <w:rPr>
      <w:sz w:val="16"/>
    </w:rPr>
  </w:style>
  <w:style w:type="paragraph" w:customStyle="1" w:styleId="Indent1">
    <w:name w:val="Indent1"/>
    <w:basedOn w:val="Normln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Zkladntextodsazen">
    <w:name w:val="Body Text Indent"/>
    <w:basedOn w:val="Normln"/>
    <w:pPr>
      <w:spacing w:line="240" w:lineRule="atLeast"/>
      <w:ind w:left="567"/>
    </w:pPr>
  </w:style>
  <w:style w:type="paragraph" w:styleId="Textpoznpodarou">
    <w:name w:val="footnote text"/>
    <w:basedOn w:val="Normln"/>
    <w:semiHidden/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character" w:styleId="Siln">
    <w:name w:val="Strong"/>
    <w:qFormat/>
    <w:rPr>
      <w:b/>
    </w:rPr>
  </w:style>
  <w:style w:type="paragraph" w:styleId="Rozloendokumentu">
    <w:name w:val="Document Map"/>
    <w:basedOn w:val="Normln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B3B05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35903"/>
  </w:style>
  <w:style w:type="character" w:customStyle="1" w:styleId="platne1">
    <w:name w:val="platne1"/>
    <w:basedOn w:val="Standardnpsmoodstavce"/>
    <w:rsid w:val="00035903"/>
  </w:style>
  <w:style w:type="character" w:styleId="Hypertextovodkaz">
    <w:name w:val="Hyperlink"/>
    <w:rsid w:val="00C972E4"/>
    <w:rPr>
      <w:color w:val="0000FF"/>
      <w:u w:val="single"/>
    </w:rPr>
  </w:style>
  <w:style w:type="paragraph" w:styleId="Prosttext">
    <w:name w:val="Plain Text"/>
    <w:basedOn w:val="Normln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Mkatabulky">
    <w:name w:val="Table Grid"/>
    <w:basedOn w:val="Normlntabulka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Standardnpsmoodstavce"/>
    <w:rsid w:val="00C6200B"/>
  </w:style>
  <w:style w:type="character" w:customStyle="1" w:styleId="Nadpis4Char">
    <w:name w:val="Nadpis 4 Char"/>
    <w:link w:val="Nadpis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0">
    <w:name w:val="nadpis 3"/>
    <w:basedOn w:val="Normln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ln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ln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Zpat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Odkaznakoment">
    <w:name w:val="annotation reference"/>
    <w:semiHidden/>
    <w:rsid w:val="004B3D2F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B3D2F"/>
    <w:rPr>
      <w:b/>
      <w:bCs/>
    </w:rPr>
  </w:style>
  <w:style w:type="paragraph" w:customStyle="1" w:styleId="indent11">
    <w:name w:val="indent11"/>
    <w:basedOn w:val="Normln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ZkladntextChar">
    <w:name w:val="Základní text Char"/>
    <w:link w:val="Zkladntext"/>
    <w:rsid w:val="003A33C7"/>
    <w:rPr>
      <w:rFonts w:ascii="Arial" w:hAnsi="Arial"/>
    </w:rPr>
  </w:style>
  <w:style w:type="paragraph" w:styleId="Revize">
    <w:name w:val="Revision"/>
    <w:hidden/>
    <w:uiPriority w:val="99"/>
    <w:semiHidden/>
    <w:rsid w:val="00D015FB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A1DDA"/>
    <w:pPr>
      <w:ind w:left="720"/>
      <w:contextualSpacing/>
    </w:pPr>
  </w:style>
  <w:style w:type="character" w:customStyle="1" w:styleId="Nadpis2Char">
    <w:name w:val="Nadpis 2 Char"/>
    <w:aliases w:val="Nadpis 2 Char Char Char"/>
    <w:basedOn w:val="Standardnpsmoodstavce"/>
    <w:link w:val="Nadpis2"/>
    <w:rsid w:val="00437F14"/>
    <w:rPr>
      <w:rFonts w:ascii="Arial" w:hAnsi="Arial"/>
      <w:b/>
      <w:caps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9977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subject/>
  <dc:creator>Marko Antic</dc:creator>
  <cp:keywords/>
  <cp:lastModifiedBy>Alexandra Baďurová</cp:lastModifiedBy>
  <cp:revision>2</cp:revision>
  <cp:lastPrinted>2015-12-28T08:46:00Z</cp:lastPrinted>
  <dcterms:created xsi:type="dcterms:W3CDTF">2022-04-27T08:04:00Z</dcterms:created>
  <dcterms:modified xsi:type="dcterms:W3CDTF">2022-04-27T08:04:00Z</dcterms:modified>
</cp:coreProperties>
</file>