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329"/>
        <w:gridCol w:w="7103"/>
      </w:tblGrid>
      <w:tr w:rsidR="00CA1C8B" w14:paraId="3D3F45F2" w14:textId="77777777">
        <w:trPr>
          <w:trHeight w:hRule="exact" w:val="288"/>
          <w:jc w:val="center"/>
        </w:trPr>
        <w:tc>
          <w:tcPr>
            <w:tcW w:w="2329" w:type="dxa"/>
            <w:shd w:val="clear" w:color="auto" w:fill="FFFFFF"/>
          </w:tcPr>
          <w:p w14:paraId="1A7E5AFD" w14:textId="77777777" w:rsidR="00CA1C8B" w:rsidRDefault="00CA1C8B">
            <w:pPr>
              <w:rPr>
                <w:sz w:val="10"/>
                <w:szCs w:val="10"/>
              </w:rPr>
            </w:pPr>
          </w:p>
        </w:tc>
        <w:tc>
          <w:tcPr>
            <w:tcW w:w="7103" w:type="dxa"/>
            <w:shd w:val="clear" w:color="auto" w:fill="FFFFFF"/>
            <w:vAlign w:val="bottom"/>
          </w:tcPr>
          <w:p w14:paraId="7C755B5F" w14:textId="7AE45D2D" w:rsidR="00CA1C8B" w:rsidRDefault="009362E8">
            <w:pPr>
              <w:pStyle w:val="Jin0"/>
              <w:spacing w:after="0" w:line="240" w:lineRule="auto"/>
              <w:ind w:firstLine="680"/>
              <w:rPr>
                <w:sz w:val="24"/>
                <w:szCs w:val="24"/>
              </w:rPr>
            </w:pPr>
            <w:r>
              <w:rPr>
                <w:b/>
                <w:bCs/>
                <w:sz w:val="24"/>
                <w:szCs w:val="24"/>
              </w:rPr>
              <w:t xml:space="preserve">SMLOUVA </w:t>
            </w:r>
            <w:r w:rsidR="006E182C">
              <w:rPr>
                <w:b/>
                <w:bCs/>
                <w:sz w:val="24"/>
                <w:szCs w:val="24"/>
              </w:rPr>
              <w:t>O</w:t>
            </w:r>
            <w:r>
              <w:rPr>
                <w:b/>
                <w:bCs/>
                <w:sz w:val="24"/>
                <w:szCs w:val="24"/>
              </w:rPr>
              <w:t xml:space="preserve"> SPOLUPRÁCI</w:t>
            </w:r>
          </w:p>
        </w:tc>
      </w:tr>
    </w:tbl>
    <w:p w14:paraId="3F6B2743" w14:textId="77777777" w:rsidR="00CA1C8B" w:rsidRDefault="00CA1C8B">
      <w:pPr>
        <w:spacing w:after="59" w:line="1" w:lineRule="exact"/>
      </w:pPr>
    </w:p>
    <w:p w14:paraId="0CCE00B9" w14:textId="77777777" w:rsidR="00CA1C8B" w:rsidRDefault="009362E8">
      <w:pPr>
        <w:pStyle w:val="Nadpis40"/>
        <w:keepNext/>
        <w:keepLines/>
      </w:pPr>
      <w:bookmarkStart w:id="0" w:name="bookmark3"/>
      <w:bookmarkStart w:id="1" w:name="bookmark4"/>
      <w:bookmarkStart w:id="2" w:name="bookmark5"/>
      <w:r>
        <w:t xml:space="preserve">PŘEDÁVÁNÍ ÚDAJŮ O DOBÍJEČÍCH STANICÍCH V SÍTI </w:t>
      </w:r>
      <w:proofErr w:type="spellStart"/>
      <w:r>
        <w:t>PREpoint</w:t>
      </w:r>
      <w:bookmarkEnd w:id="0"/>
      <w:bookmarkEnd w:id="1"/>
      <w:bookmarkEnd w:id="2"/>
      <w:proofErr w:type="spellEnd"/>
    </w:p>
    <w:p w14:paraId="55FE6257" w14:textId="77777777" w:rsidR="00CA1C8B" w:rsidRDefault="009362E8">
      <w:pPr>
        <w:pStyle w:val="Zkladntext1"/>
        <w:spacing w:after="340" w:line="240" w:lineRule="auto"/>
      </w:pPr>
      <w:r>
        <w:t>uzavřená v souladu s ustanovením § 1746 odst. 2 zákona č. 89/2012 Sb., občanského zákoníku</w:t>
      </w:r>
    </w:p>
    <w:p w14:paraId="1B0F9918" w14:textId="77777777" w:rsidR="00CA1C8B" w:rsidRDefault="009362E8">
      <w:pPr>
        <w:pStyle w:val="Zkladntext1"/>
        <w:spacing w:after="60" w:line="240" w:lineRule="auto"/>
        <w:ind w:left="4980"/>
      </w:pPr>
      <w:r>
        <w:t>číslo smlouvy PRE:</w:t>
      </w:r>
    </w:p>
    <w:p w14:paraId="4071005D" w14:textId="77777777" w:rsidR="00CA1C8B" w:rsidRDefault="009362E8">
      <w:pPr>
        <w:pStyle w:val="Zkladntext1"/>
        <w:spacing w:after="660" w:line="240" w:lineRule="auto"/>
        <w:ind w:left="4980"/>
      </w:pPr>
      <w:r>
        <w:t>číslo smlouvy Partnera: SML/10121/2022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29"/>
        <w:gridCol w:w="7106"/>
      </w:tblGrid>
      <w:tr w:rsidR="00CA1C8B" w14:paraId="188905EE" w14:textId="77777777">
        <w:trPr>
          <w:trHeight w:hRule="exact" w:val="634"/>
          <w:jc w:val="center"/>
        </w:trPr>
        <w:tc>
          <w:tcPr>
            <w:tcW w:w="2329" w:type="dxa"/>
            <w:shd w:val="clear" w:color="auto" w:fill="FFFFFF"/>
          </w:tcPr>
          <w:p w14:paraId="4A27D709" w14:textId="77777777" w:rsidR="00CA1C8B" w:rsidRDefault="009362E8">
            <w:pPr>
              <w:pStyle w:val="Jin0"/>
              <w:spacing w:after="0" w:line="240" w:lineRule="auto"/>
            </w:pPr>
            <w:r>
              <w:t>Smluvní strany:</w:t>
            </w:r>
          </w:p>
        </w:tc>
        <w:tc>
          <w:tcPr>
            <w:tcW w:w="7106" w:type="dxa"/>
            <w:shd w:val="clear" w:color="auto" w:fill="FFFFFF"/>
            <w:vAlign w:val="bottom"/>
          </w:tcPr>
          <w:p w14:paraId="757159A5" w14:textId="77777777" w:rsidR="00CA1C8B" w:rsidRDefault="009362E8">
            <w:pPr>
              <w:pStyle w:val="Jin0"/>
              <w:spacing w:after="0" w:line="240" w:lineRule="auto"/>
            </w:pPr>
            <w:r>
              <w:rPr>
                <w:b/>
                <w:bCs/>
              </w:rPr>
              <w:t>Pražská energetika, a. s.</w:t>
            </w:r>
          </w:p>
        </w:tc>
      </w:tr>
      <w:tr w:rsidR="00CA1C8B" w14:paraId="0683E663" w14:textId="77777777">
        <w:trPr>
          <w:trHeight w:hRule="exact" w:val="338"/>
          <w:jc w:val="center"/>
        </w:trPr>
        <w:tc>
          <w:tcPr>
            <w:tcW w:w="2329" w:type="dxa"/>
            <w:shd w:val="clear" w:color="auto" w:fill="FFFFFF"/>
            <w:vAlign w:val="bottom"/>
          </w:tcPr>
          <w:p w14:paraId="5BB54005" w14:textId="77777777" w:rsidR="00CA1C8B" w:rsidRDefault="009362E8">
            <w:pPr>
              <w:pStyle w:val="Jin0"/>
              <w:spacing w:after="0" w:line="240" w:lineRule="auto"/>
              <w:ind w:firstLine="620"/>
            </w:pPr>
            <w:r>
              <w:t>Sídlo:</w:t>
            </w:r>
          </w:p>
        </w:tc>
        <w:tc>
          <w:tcPr>
            <w:tcW w:w="7106" w:type="dxa"/>
            <w:shd w:val="clear" w:color="auto" w:fill="FFFFFF"/>
            <w:vAlign w:val="bottom"/>
          </w:tcPr>
          <w:p w14:paraId="5365E15F" w14:textId="77777777" w:rsidR="00CA1C8B" w:rsidRDefault="009362E8">
            <w:pPr>
              <w:pStyle w:val="Jin0"/>
              <w:spacing w:after="0" w:line="240" w:lineRule="auto"/>
            </w:pPr>
            <w:r>
              <w:t>Na Hroudě 1492/4, 100 05 Praha 10</w:t>
            </w:r>
          </w:p>
        </w:tc>
      </w:tr>
      <w:tr w:rsidR="00CA1C8B" w14:paraId="24C43FDD" w14:textId="77777777">
        <w:trPr>
          <w:trHeight w:hRule="exact" w:val="583"/>
          <w:jc w:val="center"/>
        </w:trPr>
        <w:tc>
          <w:tcPr>
            <w:tcW w:w="2329" w:type="dxa"/>
            <w:shd w:val="clear" w:color="auto" w:fill="FFFFFF"/>
          </w:tcPr>
          <w:p w14:paraId="0D2A1486" w14:textId="77777777" w:rsidR="00CA1C8B" w:rsidRDefault="009362E8">
            <w:pPr>
              <w:pStyle w:val="Jin0"/>
              <w:spacing w:after="0" w:line="240" w:lineRule="auto"/>
              <w:ind w:firstLine="620"/>
            </w:pPr>
            <w:r>
              <w:t>Zapsaná:</w:t>
            </w:r>
          </w:p>
        </w:tc>
        <w:tc>
          <w:tcPr>
            <w:tcW w:w="7106" w:type="dxa"/>
            <w:shd w:val="clear" w:color="auto" w:fill="FFFFFF"/>
            <w:vAlign w:val="bottom"/>
          </w:tcPr>
          <w:p w14:paraId="226200C5" w14:textId="77777777" w:rsidR="00CA1C8B" w:rsidRDefault="009362E8">
            <w:pPr>
              <w:pStyle w:val="Jin0"/>
              <w:spacing w:after="0" w:line="262" w:lineRule="auto"/>
            </w:pPr>
            <w:r>
              <w:t>v obchodním rejstříku vedeném Městským soudem v Praze, oddíl B, vložka číslo 2405</w:t>
            </w:r>
          </w:p>
        </w:tc>
      </w:tr>
      <w:tr w:rsidR="00CA1C8B" w14:paraId="2186DC42" w14:textId="77777777">
        <w:trPr>
          <w:trHeight w:hRule="exact" w:val="644"/>
          <w:jc w:val="center"/>
        </w:trPr>
        <w:tc>
          <w:tcPr>
            <w:tcW w:w="2329" w:type="dxa"/>
            <w:shd w:val="clear" w:color="auto" w:fill="FFFFFF"/>
          </w:tcPr>
          <w:p w14:paraId="17D2C0E7" w14:textId="77777777" w:rsidR="00CA1C8B" w:rsidRDefault="009362E8">
            <w:pPr>
              <w:pStyle w:val="Jin0"/>
              <w:spacing w:after="0" w:line="240" w:lineRule="auto"/>
              <w:ind w:firstLine="620"/>
            </w:pPr>
            <w:r>
              <w:t>Zastoupená:</w:t>
            </w:r>
          </w:p>
        </w:tc>
        <w:tc>
          <w:tcPr>
            <w:tcW w:w="7106" w:type="dxa"/>
            <w:shd w:val="clear" w:color="auto" w:fill="FFFFFF"/>
            <w:vAlign w:val="bottom"/>
          </w:tcPr>
          <w:p w14:paraId="0EC47345" w14:textId="697C625E" w:rsidR="00CA1C8B" w:rsidRDefault="006E182C">
            <w:pPr>
              <w:pStyle w:val="Jin0"/>
              <w:spacing w:after="0" w:line="240" w:lineRule="auto"/>
            </w:pPr>
            <w:r>
              <w:t xml:space="preserve"> </w:t>
            </w:r>
            <w:proofErr w:type="spellStart"/>
            <w:r>
              <w:t>Xxxxxxx</w:t>
            </w:r>
            <w:proofErr w:type="spellEnd"/>
          </w:p>
        </w:tc>
      </w:tr>
      <w:tr w:rsidR="00CA1C8B" w14:paraId="62B5B84F" w14:textId="77777777">
        <w:trPr>
          <w:trHeight w:hRule="exact" w:val="346"/>
          <w:jc w:val="center"/>
        </w:trPr>
        <w:tc>
          <w:tcPr>
            <w:tcW w:w="2329" w:type="dxa"/>
            <w:shd w:val="clear" w:color="auto" w:fill="FFFFFF"/>
          </w:tcPr>
          <w:p w14:paraId="4DBCA0AC" w14:textId="77777777" w:rsidR="00CA1C8B" w:rsidRDefault="009362E8">
            <w:pPr>
              <w:pStyle w:val="Jin0"/>
              <w:spacing w:after="0" w:line="240" w:lineRule="auto"/>
              <w:ind w:firstLine="620"/>
            </w:pPr>
            <w:r>
              <w:t>IČO:</w:t>
            </w:r>
          </w:p>
        </w:tc>
        <w:tc>
          <w:tcPr>
            <w:tcW w:w="7106" w:type="dxa"/>
            <w:shd w:val="clear" w:color="auto" w:fill="FFFFFF"/>
          </w:tcPr>
          <w:p w14:paraId="586CD860" w14:textId="77777777" w:rsidR="00CA1C8B" w:rsidRDefault="009362E8">
            <w:pPr>
              <w:pStyle w:val="Jin0"/>
              <w:spacing w:after="0" w:line="240" w:lineRule="auto"/>
            </w:pPr>
            <w:r>
              <w:t>60193913</w:t>
            </w:r>
          </w:p>
        </w:tc>
      </w:tr>
      <w:tr w:rsidR="00CA1C8B" w14:paraId="5E0CC4FB" w14:textId="77777777">
        <w:trPr>
          <w:trHeight w:hRule="exact" w:val="349"/>
          <w:jc w:val="center"/>
        </w:trPr>
        <w:tc>
          <w:tcPr>
            <w:tcW w:w="2329" w:type="dxa"/>
            <w:shd w:val="clear" w:color="auto" w:fill="FFFFFF"/>
            <w:vAlign w:val="bottom"/>
          </w:tcPr>
          <w:p w14:paraId="706C9BF1" w14:textId="77777777" w:rsidR="00CA1C8B" w:rsidRDefault="009362E8">
            <w:pPr>
              <w:pStyle w:val="Jin0"/>
              <w:spacing w:after="0" w:line="240" w:lineRule="auto"/>
              <w:ind w:firstLine="620"/>
            </w:pPr>
            <w:r>
              <w:t>DIČ:</w:t>
            </w:r>
          </w:p>
        </w:tc>
        <w:tc>
          <w:tcPr>
            <w:tcW w:w="7106" w:type="dxa"/>
            <w:shd w:val="clear" w:color="auto" w:fill="FFFFFF"/>
            <w:vAlign w:val="bottom"/>
          </w:tcPr>
          <w:p w14:paraId="11A76650" w14:textId="77777777" w:rsidR="00CA1C8B" w:rsidRDefault="009362E8">
            <w:pPr>
              <w:pStyle w:val="Jin0"/>
              <w:spacing w:after="0" w:line="240" w:lineRule="auto"/>
            </w:pPr>
            <w:r>
              <w:t>CZ60193913</w:t>
            </w:r>
          </w:p>
        </w:tc>
      </w:tr>
      <w:tr w:rsidR="00CA1C8B" w14:paraId="40A9B5BC" w14:textId="77777777">
        <w:trPr>
          <w:trHeight w:hRule="exact" w:val="360"/>
          <w:jc w:val="center"/>
        </w:trPr>
        <w:tc>
          <w:tcPr>
            <w:tcW w:w="2329" w:type="dxa"/>
            <w:shd w:val="clear" w:color="auto" w:fill="FFFFFF"/>
            <w:vAlign w:val="bottom"/>
          </w:tcPr>
          <w:p w14:paraId="2AEDBAAF" w14:textId="77777777" w:rsidR="00CA1C8B" w:rsidRDefault="009362E8">
            <w:pPr>
              <w:pStyle w:val="Jin0"/>
              <w:spacing w:after="0" w:line="240" w:lineRule="auto"/>
              <w:ind w:firstLine="620"/>
            </w:pPr>
            <w:r>
              <w:t>Bankovní spojení:</w:t>
            </w:r>
          </w:p>
        </w:tc>
        <w:tc>
          <w:tcPr>
            <w:tcW w:w="7106" w:type="dxa"/>
            <w:shd w:val="clear" w:color="auto" w:fill="FFFFFF"/>
            <w:vAlign w:val="bottom"/>
          </w:tcPr>
          <w:p w14:paraId="7D1F9BD2" w14:textId="77777777" w:rsidR="00CA1C8B" w:rsidRDefault="009362E8">
            <w:pPr>
              <w:pStyle w:val="Jin0"/>
              <w:spacing w:after="0" w:line="240" w:lineRule="auto"/>
            </w:pPr>
            <w:r>
              <w:t>Československá obchodní banka, a. s.</w:t>
            </w:r>
          </w:p>
        </w:tc>
      </w:tr>
      <w:tr w:rsidR="00CA1C8B" w14:paraId="611924C9" w14:textId="77777777">
        <w:trPr>
          <w:trHeight w:hRule="exact" w:val="356"/>
          <w:jc w:val="center"/>
        </w:trPr>
        <w:tc>
          <w:tcPr>
            <w:tcW w:w="2329" w:type="dxa"/>
            <w:shd w:val="clear" w:color="auto" w:fill="FFFFFF"/>
          </w:tcPr>
          <w:p w14:paraId="49ADBD3F" w14:textId="77777777" w:rsidR="00CA1C8B" w:rsidRDefault="009362E8">
            <w:pPr>
              <w:pStyle w:val="Jin0"/>
              <w:spacing w:after="0" w:line="240" w:lineRule="auto"/>
              <w:ind w:firstLine="620"/>
            </w:pPr>
            <w:r>
              <w:t>Číslo účtu:</w:t>
            </w:r>
          </w:p>
        </w:tc>
        <w:tc>
          <w:tcPr>
            <w:tcW w:w="7106" w:type="dxa"/>
            <w:shd w:val="clear" w:color="auto" w:fill="FFFFFF"/>
          </w:tcPr>
          <w:p w14:paraId="2941EC76" w14:textId="77777777" w:rsidR="00CA1C8B" w:rsidRDefault="009362E8">
            <w:pPr>
              <w:pStyle w:val="Jin0"/>
              <w:spacing w:after="0" w:line="240" w:lineRule="auto"/>
            </w:pPr>
            <w:r>
              <w:t>4001-0900109423/0300</w:t>
            </w:r>
          </w:p>
        </w:tc>
      </w:tr>
      <w:tr w:rsidR="00CA1C8B" w14:paraId="198A84C2" w14:textId="77777777">
        <w:trPr>
          <w:trHeight w:hRule="exact" w:val="1584"/>
          <w:jc w:val="center"/>
        </w:trPr>
        <w:tc>
          <w:tcPr>
            <w:tcW w:w="2329" w:type="dxa"/>
            <w:shd w:val="clear" w:color="auto" w:fill="FFFFFF"/>
          </w:tcPr>
          <w:p w14:paraId="1CA51C85" w14:textId="77777777" w:rsidR="00CA1C8B" w:rsidRDefault="009362E8">
            <w:pPr>
              <w:pStyle w:val="Jin0"/>
              <w:spacing w:after="0" w:line="646" w:lineRule="auto"/>
            </w:pPr>
            <w:r>
              <w:t xml:space="preserve">dále jen </w:t>
            </w:r>
            <w:r>
              <w:rPr>
                <w:b/>
                <w:bCs/>
              </w:rPr>
              <w:t xml:space="preserve">„PRE“ </w:t>
            </w:r>
            <w:r>
              <w:t>a</w:t>
            </w:r>
          </w:p>
        </w:tc>
        <w:tc>
          <w:tcPr>
            <w:tcW w:w="7106" w:type="dxa"/>
            <w:shd w:val="clear" w:color="auto" w:fill="FFFFFF"/>
            <w:vAlign w:val="bottom"/>
          </w:tcPr>
          <w:p w14:paraId="0543EA92" w14:textId="77777777" w:rsidR="00CA1C8B" w:rsidRDefault="009362E8">
            <w:pPr>
              <w:pStyle w:val="Jin0"/>
              <w:spacing w:after="0" w:line="240" w:lineRule="auto"/>
            </w:pPr>
            <w:r>
              <w:rPr>
                <w:b/>
                <w:bCs/>
              </w:rPr>
              <w:t xml:space="preserve">Centrum dopravního výzkumu </w:t>
            </w:r>
            <w:proofErr w:type="spellStart"/>
            <w:r>
              <w:rPr>
                <w:b/>
                <w:bCs/>
              </w:rPr>
              <w:t>v.</w:t>
            </w:r>
            <w:proofErr w:type="gramStart"/>
            <w:r>
              <w:rPr>
                <w:b/>
                <w:bCs/>
              </w:rPr>
              <w:t>v.i</w:t>
            </w:r>
            <w:proofErr w:type="spellEnd"/>
            <w:proofErr w:type="gramEnd"/>
          </w:p>
        </w:tc>
      </w:tr>
      <w:tr w:rsidR="00CA1C8B" w14:paraId="4C9F0C1F" w14:textId="77777777">
        <w:trPr>
          <w:trHeight w:hRule="exact" w:val="335"/>
          <w:jc w:val="center"/>
        </w:trPr>
        <w:tc>
          <w:tcPr>
            <w:tcW w:w="2329" w:type="dxa"/>
            <w:shd w:val="clear" w:color="auto" w:fill="FFFFFF"/>
            <w:vAlign w:val="bottom"/>
          </w:tcPr>
          <w:p w14:paraId="7213D646" w14:textId="77777777" w:rsidR="00CA1C8B" w:rsidRDefault="009362E8">
            <w:pPr>
              <w:pStyle w:val="Jin0"/>
              <w:spacing w:after="0" w:line="240" w:lineRule="auto"/>
              <w:ind w:firstLine="620"/>
            </w:pPr>
            <w:r>
              <w:t>Sídlo:</w:t>
            </w:r>
          </w:p>
        </w:tc>
        <w:tc>
          <w:tcPr>
            <w:tcW w:w="7106" w:type="dxa"/>
            <w:shd w:val="clear" w:color="auto" w:fill="FFFFFF"/>
            <w:vAlign w:val="bottom"/>
          </w:tcPr>
          <w:p w14:paraId="7E10266C" w14:textId="77777777" w:rsidR="00CA1C8B" w:rsidRDefault="009362E8">
            <w:pPr>
              <w:pStyle w:val="Jin0"/>
              <w:spacing w:after="0" w:line="240" w:lineRule="auto"/>
            </w:pPr>
            <w:r>
              <w:t>Líšeňská 2657/</w:t>
            </w:r>
            <w:proofErr w:type="gramStart"/>
            <w:r>
              <w:t>33a</w:t>
            </w:r>
            <w:proofErr w:type="gramEnd"/>
            <w:r>
              <w:t>, 636 00 Brno</w:t>
            </w:r>
          </w:p>
        </w:tc>
      </w:tr>
      <w:tr w:rsidR="00CA1C8B" w14:paraId="234B806C" w14:textId="77777777">
        <w:trPr>
          <w:trHeight w:hRule="exact" w:val="367"/>
          <w:jc w:val="center"/>
        </w:trPr>
        <w:tc>
          <w:tcPr>
            <w:tcW w:w="2329" w:type="dxa"/>
            <w:shd w:val="clear" w:color="auto" w:fill="FFFFFF"/>
            <w:vAlign w:val="bottom"/>
          </w:tcPr>
          <w:p w14:paraId="0CA0EA17" w14:textId="77777777" w:rsidR="00CA1C8B" w:rsidRDefault="009362E8">
            <w:pPr>
              <w:pStyle w:val="Jin0"/>
              <w:spacing w:after="0" w:line="240" w:lineRule="auto"/>
              <w:ind w:firstLine="620"/>
            </w:pPr>
            <w:r>
              <w:t>Zapsaná:</w:t>
            </w:r>
          </w:p>
        </w:tc>
        <w:tc>
          <w:tcPr>
            <w:tcW w:w="7106" w:type="dxa"/>
            <w:shd w:val="clear" w:color="auto" w:fill="FFFFFF"/>
            <w:vAlign w:val="bottom"/>
          </w:tcPr>
          <w:p w14:paraId="14412C41" w14:textId="77777777" w:rsidR="00CA1C8B" w:rsidRDefault="009362E8">
            <w:pPr>
              <w:pStyle w:val="Jin0"/>
              <w:spacing w:after="0" w:line="240" w:lineRule="auto"/>
            </w:pPr>
            <w:r>
              <w:t>v rejstříku veřejných výzkumných institucí, vedeném MŠMT</w:t>
            </w:r>
          </w:p>
        </w:tc>
      </w:tr>
      <w:tr w:rsidR="00CA1C8B" w14:paraId="44BE295D" w14:textId="77777777">
        <w:trPr>
          <w:trHeight w:hRule="exact" w:val="302"/>
          <w:jc w:val="center"/>
        </w:trPr>
        <w:tc>
          <w:tcPr>
            <w:tcW w:w="2329" w:type="dxa"/>
            <w:shd w:val="clear" w:color="auto" w:fill="FFFFFF"/>
            <w:vAlign w:val="bottom"/>
          </w:tcPr>
          <w:p w14:paraId="228A7BAA" w14:textId="77777777" w:rsidR="00CA1C8B" w:rsidRDefault="009362E8">
            <w:pPr>
              <w:pStyle w:val="Jin0"/>
              <w:spacing w:after="0" w:line="240" w:lineRule="auto"/>
              <w:ind w:firstLine="620"/>
            </w:pPr>
            <w:r>
              <w:t>Zastoupená:</w:t>
            </w:r>
          </w:p>
        </w:tc>
        <w:tc>
          <w:tcPr>
            <w:tcW w:w="7106" w:type="dxa"/>
            <w:shd w:val="clear" w:color="auto" w:fill="FFFFFF"/>
            <w:vAlign w:val="bottom"/>
          </w:tcPr>
          <w:p w14:paraId="35B6E6B9" w14:textId="77777777" w:rsidR="00CA1C8B" w:rsidRDefault="009362E8">
            <w:pPr>
              <w:pStyle w:val="Jin0"/>
              <w:spacing w:after="0" w:line="240" w:lineRule="auto"/>
            </w:pPr>
            <w:r>
              <w:t>Ing. Jindřich Frič, Ph.D., ředitel instituce</w:t>
            </w:r>
          </w:p>
        </w:tc>
      </w:tr>
    </w:tbl>
    <w:p w14:paraId="4E45ACAD" w14:textId="77777777" w:rsidR="00CA1C8B" w:rsidRDefault="00CA1C8B">
      <w:pPr>
        <w:spacing w:after="59" w:line="1" w:lineRule="exact"/>
      </w:pPr>
    </w:p>
    <w:p w14:paraId="61FE4528" w14:textId="77777777" w:rsidR="00CA1C8B" w:rsidRDefault="00CA1C8B">
      <w:pPr>
        <w:spacing w:line="1" w:lineRule="exact"/>
      </w:pPr>
    </w:p>
    <w:p w14:paraId="72B00757" w14:textId="36B0AB72" w:rsidR="00CA1C8B" w:rsidRDefault="009362E8">
      <w:pPr>
        <w:pStyle w:val="Titulektabulky0"/>
        <w:ind w:left="616"/>
      </w:pPr>
      <w:r>
        <w:t xml:space="preserve">Ve věcech smluvních: </w:t>
      </w:r>
      <w:proofErr w:type="spellStart"/>
      <w:r w:rsidR="006E182C">
        <w:t>xxxxxxxxxx</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2329"/>
        <w:gridCol w:w="7103"/>
      </w:tblGrid>
      <w:tr w:rsidR="00CA1C8B" w14:paraId="767F134D" w14:textId="77777777">
        <w:trPr>
          <w:trHeight w:hRule="exact" w:val="306"/>
          <w:jc w:val="center"/>
        </w:trPr>
        <w:tc>
          <w:tcPr>
            <w:tcW w:w="2329" w:type="dxa"/>
            <w:shd w:val="clear" w:color="auto" w:fill="FFFFFF"/>
          </w:tcPr>
          <w:p w14:paraId="66167F74" w14:textId="77777777" w:rsidR="00CA1C8B" w:rsidRDefault="009362E8">
            <w:pPr>
              <w:pStyle w:val="Jin0"/>
              <w:spacing w:after="0" w:line="240" w:lineRule="auto"/>
              <w:ind w:firstLine="620"/>
            </w:pPr>
            <w:r>
              <w:t>IČO:</w:t>
            </w:r>
          </w:p>
        </w:tc>
        <w:tc>
          <w:tcPr>
            <w:tcW w:w="7103" w:type="dxa"/>
            <w:shd w:val="clear" w:color="auto" w:fill="FFFFFF"/>
          </w:tcPr>
          <w:p w14:paraId="08245FE2" w14:textId="77777777" w:rsidR="00CA1C8B" w:rsidRDefault="009362E8">
            <w:pPr>
              <w:pStyle w:val="Jin0"/>
              <w:spacing w:after="0" w:line="240" w:lineRule="auto"/>
            </w:pPr>
            <w:r>
              <w:t>44994575</w:t>
            </w:r>
          </w:p>
        </w:tc>
      </w:tr>
      <w:tr w:rsidR="00CA1C8B" w14:paraId="1CA9CEEB" w14:textId="77777777">
        <w:trPr>
          <w:trHeight w:hRule="exact" w:val="360"/>
          <w:jc w:val="center"/>
        </w:trPr>
        <w:tc>
          <w:tcPr>
            <w:tcW w:w="2329" w:type="dxa"/>
            <w:shd w:val="clear" w:color="auto" w:fill="FFFFFF"/>
          </w:tcPr>
          <w:p w14:paraId="041465A4" w14:textId="77777777" w:rsidR="00CA1C8B" w:rsidRDefault="009362E8">
            <w:pPr>
              <w:pStyle w:val="Jin0"/>
              <w:spacing w:after="0" w:line="240" w:lineRule="auto"/>
              <w:ind w:firstLine="620"/>
            </w:pPr>
            <w:r>
              <w:t>DIČ:</w:t>
            </w:r>
          </w:p>
        </w:tc>
        <w:tc>
          <w:tcPr>
            <w:tcW w:w="7103" w:type="dxa"/>
            <w:shd w:val="clear" w:color="auto" w:fill="FFFFFF"/>
          </w:tcPr>
          <w:p w14:paraId="1D8BF103" w14:textId="77777777" w:rsidR="00CA1C8B" w:rsidRDefault="009362E8">
            <w:pPr>
              <w:pStyle w:val="Jin0"/>
              <w:spacing w:after="0" w:line="240" w:lineRule="auto"/>
            </w:pPr>
            <w:r>
              <w:t>CZ44994575</w:t>
            </w:r>
          </w:p>
        </w:tc>
      </w:tr>
      <w:tr w:rsidR="00CA1C8B" w14:paraId="7A185F70" w14:textId="77777777">
        <w:trPr>
          <w:trHeight w:hRule="exact" w:val="353"/>
          <w:jc w:val="center"/>
        </w:trPr>
        <w:tc>
          <w:tcPr>
            <w:tcW w:w="2329" w:type="dxa"/>
            <w:shd w:val="clear" w:color="auto" w:fill="FFFFFF"/>
            <w:vAlign w:val="bottom"/>
          </w:tcPr>
          <w:p w14:paraId="3973C425" w14:textId="77777777" w:rsidR="00CA1C8B" w:rsidRDefault="009362E8">
            <w:pPr>
              <w:pStyle w:val="Jin0"/>
              <w:spacing w:after="0" w:line="240" w:lineRule="auto"/>
              <w:ind w:firstLine="620"/>
            </w:pPr>
            <w:r>
              <w:t>Bankovní spojení:</w:t>
            </w:r>
          </w:p>
        </w:tc>
        <w:tc>
          <w:tcPr>
            <w:tcW w:w="7103" w:type="dxa"/>
            <w:shd w:val="clear" w:color="auto" w:fill="FFFFFF"/>
            <w:vAlign w:val="bottom"/>
          </w:tcPr>
          <w:p w14:paraId="293890D1" w14:textId="77777777" w:rsidR="00CA1C8B" w:rsidRDefault="009362E8">
            <w:pPr>
              <w:pStyle w:val="Jin0"/>
              <w:spacing w:after="0" w:line="240" w:lineRule="auto"/>
            </w:pPr>
            <w:r>
              <w:t>Komerční banka, a.s.</w:t>
            </w:r>
          </w:p>
        </w:tc>
      </w:tr>
      <w:tr w:rsidR="00CA1C8B" w14:paraId="191F343C" w14:textId="77777777">
        <w:trPr>
          <w:trHeight w:hRule="exact" w:val="670"/>
          <w:jc w:val="center"/>
        </w:trPr>
        <w:tc>
          <w:tcPr>
            <w:tcW w:w="2329" w:type="dxa"/>
            <w:shd w:val="clear" w:color="auto" w:fill="FFFFFF"/>
            <w:vAlign w:val="bottom"/>
          </w:tcPr>
          <w:p w14:paraId="141250C3" w14:textId="77777777" w:rsidR="00CA1C8B" w:rsidRDefault="009362E8">
            <w:pPr>
              <w:pStyle w:val="Jin0"/>
              <w:spacing w:line="240" w:lineRule="auto"/>
              <w:ind w:firstLine="620"/>
            </w:pPr>
            <w:r>
              <w:t>Číslo účtu:</w:t>
            </w:r>
          </w:p>
          <w:p w14:paraId="1DB11319" w14:textId="77777777" w:rsidR="00CA1C8B" w:rsidRDefault="009362E8">
            <w:pPr>
              <w:pStyle w:val="Jin0"/>
              <w:spacing w:after="0" w:line="240" w:lineRule="auto"/>
            </w:pPr>
            <w:r>
              <w:t xml:space="preserve">dále jen </w:t>
            </w:r>
            <w:r>
              <w:rPr>
                <w:b/>
                <w:bCs/>
              </w:rPr>
              <w:t>„Partner“</w:t>
            </w:r>
          </w:p>
        </w:tc>
        <w:tc>
          <w:tcPr>
            <w:tcW w:w="7103" w:type="dxa"/>
            <w:shd w:val="clear" w:color="auto" w:fill="FFFFFF"/>
          </w:tcPr>
          <w:p w14:paraId="2D3659C9" w14:textId="77777777" w:rsidR="00CA1C8B" w:rsidRDefault="009362E8">
            <w:pPr>
              <w:pStyle w:val="Jin0"/>
              <w:spacing w:after="0" w:line="240" w:lineRule="auto"/>
            </w:pPr>
            <w:r>
              <w:t>100736621/0100</w:t>
            </w:r>
          </w:p>
        </w:tc>
      </w:tr>
    </w:tbl>
    <w:p w14:paraId="5D23AED2" w14:textId="77777777" w:rsidR="00CA1C8B" w:rsidRDefault="00CA1C8B">
      <w:pPr>
        <w:spacing w:after="339" w:line="1" w:lineRule="exact"/>
      </w:pPr>
    </w:p>
    <w:p w14:paraId="3CF6A400" w14:textId="77777777" w:rsidR="00CA1C8B" w:rsidRDefault="009362E8">
      <w:pPr>
        <w:pStyle w:val="Zkladntext1"/>
        <w:spacing w:after="340" w:line="257" w:lineRule="auto"/>
      </w:pPr>
      <w:r>
        <w:t>(Partner a PRE jsou dále v textu individuálně označováni jako „Smluvní strana” a společně jako „Smluvní strany")</w:t>
      </w:r>
    </w:p>
    <w:p w14:paraId="5CFE7B8D" w14:textId="77777777" w:rsidR="00CA1C8B" w:rsidRDefault="009362E8">
      <w:pPr>
        <w:pStyle w:val="Nadpis50"/>
        <w:keepNext/>
        <w:keepLines/>
        <w:numPr>
          <w:ilvl w:val="0"/>
          <w:numId w:val="1"/>
        </w:numPr>
        <w:tabs>
          <w:tab w:val="left" w:pos="563"/>
        </w:tabs>
        <w:spacing w:after="120" w:line="221" w:lineRule="auto"/>
      </w:pPr>
      <w:bookmarkStart w:id="3" w:name="bookmark8"/>
      <w:bookmarkStart w:id="4" w:name="bookmark6"/>
      <w:bookmarkStart w:id="5" w:name="bookmark7"/>
      <w:bookmarkStart w:id="6" w:name="bookmark9"/>
      <w:bookmarkEnd w:id="3"/>
      <w:r>
        <w:t>Preambule</w:t>
      </w:r>
      <w:bookmarkEnd w:id="4"/>
      <w:bookmarkEnd w:id="5"/>
      <w:bookmarkEnd w:id="6"/>
    </w:p>
    <w:p w14:paraId="29D6AB1D" w14:textId="77777777" w:rsidR="00CA1C8B" w:rsidRDefault="009362E8">
      <w:pPr>
        <w:pStyle w:val="Zkladntext1"/>
        <w:numPr>
          <w:ilvl w:val="1"/>
          <w:numId w:val="1"/>
        </w:numPr>
        <w:tabs>
          <w:tab w:val="left" w:pos="563"/>
        </w:tabs>
        <w:spacing w:after="340" w:line="254" w:lineRule="auto"/>
        <w:ind w:left="560" w:hanging="560"/>
      </w:pPr>
      <w:bookmarkStart w:id="7" w:name="bookmark10"/>
      <w:bookmarkEnd w:id="7"/>
      <w:r>
        <w:t xml:space="preserve">PRE je součástí energetické skupiny s dlouholetou tradicí a je významným obchodníkem s energiemi na českém trhu. PRE mimo jiné provozuje rozsáhlou a stále se rozšiřující sít veřejně přístupných dobíječích stanic (dále také jen „DS“) určených k dobíjení elektromobilních dopravních prostředků, provozovanou pod označením </w:t>
      </w:r>
      <w:proofErr w:type="spellStart"/>
      <w:r>
        <w:t>PREpoint</w:t>
      </w:r>
      <w:proofErr w:type="spellEnd"/>
      <w:r>
        <w:t>.</w:t>
      </w:r>
    </w:p>
    <w:p w14:paraId="2B6F37AD" w14:textId="77777777" w:rsidR="00CA1C8B" w:rsidRDefault="009362E8">
      <w:pPr>
        <w:pStyle w:val="Zkladntext1"/>
        <w:numPr>
          <w:ilvl w:val="1"/>
          <w:numId w:val="1"/>
        </w:numPr>
        <w:tabs>
          <w:tab w:val="left" w:pos="561"/>
        </w:tabs>
        <w:spacing w:after="100"/>
        <w:ind w:left="540" w:hanging="540"/>
        <w:jc w:val="both"/>
      </w:pPr>
      <w:bookmarkStart w:id="8" w:name="bookmark11"/>
      <w:bookmarkEnd w:id="8"/>
      <w:r>
        <w:t xml:space="preserve">Partner je společností, která zpracovává projekt s názvem „Rozvoj veřejné dobíječi infrastruktury v kontextu </w:t>
      </w:r>
      <w:r>
        <w:lastRenderedPageBreak/>
        <w:t xml:space="preserve">zajištění dopravní obsluhy a zohlednění dopravně inženýrských parametrů“. Partner provozuje IT Aplikace / webové stránky / služby. Partner hodlá využívat údaje o DS v síti </w:t>
      </w:r>
      <w:proofErr w:type="spellStart"/>
      <w:r>
        <w:t>PREpoint</w:t>
      </w:r>
      <w:proofErr w:type="spellEnd"/>
      <w:r>
        <w:t xml:space="preserve"> za účelem rozvoje elektromobility.</w:t>
      </w:r>
    </w:p>
    <w:p w14:paraId="64B7ADE7" w14:textId="44AFC1C8" w:rsidR="00CA1C8B" w:rsidRDefault="009362E8">
      <w:pPr>
        <w:pStyle w:val="Zkladntext1"/>
        <w:numPr>
          <w:ilvl w:val="1"/>
          <w:numId w:val="1"/>
        </w:numPr>
        <w:tabs>
          <w:tab w:val="left" w:pos="561"/>
        </w:tabs>
        <w:spacing w:after="340" w:line="254" w:lineRule="auto"/>
        <w:ind w:left="540" w:hanging="540"/>
        <w:jc w:val="both"/>
      </w:pPr>
      <w:bookmarkStart w:id="9" w:name="bookmark12"/>
      <w:bookmarkEnd w:id="9"/>
      <w:r>
        <w:t xml:space="preserve">Smluvní strany uzavírají tuto smlouvu s cílem zavést a udržet vzájemně výhodný systém předávání vybraných údajů o DS zahrnutých všiti </w:t>
      </w:r>
      <w:proofErr w:type="spellStart"/>
      <w:r>
        <w:t>PREpoint</w:t>
      </w:r>
      <w:proofErr w:type="spellEnd"/>
      <w:r>
        <w:t xml:space="preserve"> k</w:t>
      </w:r>
      <w:r w:rsidR="00FF6271">
        <w:t xml:space="preserve"> </w:t>
      </w:r>
      <w:r>
        <w:t>využití Partnerem k výše uvedenému účelu.</w:t>
      </w:r>
    </w:p>
    <w:p w14:paraId="759770C0" w14:textId="77777777" w:rsidR="00CA1C8B" w:rsidRDefault="009362E8">
      <w:pPr>
        <w:pStyle w:val="Nadpis50"/>
        <w:keepNext/>
        <w:keepLines/>
        <w:numPr>
          <w:ilvl w:val="0"/>
          <w:numId w:val="1"/>
        </w:numPr>
        <w:tabs>
          <w:tab w:val="left" w:pos="561"/>
        </w:tabs>
        <w:spacing w:after="100"/>
        <w:jc w:val="both"/>
      </w:pPr>
      <w:bookmarkStart w:id="10" w:name="bookmark15"/>
      <w:bookmarkStart w:id="11" w:name="bookmark13"/>
      <w:bookmarkStart w:id="12" w:name="bookmark14"/>
      <w:bookmarkStart w:id="13" w:name="bookmark16"/>
      <w:bookmarkEnd w:id="10"/>
      <w:r>
        <w:t>Předmět smlouvy</w:t>
      </w:r>
      <w:bookmarkEnd w:id="11"/>
      <w:bookmarkEnd w:id="12"/>
      <w:bookmarkEnd w:id="13"/>
    </w:p>
    <w:p w14:paraId="4DCD5CED" w14:textId="77777777" w:rsidR="00CA1C8B" w:rsidRDefault="009362E8">
      <w:pPr>
        <w:pStyle w:val="Zkladntext1"/>
        <w:numPr>
          <w:ilvl w:val="1"/>
          <w:numId w:val="1"/>
        </w:numPr>
        <w:tabs>
          <w:tab w:val="left" w:pos="561"/>
        </w:tabs>
        <w:spacing w:after="100" w:line="254" w:lineRule="auto"/>
        <w:ind w:left="540" w:hanging="540"/>
        <w:jc w:val="both"/>
      </w:pPr>
      <w:bookmarkStart w:id="14" w:name="bookmark17"/>
      <w:bookmarkEnd w:id="14"/>
      <w:r>
        <w:t xml:space="preserve">PRE se zavazuje po dobu trvání této smlouvy </w:t>
      </w:r>
      <w:r>
        <w:rPr>
          <w:b/>
          <w:bCs/>
        </w:rPr>
        <w:t xml:space="preserve">předávat Partnerovi údaje </w:t>
      </w:r>
      <w:r>
        <w:t xml:space="preserve">o DS v síti </w:t>
      </w:r>
      <w:proofErr w:type="spellStart"/>
      <w:r>
        <w:t>PREpoint</w:t>
      </w:r>
      <w:proofErr w:type="spellEnd"/>
      <w:r>
        <w:t xml:space="preserve"> (dále také jen </w:t>
      </w:r>
      <w:r>
        <w:rPr>
          <w:b/>
          <w:bCs/>
        </w:rPr>
        <w:t xml:space="preserve">„Údaje“) </w:t>
      </w:r>
      <w:r>
        <w:t xml:space="preserve">v rozsahu a způsoby stanovenými níže a </w:t>
      </w:r>
      <w:r>
        <w:rPr>
          <w:b/>
          <w:bCs/>
        </w:rPr>
        <w:t xml:space="preserve">udělit Partnerovi licenci </w:t>
      </w:r>
      <w:r>
        <w:t>k užití Údajů v rozsahu stanoveném touto smlouvou ke sjednanému účelu.</w:t>
      </w:r>
    </w:p>
    <w:p w14:paraId="5A72CE95" w14:textId="77777777" w:rsidR="00CA1C8B" w:rsidRDefault="009362E8">
      <w:pPr>
        <w:pStyle w:val="Zkladntext1"/>
        <w:numPr>
          <w:ilvl w:val="1"/>
          <w:numId w:val="1"/>
        </w:numPr>
        <w:tabs>
          <w:tab w:val="left" w:pos="561"/>
        </w:tabs>
        <w:spacing w:after="100"/>
        <w:ind w:left="540" w:hanging="540"/>
        <w:jc w:val="both"/>
      </w:pPr>
      <w:bookmarkStart w:id="15" w:name="bookmark18"/>
      <w:bookmarkEnd w:id="15"/>
      <w:r>
        <w:t>Partner se zavazuje po dobu trvání této smlouvy poskytovat ve prospěch PRE propagační služby dle této smlouvy.</w:t>
      </w:r>
    </w:p>
    <w:p w14:paraId="016C05D8" w14:textId="77777777" w:rsidR="00CA1C8B" w:rsidRDefault="009362E8">
      <w:pPr>
        <w:pStyle w:val="Zkladntext1"/>
        <w:numPr>
          <w:ilvl w:val="1"/>
          <w:numId w:val="1"/>
        </w:numPr>
        <w:tabs>
          <w:tab w:val="left" w:pos="561"/>
        </w:tabs>
        <w:spacing w:after="100"/>
        <w:ind w:left="540" w:hanging="540"/>
        <w:jc w:val="both"/>
      </w:pPr>
      <w:bookmarkStart w:id="16" w:name="bookmark19"/>
      <w:bookmarkEnd w:id="16"/>
      <w:r>
        <w:t>Smluvní strany se zavazují, že si budou vzájemně poskytovat veškerou součinnost potřebnou ke splnění předmětu této smlouvy. Smluvní strany se zavazují vzájemně spolupracovat a poskytovat si veškeré informace potřebné pro řádné plnění svých závazků. Smluvní strana je povinna informovat druhou Smluvní stranu o veškerých skutečnostech, které jsou nebo mohou být důležité pro řádné plnění této Smlouvy.</w:t>
      </w:r>
    </w:p>
    <w:p w14:paraId="2828EF89" w14:textId="77777777" w:rsidR="00CA1C8B" w:rsidRDefault="009362E8">
      <w:pPr>
        <w:pStyle w:val="Zkladntext1"/>
        <w:numPr>
          <w:ilvl w:val="1"/>
          <w:numId w:val="1"/>
        </w:numPr>
        <w:tabs>
          <w:tab w:val="left" w:pos="561"/>
        </w:tabs>
        <w:spacing w:after="340"/>
      </w:pPr>
      <w:bookmarkStart w:id="17" w:name="bookmark20"/>
      <w:bookmarkEnd w:id="17"/>
      <w:r>
        <w:t>Předmětem této smlouvy není předávání ani zpracování osobních údajů.</w:t>
      </w:r>
    </w:p>
    <w:p w14:paraId="457A19DC" w14:textId="77777777" w:rsidR="00CA1C8B" w:rsidRDefault="009362E8">
      <w:pPr>
        <w:pStyle w:val="Nadpis50"/>
        <w:keepNext/>
        <w:keepLines/>
        <w:numPr>
          <w:ilvl w:val="0"/>
          <w:numId w:val="1"/>
        </w:numPr>
        <w:tabs>
          <w:tab w:val="left" w:pos="561"/>
        </w:tabs>
        <w:spacing w:after="100"/>
      </w:pPr>
      <w:bookmarkStart w:id="18" w:name="bookmark23"/>
      <w:bookmarkStart w:id="19" w:name="bookmark21"/>
      <w:bookmarkStart w:id="20" w:name="bookmark22"/>
      <w:bookmarkStart w:id="21" w:name="bookmark24"/>
      <w:bookmarkEnd w:id="18"/>
      <w:r>
        <w:t>Předávání Údajů</w:t>
      </w:r>
      <w:bookmarkEnd w:id="19"/>
      <w:bookmarkEnd w:id="20"/>
      <w:bookmarkEnd w:id="21"/>
    </w:p>
    <w:p w14:paraId="783EF003" w14:textId="77777777" w:rsidR="00CA1C8B" w:rsidRDefault="009362E8">
      <w:pPr>
        <w:pStyle w:val="Zkladntext1"/>
        <w:numPr>
          <w:ilvl w:val="1"/>
          <w:numId w:val="1"/>
        </w:numPr>
        <w:tabs>
          <w:tab w:val="left" w:pos="561"/>
        </w:tabs>
        <w:spacing w:after="100"/>
        <w:jc w:val="both"/>
      </w:pPr>
      <w:bookmarkStart w:id="22" w:name="bookmark25"/>
      <w:bookmarkEnd w:id="22"/>
      <w:r>
        <w:t>PRE se zavazuje předávat Partnerovi Údaje alespoň v tomto rozsahu:</w:t>
      </w:r>
    </w:p>
    <w:p w14:paraId="218A9894" w14:textId="77777777" w:rsidR="00CA1C8B" w:rsidRDefault="009362E8">
      <w:pPr>
        <w:pStyle w:val="Zkladntext1"/>
        <w:numPr>
          <w:ilvl w:val="2"/>
          <w:numId w:val="1"/>
        </w:numPr>
        <w:tabs>
          <w:tab w:val="left" w:pos="1016"/>
        </w:tabs>
        <w:spacing w:after="100"/>
        <w:ind w:firstLine="420"/>
        <w:jc w:val="both"/>
      </w:pPr>
      <w:bookmarkStart w:id="23" w:name="bookmark26"/>
      <w:bookmarkEnd w:id="23"/>
      <w:r>
        <w:t>statické Údaje:</w:t>
      </w:r>
    </w:p>
    <w:p w14:paraId="5D0C3869" w14:textId="77777777" w:rsidR="00CA1C8B" w:rsidRDefault="009362E8">
      <w:pPr>
        <w:pStyle w:val="Zkladntext1"/>
        <w:numPr>
          <w:ilvl w:val="0"/>
          <w:numId w:val="2"/>
        </w:numPr>
        <w:tabs>
          <w:tab w:val="left" w:pos="1694"/>
        </w:tabs>
        <w:spacing w:after="100"/>
        <w:ind w:left="1220"/>
      </w:pPr>
      <w:bookmarkStart w:id="24" w:name="bookmark27"/>
      <w:bookmarkEnd w:id="24"/>
      <w:r>
        <w:t>EVSE ID,</w:t>
      </w:r>
    </w:p>
    <w:p w14:paraId="38DCFB65" w14:textId="77777777" w:rsidR="00CA1C8B" w:rsidRDefault="009362E8">
      <w:pPr>
        <w:pStyle w:val="Zkladntext1"/>
        <w:numPr>
          <w:ilvl w:val="0"/>
          <w:numId w:val="2"/>
        </w:numPr>
        <w:tabs>
          <w:tab w:val="left" w:pos="1694"/>
        </w:tabs>
        <w:spacing w:after="100"/>
        <w:ind w:left="1220"/>
      </w:pPr>
      <w:bookmarkStart w:id="25" w:name="bookmark28"/>
      <w:bookmarkEnd w:id="25"/>
      <w:r>
        <w:t>Adresa DS,</w:t>
      </w:r>
    </w:p>
    <w:p w14:paraId="10A53713" w14:textId="77777777" w:rsidR="00CA1C8B" w:rsidRDefault="009362E8">
      <w:pPr>
        <w:pStyle w:val="Zkladntext1"/>
        <w:numPr>
          <w:ilvl w:val="0"/>
          <w:numId w:val="2"/>
        </w:numPr>
        <w:tabs>
          <w:tab w:val="left" w:pos="1694"/>
        </w:tabs>
        <w:spacing w:after="100"/>
        <w:ind w:left="1160"/>
      </w:pPr>
      <w:bookmarkStart w:id="26" w:name="bookmark29"/>
      <w:bookmarkEnd w:id="26"/>
      <w:r>
        <w:t>GPS souřadnice,</w:t>
      </w:r>
    </w:p>
    <w:p w14:paraId="2D3E7E2A" w14:textId="77777777" w:rsidR="00CA1C8B" w:rsidRDefault="009362E8">
      <w:pPr>
        <w:pStyle w:val="Zkladntext1"/>
        <w:numPr>
          <w:ilvl w:val="0"/>
          <w:numId w:val="2"/>
        </w:numPr>
        <w:tabs>
          <w:tab w:val="left" w:pos="1694"/>
        </w:tabs>
        <w:spacing w:after="100"/>
        <w:ind w:left="1160"/>
      </w:pPr>
      <w:bookmarkStart w:id="27" w:name="bookmark30"/>
      <w:bookmarkEnd w:id="27"/>
      <w:r>
        <w:t>typ a počet konektorů,</w:t>
      </w:r>
    </w:p>
    <w:p w14:paraId="517AD5D1" w14:textId="77777777" w:rsidR="00CA1C8B" w:rsidRDefault="009362E8">
      <w:pPr>
        <w:pStyle w:val="Zkladntext1"/>
        <w:numPr>
          <w:ilvl w:val="0"/>
          <w:numId w:val="2"/>
        </w:numPr>
        <w:tabs>
          <w:tab w:val="left" w:pos="1694"/>
        </w:tabs>
        <w:spacing w:after="100"/>
        <w:ind w:left="1160"/>
      </w:pPr>
      <w:bookmarkStart w:id="28" w:name="bookmark31"/>
      <w:bookmarkEnd w:id="28"/>
      <w:r>
        <w:t>typ stanice;</w:t>
      </w:r>
    </w:p>
    <w:p w14:paraId="7069947B" w14:textId="77777777" w:rsidR="00CA1C8B" w:rsidRDefault="009362E8">
      <w:pPr>
        <w:pStyle w:val="Zkladntext1"/>
        <w:numPr>
          <w:ilvl w:val="2"/>
          <w:numId w:val="1"/>
        </w:numPr>
        <w:tabs>
          <w:tab w:val="left" w:pos="1034"/>
        </w:tabs>
        <w:spacing w:after="100"/>
        <w:ind w:firstLine="420"/>
        <w:jc w:val="both"/>
      </w:pPr>
      <w:bookmarkStart w:id="29" w:name="bookmark32"/>
      <w:bookmarkEnd w:id="29"/>
      <w:r>
        <w:t>dynamické Údaje:</w:t>
      </w:r>
    </w:p>
    <w:p w14:paraId="1D721F8F" w14:textId="77777777" w:rsidR="00CA1C8B" w:rsidRDefault="009362E8">
      <w:pPr>
        <w:pStyle w:val="Zkladntext1"/>
        <w:spacing w:after="100"/>
        <w:ind w:left="1220"/>
      </w:pPr>
      <w:r>
        <w:t>i. status stanice.</w:t>
      </w:r>
    </w:p>
    <w:p w14:paraId="3E316194" w14:textId="77777777" w:rsidR="00CA1C8B" w:rsidRDefault="009362E8">
      <w:pPr>
        <w:pStyle w:val="Zkladntext1"/>
        <w:numPr>
          <w:ilvl w:val="1"/>
          <w:numId w:val="1"/>
        </w:numPr>
        <w:tabs>
          <w:tab w:val="left" w:pos="561"/>
        </w:tabs>
        <w:spacing w:after="100"/>
        <w:jc w:val="both"/>
      </w:pPr>
      <w:bookmarkStart w:id="30" w:name="bookmark33"/>
      <w:bookmarkEnd w:id="30"/>
      <w:r>
        <w:t>PRE se zavazuje předávat Partnerovi Údaje tímto způsobem a formou:</w:t>
      </w:r>
    </w:p>
    <w:p w14:paraId="07794030" w14:textId="77777777" w:rsidR="00CA1C8B" w:rsidRDefault="009362E8">
      <w:pPr>
        <w:pStyle w:val="Zkladntext1"/>
        <w:numPr>
          <w:ilvl w:val="2"/>
          <w:numId w:val="1"/>
        </w:numPr>
        <w:tabs>
          <w:tab w:val="left" w:pos="1012"/>
        </w:tabs>
        <w:spacing w:after="100"/>
        <w:ind w:firstLine="420"/>
        <w:jc w:val="both"/>
      </w:pPr>
      <w:bookmarkStart w:id="31" w:name="bookmark34"/>
      <w:bookmarkEnd w:id="31"/>
      <w:r>
        <w:rPr>
          <w:u w:val="single"/>
        </w:rPr>
        <w:t>způsob</w:t>
      </w:r>
      <w:r>
        <w:t xml:space="preserve">: elektronická </w:t>
      </w:r>
      <w:proofErr w:type="gramStart"/>
      <w:r>
        <w:t>výměna - on</w:t>
      </w:r>
      <w:proofErr w:type="gramEnd"/>
      <w:r>
        <w:t>-line zpřístupnění,</w:t>
      </w:r>
    </w:p>
    <w:p w14:paraId="51A0279C" w14:textId="6570EEEC" w:rsidR="00CA1C8B" w:rsidRDefault="009362E8">
      <w:pPr>
        <w:pStyle w:val="Zkladntext1"/>
        <w:numPr>
          <w:ilvl w:val="2"/>
          <w:numId w:val="1"/>
        </w:numPr>
        <w:tabs>
          <w:tab w:val="left" w:pos="1038"/>
        </w:tabs>
        <w:spacing w:after="100"/>
        <w:ind w:firstLine="420"/>
        <w:jc w:val="both"/>
      </w:pPr>
      <w:bookmarkStart w:id="32" w:name="bookmark35"/>
      <w:bookmarkEnd w:id="32"/>
      <w:r>
        <w:rPr>
          <w:u w:val="single"/>
        </w:rPr>
        <w:t>forma</w:t>
      </w:r>
      <w:r>
        <w:t xml:space="preserve">: soubor formátu: </w:t>
      </w:r>
      <w:proofErr w:type="gramStart"/>
      <w:r>
        <w:t>*.</w:t>
      </w:r>
      <w:proofErr w:type="spellStart"/>
      <w:r w:rsidR="00DF4D91">
        <w:t>j</w:t>
      </w:r>
      <w:r>
        <w:t>son</w:t>
      </w:r>
      <w:proofErr w:type="spellEnd"/>
      <w:proofErr w:type="gramEnd"/>
      <w:r>
        <w:t>.</w:t>
      </w:r>
    </w:p>
    <w:p w14:paraId="081C7207" w14:textId="77777777" w:rsidR="00CA1C8B" w:rsidRDefault="009362E8">
      <w:pPr>
        <w:pStyle w:val="Zkladntext1"/>
        <w:numPr>
          <w:ilvl w:val="1"/>
          <w:numId w:val="1"/>
        </w:numPr>
        <w:tabs>
          <w:tab w:val="left" w:pos="561"/>
        </w:tabs>
        <w:spacing w:after="100" w:line="240" w:lineRule="auto"/>
        <w:ind w:left="540" w:hanging="540"/>
        <w:jc w:val="both"/>
      </w:pPr>
      <w:bookmarkStart w:id="33" w:name="bookmark36"/>
      <w:bookmarkEnd w:id="33"/>
      <w:r>
        <w:t>PRE garantuje Partnerovi správnost a aktuálnost Údajů poskytovaných dle této smlouvy v reálném čase.</w:t>
      </w:r>
    </w:p>
    <w:p w14:paraId="464F2EAA" w14:textId="77777777" w:rsidR="00CA1C8B" w:rsidRDefault="009362E8">
      <w:pPr>
        <w:pStyle w:val="Zkladntext1"/>
        <w:numPr>
          <w:ilvl w:val="1"/>
          <w:numId w:val="1"/>
        </w:numPr>
        <w:tabs>
          <w:tab w:val="left" w:pos="561"/>
        </w:tabs>
        <w:spacing w:after="100"/>
        <w:jc w:val="both"/>
      </w:pPr>
      <w:bookmarkStart w:id="34" w:name="bookmark37"/>
      <w:bookmarkEnd w:id="34"/>
      <w:r>
        <w:t>Partner se zavazuje:</w:t>
      </w:r>
    </w:p>
    <w:p w14:paraId="66BE0B78" w14:textId="77777777" w:rsidR="00CA1C8B" w:rsidRDefault="009362E8">
      <w:pPr>
        <w:pStyle w:val="Zkladntext1"/>
        <w:numPr>
          <w:ilvl w:val="2"/>
          <w:numId w:val="1"/>
        </w:numPr>
        <w:tabs>
          <w:tab w:val="left" w:pos="1012"/>
        </w:tabs>
        <w:spacing w:after="100"/>
        <w:ind w:firstLine="420"/>
        <w:jc w:val="both"/>
      </w:pPr>
      <w:bookmarkStart w:id="35" w:name="bookmark38"/>
      <w:bookmarkEnd w:id="35"/>
      <w:r>
        <w:t>využívat Údaje pouze k účelu uvedenému v odst. 1.2. této smlouvy;</w:t>
      </w:r>
    </w:p>
    <w:p w14:paraId="23CAE106" w14:textId="77777777" w:rsidR="00CA1C8B" w:rsidRDefault="009362E8">
      <w:pPr>
        <w:pStyle w:val="Zkladntext1"/>
        <w:numPr>
          <w:ilvl w:val="2"/>
          <w:numId w:val="1"/>
        </w:numPr>
        <w:tabs>
          <w:tab w:val="left" w:pos="1038"/>
        </w:tabs>
        <w:spacing w:after="100"/>
        <w:ind w:firstLine="420"/>
        <w:jc w:val="both"/>
      </w:pPr>
      <w:bookmarkStart w:id="36" w:name="bookmark39"/>
      <w:bookmarkEnd w:id="36"/>
      <w:r>
        <w:t>zajistit pravidelný odběr Údajů předaných výše sjednaným způsobem.</w:t>
      </w:r>
    </w:p>
    <w:p w14:paraId="39276245" w14:textId="77777777" w:rsidR="00CA1C8B" w:rsidRDefault="009362E8">
      <w:pPr>
        <w:pStyle w:val="Zkladntext1"/>
        <w:numPr>
          <w:ilvl w:val="2"/>
          <w:numId w:val="1"/>
        </w:numPr>
        <w:tabs>
          <w:tab w:val="left" w:pos="1038"/>
        </w:tabs>
        <w:spacing w:after="100"/>
        <w:ind w:firstLine="420"/>
      </w:pPr>
      <w:bookmarkStart w:id="37" w:name="bookmark40"/>
      <w:bookmarkEnd w:id="37"/>
      <w:r>
        <w:t>užívat Údaje řádně v rozsahu licence udělené touto smlouvou.</w:t>
      </w:r>
    </w:p>
    <w:p w14:paraId="36F1C8A9" w14:textId="77777777" w:rsidR="00CA1C8B" w:rsidRDefault="009362E8">
      <w:pPr>
        <w:pStyle w:val="Zkladntext1"/>
        <w:numPr>
          <w:ilvl w:val="1"/>
          <w:numId w:val="1"/>
        </w:numPr>
        <w:tabs>
          <w:tab w:val="left" w:pos="561"/>
        </w:tabs>
        <w:spacing w:after="100"/>
        <w:ind w:left="540" w:hanging="540"/>
        <w:jc w:val="both"/>
      </w:pPr>
      <w:bookmarkStart w:id="38" w:name="bookmark41"/>
      <w:bookmarkEnd w:id="38"/>
      <w:r>
        <w:t>V případě, že se sjednaným účelem předávání Údajů Partnerovi přímo souvisí další zveřejňování těchto Údajů Partnerem nebo předávání třetím osobám, zavazuje se Partner dále:</w:t>
      </w:r>
    </w:p>
    <w:p w14:paraId="74ABBBD4" w14:textId="77777777" w:rsidR="00CA1C8B" w:rsidRDefault="009362E8">
      <w:pPr>
        <w:pStyle w:val="Zkladntext1"/>
        <w:numPr>
          <w:ilvl w:val="2"/>
          <w:numId w:val="1"/>
        </w:numPr>
        <w:tabs>
          <w:tab w:val="left" w:pos="1012"/>
        </w:tabs>
        <w:spacing w:after="100"/>
        <w:ind w:firstLine="420"/>
        <w:jc w:val="both"/>
      </w:pPr>
      <w:bookmarkStart w:id="39" w:name="bookmark42"/>
      <w:bookmarkEnd w:id="39"/>
      <w:r>
        <w:t>uvádět PRE jako zdroj získání Údajů;</w:t>
      </w:r>
    </w:p>
    <w:p w14:paraId="7B51BC4F" w14:textId="77777777" w:rsidR="00CA1C8B" w:rsidRDefault="009362E8">
      <w:pPr>
        <w:pStyle w:val="Zkladntext1"/>
        <w:numPr>
          <w:ilvl w:val="2"/>
          <w:numId w:val="1"/>
        </w:numPr>
        <w:tabs>
          <w:tab w:val="left" w:pos="1034"/>
        </w:tabs>
        <w:spacing w:after="100"/>
        <w:ind w:firstLine="420"/>
        <w:jc w:val="both"/>
      </w:pPr>
      <w:bookmarkStart w:id="40" w:name="bookmark43"/>
      <w:bookmarkEnd w:id="40"/>
      <w:r>
        <w:t>uvádět dobu poslední aktualizace Údajů.</w:t>
      </w:r>
    </w:p>
    <w:p w14:paraId="09B20C21" w14:textId="77777777" w:rsidR="00CA1C8B" w:rsidRDefault="009362E8">
      <w:pPr>
        <w:pStyle w:val="Nadpis50"/>
        <w:keepNext/>
        <w:keepLines/>
        <w:numPr>
          <w:ilvl w:val="0"/>
          <w:numId w:val="1"/>
        </w:numPr>
        <w:tabs>
          <w:tab w:val="left" w:pos="573"/>
        </w:tabs>
        <w:spacing w:after="120"/>
        <w:jc w:val="both"/>
      </w:pPr>
      <w:bookmarkStart w:id="41" w:name="bookmark46"/>
      <w:bookmarkStart w:id="42" w:name="bookmark44"/>
      <w:bookmarkStart w:id="43" w:name="bookmark45"/>
      <w:bookmarkStart w:id="44" w:name="bookmark47"/>
      <w:bookmarkEnd w:id="41"/>
      <w:r>
        <w:t>Udělení licence</w:t>
      </w:r>
      <w:bookmarkEnd w:id="42"/>
      <w:bookmarkEnd w:id="43"/>
      <w:bookmarkEnd w:id="44"/>
    </w:p>
    <w:p w14:paraId="0E87F0FC" w14:textId="77777777" w:rsidR="00CA1C8B" w:rsidRDefault="009362E8">
      <w:pPr>
        <w:pStyle w:val="Zkladntext1"/>
        <w:numPr>
          <w:ilvl w:val="1"/>
          <w:numId w:val="1"/>
        </w:numPr>
        <w:tabs>
          <w:tab w:val="left" w:pos="573"/>
        </w:tabs>
        <w:jc w:val="both"/>
      </w:pPr>
      <w:bookmarkStart w:id="45" w:name="bookmark48"/>
      <w:bookmarkEnd w:id="45"/>
      <w:r>
        <w:t>Smluvní strany prohlašují za nesporné, že Údaje jsou nehmotným statkem, který náleží PRE.</w:t>
      </w:r>
    </w:p>
    <w:p w14:paraId="1034A05B" w14:textId="77777777" w:rsidR="00CA1C8B" w:rsidRDefault="009362E8">
      <w:pPr>
        <w:pStyle w:val="Zkladntext1"/>
        <w:numPr>
          <w:ilvl w:val="1"/>
          <w:numId w:val="1"/>
        </w:numPr>
        <w:tabs>
          <w:tab w:val="left" w:pos="573"/>
        </w:tabs>
        <w:ind w:left="560" w:hanging="560"/>
        <w:jc w:val="both"/>
      </w:pPr>
      <w:bookmarkStart w:id="46" w:name="bookmark49"/>
      <w:bookmarkEnd w:id="46"/>
      <w:r>
        <w:t>PRE touto smlouvou poskytuje Partnerovi licenci k užití Údajů předávaných na základě této smlouvy a Partner tuto licenci přijímá a zavazuje tuto licenci řádně vykonávat, v tomto rozsahu:</w:t>
      </w:r>
    </w:p>
    <w:p w14:paraId="4DF88E5C" w14:textId="77777777" w:rsidR="00CA1C8B" w:rsidRDefault="009362E8">
      <w:pPr>
        <w:pStyle w:val="Zkladntext1"/>
        <w:numPr>
          <w:ilvl w:val="2"/>
          <w:numId w:val="1"/>
        </w:numPr>
        <w:tabs>
          <w:tab w:val="left" w:pos="1006"/>
        </w:tabs>
        <w:ind w:firstLine="420"/>
        <w:jc w:val="both"/>
      </w:pPr>
      <w:bookmarkStart w:id="47" w:name="bookmark50"/>
      <w:bookmarkEnd w:id="47"/>
      <w:r>
        <w:t>nevýhradní licence,</w:t>
      </w:r>
    </w:p>
    <w:p w14:paraId="537A4E51" w14:textId="77777777" w:rsidR="00CA1C8B" w:rsidRDefault="009362E8">
      <w:pPr>
        <w:pStyle w:val="Zkladntext1"/>
        <w:numPr>
          <w:ilvl w:val="2"/>
          <w:numId w:val="1"/>
        </w:numPr>
        <w:tabs>
          <w:tab w:val="left" w:pos="1026"/>
        </w:tabs>
        <w:ind w:firstLine="420"/>
        <w:jc w:val="both"/>
      </w:pPr>
      <w:bookmarkStart w:id="48" w:name="bookmark51"/>
      <w:bookmarkEnd w:id="48"/>
      <w:r>
        <w:t>licence časově omezená na dobu trvání této smlouvy,</w:t>
      </w:r>
    </w:p>
    <w:p w14:paraId="161B4CAD" w14:textId="77777777" w:rsidR="00CA1C8B" w:rsidRDefault="009362E8">
      <w:pPr>
        <w:pStyle w:val="Zkladntext1"/>
        <w:numPr>
          <w:ilvl w:val="2"/>
          <w:numId w:val="1"/>
        </w:numPr>
        <w:tabs>
          <w:tab w:val="left" w:pos="1033"/>
        </w:tabs>
        <w:ind w:firstLine="420"/>
        <w:jc w:val="both"/>
      </w:pPr>
      <w:bookmarkStart w:id="49" w:name="bookmark52"/>
      <w:bookmarkEnd w:id="49"/>
      <w:r>
        <w:lastRenderedPageBreak/>
        <w:t>licence k užití výhradně ke sjednanému účelu,</w:t>
      </w:r>
    </w:p>
    <w:p w14:paraId="305934C2" w14:textId="77777777" w:rsidR="00CA1C8B" w:rsidRDefault="009362E8">
      <w:pPr>
        <w:pStyle w:val="Zkladntext1"/>
        <w:numPr>
          <w:ilvl w:val="2"/>
          <w:numId w:val="1"/>
        </w:numPr>
        <w:tabs>
          <w:tab w:val="left" w:pos="1033"/>
        </w:tabs>
        <w:ind w:firstLine="420"/>
        <w:jc w:val="both"/>
      </w:pPr>
      <w:bookmarkStart w:id="50" w:name="bookmark53"/>
      <w:bookmarkEnd w:id="50"/>
      <w:r>
        <w:t>územní rozsah: ČR,</w:t>
      </w:r>
    </w:p>
    <w:p w14:paraId="6949BAE2" w14:textId="77777777" w:rsidR="00CA1C8B" w:rsidRDefault="009362E8">
      <w:pPr>
        <w:pStyle w:val="Zkladntext1"/>
        <w:numPr>
          <w:ilvl w:val="2"/>
          <w:numId w:val="1"/>
        </w:numPr>
        <w:tabs>
          <w:tab w:val="left" w:pos="1053"/>
        </w:tabs>
        <w:ind w:left="980" w:hanging="540"/>
        <w:jc w:val="both"/>
      </w:pPr>
      <w:bookmarkStart w:id="51" w:name="bookmark54"/>
      <w:bookmarkEnd w:id="51"/>
      <w:r>
        <w:t>partner není dále oprávněn udělovat licenci třetím osobám (poskytovat sublicence) bez předchozího písemného souhlasu PRE,</w:t>
      </w:r>
    </w:p>
    <w:p w14:paraId="4C936A16" w14:textId="77777777" w:rsidR="00CA1C8B" w:rsidRDefault="009362E8">
      <w:pPr>
        <w:pStyle w:val="Zkladntext1"/>
        <w:numPr>
          <w:ilvl w:val="2"/>
          <w:numId w:val="1"/>
        </w:numPr>
        <w:tabs>
          <w:tab w:val="left" w:pos="1053"/>
        </w:tabs>
        <w:spacing w:line="240" w:lineRule="auto"/>
        <w:ind w:left="980" w:hanging="540"/>
        <w:jc w:val="both"/>
      </w:pPr>
      <w:bookmarkStart w:id="52" w:name="bookmark55"/>
      <w:bookmarkEnd w:id="52"/>
      <w:r>
        <w:t>partner je oprávněn Údaje dále zpracovávat výlučně ve smyslu jejich sloučení s jinými údaji anebo zpracování do databáze.</w:t>
      </w:r>
    </w:p>
    <w:p w14:paraId="4E599CBE" w14:textId="77777777" w:rsidR="00CA1C8B" w:rsidRDefault="009362E8">
      <w:pPr>
        <w:pStyle w:val="Zkladntext1"/>
        <w:numPr>
          <w:ilvl w:val="1"/>
          <w:numId w:val="1"/>
        </w:numPr>
        <w:tabs>
          <w:tab w:val="left" w:pos="573"/>
        </w:tabs>
        <w:spacing w:after="360"/>
        <w:jc w:val="both"/>
      </w:pPr>
      <w:bookmarkStart w:id="53" w:name="bookmark56"/>
      <w:bookmarkEnd w:id="53"/>
      <w:r>
        <w:t>Licence je udělena okamžikem předání údajů Partnerovi dle této smlouvy.</w:t>
      </w:r>
    </w:p>
    <w:p w14:paraId="5EDEFB30" w14:textId="77777777" w:rsidR="00CA1C8B" w:rsidRDefault="009362E8">
      <w:pPr>
        <w:pStyle w:val="Nadpis50"/>
        <w:keepNext/>
        <w:keepLines/>
        <w:numPr>
          <w:ilvl w:val="0"/>
          <w:numId w:val="1"/>
        </w:numPr>
        <w:tabs>
          <w:tab w:val="left" w:pos="573"/>
        </w:tabs>
        <w:spacing w:after="120"/>
        <w:jc w:val="both"/>
      </w:pPr>
      <w:bookmarkStart w:id="54" w:name="bookmark59"/>
      <w:bookmarkStart w:id="55" w:name="bookmark57"/>
      <w:bookmarkStart w:id="56" w:name="bookmark58"/>
      <w:bookmarkStart w:id="57" w:name="bookmark60"/>
      <w:bookmarkEnd w:id="54"/>
      <w:r>
        <w:t>Závazek propagace</w:t>
      </w:r>
      <w:bookmarkEnd w:id="55"/>
      <w:bookmarkEnd w:id="56"/>
      <w:bookmarkEnd w:id="57"/>
    </w:p>
    <w:p w14:paraId="2B575C4C" w14:textId="77777777" w:rsidR="00CA1C8B" w:rsidRDefault="009362E8">
      <w:pPr>
        <w:pStyle w:val="Zkladntext1"/>
        <w:numPr>
          <w:ilvl w:val="1"/>
          <w:numId w:val="1"/>
        </w:numPr>
        <w:tabs>
          <w:tab w:val="left" w:pos="573"/>
        </w:tabs>
        <w:jc w:val="both"/>
      </w:pPr>
      <w:bookmarkStart w:id="58" w:name="bookmark61"/>
      <w:bookmarkEnd w:id="58"/>
      <w:r>
        <w:t>Partner se zavazuje poskytovat PRE reklamní plnění a propagaci v tomto rozsahu:</w:t>
      </w:r>
    </w:p>
    <w:p w14:paraId="517C8CC0" w14:textId="77777777" w:rsidR="00CA1C8B" w:rsidRDefault="009362E8">
      <w:pPr>
        <w:pStyle w:val="Zkladntext1"/>
        <w:numPr>
          <w:ilvl w:val="2"/>
          <w:numId w:val="1"/>
        </w:numPr>
        <w:tabs>
          <w:tab w:val="left" w:pos="1006"/>
        </w:tabs>
        <w:ind w:firstLine="420"/>
        <w:jc w:val="both"/>
      </w:pPr>
      <w:bookmarkStart w:id="59" w:name="bookmark62"/>
      <w:bookmarkEnd w:id="59"/>
      <w:r>
        <w:t>Umístění loga v aplikaci</w:t>
      </w:r>
    </w:p>
    <w:p w14:paraId="323083FB" w14:textId="77777777" w:rsidR="00CA1C8B" w:rsidRDefault="009362E8">
      <w:pPr>
        <w:pStyle w:val="Zkladntext1"/>
        <w:numPr>
          <w:ilvl w:val="2"/>
          <w:numId w:val="1"/>
        </w:numPr>
        <w:tabs>
          <w:tab w:val="left" w:pos="1022"/>
        </w:tabs>
        <w:ind w:firstLine="420"/>
        <w:jc w:val="both"/>
      </w:pPr>
      <w:bookmarkStart w:id="60" w:name="bookmark63"/>
      <w:bookmarkEnd w:id="60"/>
      <w:r>
        <w:t>Umístění loga na webových stránkách</w:t>
      </w:r>
    </w:p>
    <w:p w14:paraId="0A44130C" w14:textId="77777777" w:rsidR="00CA1C8B" w:rsidRDefault="009362E8">
      <w:pPr>
        <w:pStyle w:val="Zkladntext1"/>
        <w:numPr>
          <w:ilvl w:val="1"/>
          <w:numId w:val="1"/>
        </w:numPr>
        <w:tabs>
          <w:tab w:val="left" w:pos="573"/>
        </w:tabs>
        <w:ind w:left="560" w:hanging="560"/>
        <w:jc w:val="both"/>
      </w:pPr>
      <w:bookmarkStart w:id="61" w:name="bookmark64"/>
      <w:bookmarkEnd w:id="61"/>
      <w:r>
        <w:t xml:space="preserve">Pro účely plnění závazku Partnera dle tohoto článku smlouvy předá PRE partnerovi označení (ochranná známka či jiné označení) dle specifikace v </w:t>
      </w:r>
      <w:r>
        <w:rPr>
          <w:u w:val="single"/>
        </w:rPr>
        <w:t>příloze č. 1</w:t>
      </w:r>
      <w:r>
        <w:t xml:space="preserve"> této smlouvy, a to v elektronické podobě ve formátu vhodného pro využití dle 5.1.</w:t>
      </w:r>
    </w:p>
    <w:p w14:paraId="709B652F" w14:textId="77777777" w:rsidR="00CA1C8B" w:rsidRDefault="009362E8">
      <w:pPr>
        <w:pStyle w:val="Zkladntext1"/>
        <w:numPr>
          <w:ilvl w:val="1"/>
          <w:numId w:val="1"/>
        </w:numPr>
        <w:tabs>
          <w:tab w:val="left" w:pos="573"/>
        </w:tabs>
        <w:spacing w:line="257" w:lineRule="auto"/>
        <w:ind w:left="560" w:hanging="560"/>
        <w:jc w:val="both"/>
      </w:pPr>
      <w:bookmarkStart w:id="62" w:name="bookmark65"/>
      <w:bookmarkEnd w:id="62"/>
      <w:r>
        <w:t>Před jakýmkoliv užitím označení PRE Partnerem je nutné odsouhlasení tohoto užití ze strany PRE.</w:t>
      </w:r>
    </w:p>
    <w:p w14:paraId="1485B443" w14:textId="77777777" w:rsidR="00CA1C8B" w:rsidRDefault="009362E8">
      <w:pPr>
        <w:pStyle w:val="Zkladntext1"/>
        <w:numPr>
          <w:ilvl w:val="1"/>
          <w:numId w:val="1"/>
        </w:numPr>
        <w:tabs>
          <w:tab w:val="left" w:pos="573"/>
        </w:tabs>
        <w:spacing w:after="360" w:line="254" w:lineRule="auto"/>
        <w:ind w:left="560" w:hanging="560"/>
        <w:jc w:val="both"/>
      </w:pPr>
      <w:bookmarkStart w:id="63" w:name="bookmark66"/>
      <w:bookmarkEnd w:id="63"/>
      <w:r>
        <w:t>Partner se zavazuje, že ochranná známka PRE nebude umisťována v blízkosti loga konkurenčních subjektů podnikajících v oblasti výroby, přenosu, distribuce či obchodu s elektřinou či plynem.</w:t>
      </w:r>
    </w:p>
    <w:p w14:paraId="68612F4D" w14:textId="77777777" w:rsidR="00CA1C8B" w:rsidRDefault="009362E8">
      <w:pPr>
        <w:pStyle w:val="Nadpis50"/>
        <w:keepNext/>
        <w:keepLines/>
        <w:numPr>
          <w:ilvl w:val="0"/>
          <w:numId w:val="1"/>
        </w:numPr>
        <w:tabs>
          <w:tab w:val="left" w:pos="573"/>
        </w:tabs>
        <w:spacing w:after="120"/>
        <w:jc w:val="both"/>
      </w:pPr>
      <w:bookmarkStart w:id="64" w:name="bookmark69"/>
      <w:bookmarkStart w:id="65" w:name="bookmark67"/>
      <w:bookmarkStart w:id="66" w:name="bookmark68"/>
      <w:bookmarkStart w:id="67" w:name="bookmark70"/>
      <w:bookmarkEnd w:id="64"/>
      <w:r>
        <w:t>Odměna a platební podmínky</w:t>
      </w:r>
      <w:bookmarkEnd w:id="65"/>
      <w:bookmarkEnd w:id="66"/>
      <w:bookmarkEnd w:id="67"/>
    </w:p>
    <w:p w14:paraId="73608951" w14:textId="77777777" w:rsidR="00CA1C8B" w:rsidRDefault="009362E8">
      <w:pPr>
        <w:pStyle w:val="Zkladntext1"/>
        <w:numPr>
          <w:ilvl w:val="1"/>
          <w:numId w:val="1"/>
        </w:numPr>
        <w:tabs>
          <w:tab w:val="left" w:pos="573"/>
        </w:tabs>
        <w:spacing w:line="257" w:lineRule="auto"/>
        <w:ind w:left="560" w:hanging="560"/>
        <w:jc w:val="both"/>
      </w:pPr>
      <w:bookmarkStart w:id="68" w:name="bookmark71"/>
      <w:bookmarkEnd w:id="68"/>
      <w:r>
        <w:t>Partner se zavazuje hradit PRE odměnu za předávání Údajů a udělení licence dle této smlouvy takto:</w:t>
      </w:r>
    </w:p>
    <w:p w14:paraId="5980DB4A" w14:textId="77777777" w:rsidR="00CA1C8B" w:rsidRDefault="009362E8">
      <w:pPr>
        <w:pStyle w:val="Zkladntext1"/>
        <w:numPr>
          <w:ilvl w:val="2"/>
          <w:numId w:val="1"/>
        </w:numPr>
        <w:tabs>
          <w:tab w:val="left" w:pos="1021"/>
        </w:tabs>
        <w:ind w:left="980" w:hanging="540"/>
        <w:jc w:val="both"/>
      </w:pPr>
      <w:bookmarkStart w:id="69" w:name="bookmark72"/>
      <w:bookmarkEnd w:id="69"/>
      <w:r>
        <w:t xml:space="preserve">Výše odměny je vyjádřena násobkem měsíční sazby odměny ve výši 1.000 Kč za </w:t>
      </w:r>
      <w:proofErr w:type="gramStart"/>
      <w:r>
        <w:t>každý</w:t>
      </w:r>
      <w:proofErr w:type="gramEnd"/>
      <w:r>
        <w:t xml:space="preserve"> byť započatý kalendářní měsíc poskytování předmětného plnění, za které se odměna hradí a počtu kalendářních měsíců poskytování plnění v daném kalendářním roce.</w:t>
      </w:r>
    </w:p>
    <w:p w14:paraId="3F699141" w14:textId="77777777" w:rsidR="00CA1C8B" w:rsidRDefault="009362E8">
      <w:pPr>
        <w:pStyle w:val="Zkladntext1"/>
        <w:numPr>
          <w:ilvl w:val="2"/>
          <w:numId w:val="1"/>
        </w:numPr>
        <w:tabs>
          <w:tab w:val="left" w:pos="1042"/>
        </w:tabs>
        <w:spacing w:after="0"/>
        <w:ind w:left="980" w:hanging="540"/>
        <w:jc w:val="both"/>
      </w:pPr>
      <w:bookmarkStart w:id="70" w:name="bookmark73"/>
      <w:bookmarkEnd w:id="70"/>
      <w:r>
        <w:rPr>
          <w:shd w:val="clear" w:color="auto" w:fill="FFFFFF"/>
        </w:rPr>
        <w:t xml:space="preserve">Odměna se hradí 1 x za kalendářní rok zpětně na základě faktury vystavené po 31.12. příslušného kalendářního roku, případně po skončení trvání této smlouvy, </w:t>
      </w:r>
      <w:proofErr w:type="gramStart"/>
      <w:r>
        <w:rPr>
          <w:shd w:val="clear" w:color="auto" w:fill="FFFFFF"/>
        </w:rPr>
        <w:t>skončí</w:t>
      </w:r>
      <w:proofErr w:type="gramEnd"/>
      <w:r>
        <w:rPr>
          <w:shd w:val="clear" w:color="auto" w:fill="FFFFFF"/>
        </w:rPr>
        <w:t>-li dříve než</w:t>
      </w:r>
    </w:p>
    <w:p w14:paraId="4FF64F9E" w14:textId="77777777" w:rsidR="00CA1C8B" w:rsidRDefault="009362E8">
      <w:pPr>
        <w:pStyle w:val="Zkladntext1"/>
        <w:numPr>
          <w:ilvl w:val="0"/>
          <w:numId w:val="3"/>
        </w:numPr>
        <w:tabs>
          <w:tab w:val="left" w:pos="1624"/>
          <w:tab w:val="left" w:pos="1683"/>
        </w:tabs>
        <w:ind w:left="980" w:firstLine="20"/>
        <w:jc w:val="both"/>
      </w:pPr>
      <w:bookmarkStart w:id="71" w:name="bookmark74"/>
      <w:bookmarkEnd w:id="71"/>
      <w:r>
        <w:t>daného kalendářního roku. Tyto dny jsou zároveň dny uskutečnění zdanitelného plnění.</w:t>
      </w:r>
    </w:p>
    <w:p w14:paraId="3759348B" w14:textId="77777777" w:rsidR="00CA1C8B" w:rsidRDefault="009362E8">
      <w:pPr>
        <w:pStyle w:val="Zkladntext1"/>
        <w:numPr>
          <w:ilvl w:val="1"/>
          <w:numId w:val="1"/>
        </w:numPr>
        <w:tabs>
          <w:tab w:val="left" w:pos="573"/>
        </w:tabs>
        <w:spacing w:line="257" w:lineRule="auto"/>
        <w:ind w:left="560" w:hanging="560"/>
        <w:jc w:val="both"/>
      </w:pPr>
      <w:bookmarkStart w:id="72" w:name="bookmark75"/>
      <w:bookmarkEnd w:id="72"/>
      <w:r>
        <w:t>PRE se zavazuje hradit Partnerovi odměnu za poskytování reklamy a propagace dle této smlouvy takto:</w:t>
      </w:r>
    </w:p>
    <w:p w14:paraId="744191A8" w14:textId="77777777" w:rsidR="00CA1C8B" w:rsidRDefault="009362E8">
      <w:pPr>
        <w:pStyle w:val="Zkladntext1"/>
        <w:numPr>
          <w:ilvl w:val="2"/>
          <w:numId w:val="1"/>
        </w:numPr>
        <w:tabs>
          <w:tab w:val="left" w:pos="1024"/>
        </w:tabs>
        <w:ind w:left="980" w:hanging="540"/>
        <w:jc w:val="both"/>
      </w:pPr>
      <w:bookmarkStart w:id="73" w:name="bookmark76"/>
      <w:bookmarkEnd w:id="73"/>
      <w:r>
        <w:t xml:space="preserve">Výše odměny je vyjádřena násobkem měsíční sazby odměny ve výši 1000,- Kč za </w:t>
      </w:r>
      <w:proofErr w:type="gramStart"/>
      <w:r>
        <w:t>každý</w:t>
      </w:r>
      <w:proofErr w:type="gramEnd"/>
      <w:r>
        <w:t xml:space="preserve"> byť započatý kalendářní měsíc poskytování předmětného plnění, za které se odměna hradí a počtu kalendářních měsíců poskytování plnění v daném kalendářním roce.</w:t>
      </w:r>
    </w:p>
    <w:p w14:paraId="127DE015" w14:textId="77777777" w:rsidR="00CA1C8B" w:rsidRDefault="009362E8">
      <w:pPr>
        <w:pStyle w:val="Zkladntext1"/>
        <w:numPr>
          <w:ilvl w:val="2"/>
          <w:numId w:val="1"/>
        </w:numPr>
        <w:tabs>
          <w:tab w:val="left" w:pos="1050"/>
        </w:tabs>
        <w:spacing w:after="0" w:line="257" w:lineRule="auto"/>
        <w:ind w:left="980" w:hanging="540"/>
        <w:jc w:val="both"/>
      </w:pPr>
      <w:bookmarkStart w:id="74" w:name="bookmark77"/>
      <w:bookmarkEnd w:id="74"/>
      <w:r>
        <w:rPr>
          <w:shd w:val="clear" w:color="auto" w:fill="FFFFFF"/>
        </w:rPr>
        <w:t xml:space="preserve">Odměna se hradí 1 x za kalendářní rok zpětně na základě faktury vystavené po 31.12. příslušného kalendářního roku, případně po skončení trvání této smlouvy, </w:t>
      </w:r>
      <w:proofErr w:type="gramStart"/>
      <w:r>
        <w:rPr>
          <w:shd w:val="clear" w:color="auto" w:fill="FFFFFF"/>
        </w:rPr>
        <w:t>skončí</w:t>
      </w:r>
      <w:proofErr w:type="gramEnd"/>
      <w:r>
        <w:rPr>
          <w:shd w:val="clear" w:color="auto" w:fill="FFFFFF"/>
        </w:rPr>
        <w:t>-li dříve než</w:t>
      </w:r>
    </w:p>
    <w:p w14:paraId="020A3776" w14:textId="77777777" w:rsidR="00CA1C8B" w:rsidRDefault="009362E8">
      <w:pPr>
        <w:pStyle w:val="Zkladntext1"/>
        <w:numPr>
          <w:ilvl w:val="0"/>
          <w:numId w:val="4"/>
        </w:numPr>
        <w:tabs>
          <w:tab w:val="left" w:pos="1624"/>
          <w:tab w:val="left" w:pos="1683"/>
        </w:tabs>
        <w:spacing w:line="257" w:lineRule="auto"/>
        <w:ind w:left="980" w:firstLine="20"/>
        <w:jc w:val="both"/>
      </w:pPr>
      <w:bookmarkStart w:id="75" w:name="bookmark78"/>
      <w:bookmarkEnd w:id="75"/>
      <w:r>
        <w:t>daného kalendářního roku. Tyto dny jsou zároveň dny uskutečnění zdanitelného plnění.</w:t>
      </w:r>
    </w:p>
    <w:p w14:paraId="5CFE5553" w14:textId="77777777" w:rsidR="00CA1C8B" w:rsidRDefault="009362E8">
      <w:pPr>
        <w:pStyle w:val="Zkladntext1"/>
        <w:numPr>
          <w:ilvl w:val="2"/>
          <w:numId w:val="1"/>
        </w:numPr>
        <w:tabs>
          <w:tab w:val="left" w:pos="610"/>
        </w:tabs>
        <w:spacing w:after="100"/>
        <w:ind w:firstLine="420"/>
        <w:jc w:val="both"/>
      </w:pPr>
      <w:bookmarkStart w:id="76" w:name="bookmark79"/>
      <w:bookmarkEnd w:id="76"/>
      <w:r>
        <w:t>Smluvní strany se dohodly, že se výše uvedené vzájemné pohledávky dle ustanovení odst. 6.1. a 6.2. budou v každém případě vypořádány započtením. Odměna za plnění bude každou ze smluvních stran vyúčtována fakturou, která bude označena textem "</w:t>
      </w:r>
      <w:proofErr w:type="gramStart"/>
      <w:r>
        <w:t>Neproplácet - reciprocita</w:t>
      </w:r>
      <w:proofErr w:type="gramEnd"/>
      <w:r>
        <w:t>".</w:t>
      </w:r>
    </w:p>
    <w:p w14:paraId="241C387C" w14:textId="77777777" w:rsidR="00CA1C8B" w:rsidRDefault="009362E8">
      <w:pPr>
        <w:pStyle w:val="Zkladntext1"/>
        <w:numPr>
          <w:ilvl w:val="1"/>
          <w:numId w:val="1"/>
        </w:numPr>
        <w:tabs>
          <w:tab w:val="left" w:pos="557"/>
        </w:tabs>
        <w:spacing w:after="100"/>
        <w:jc w:val="both"/>
      </w:pPr>
      <w:bookmarkStart w:id="77" w:name="bookmark80"/>
      <w:bookmarkEnd w:id="77"/>
      <w:r>
        <w:t>K odměně bude připočtena DPH dle platných právních předpisů.</w:t>
      </w:r>
    </w:p>
    <w:p w14:paraId="69AFA3AB" w14:textId="77777777" w:rsidR="00CA1C8B" w:rsidRDefault="009362E8">
      <w:pPr>
        <w:pStyle w:val="Zkladntext1"/>
        <w:numPr>
          <w:ilvl w:val="1"/>
          <w:numId w:val="1"/>
        </w:numPr>
        <w:tabs>
          <w:tab w:val="left" w:pos="557"/>
        </w:tabs>
        <w:spacing w:after="100"/>
        <w:jc w:val="both"/>
      </w:pPr>
      <w:bookmarkStart w:id="78" w:name="bookmark81"/>
      <w:bookmarkEnd w:id="78"/>
      <w:r>
        <w:t>Splatnost odměny činí 14 dní ode dne doručení faktury.</w:t>
      </w:r>
    </w:p>
    <w:p w14:paraId="1226C0EC" w14:textId="77777777" w:rsidR="00CA1C8B" w:rsidRDefault="009362E8">
      <w:pPr>
        <w:pStyle w:val="Zkladntext1"/>
        <w:numPr>
          <w:ilvl w:val="1"/>
          <w:numId w:val="1"/>
        </w:numPr>
        <w:tabs>
          <w:tab w:val="left" w:pos="557"/>
        </w:tabs>
        <w:spacing w:after="100"/>
        <w:ind w:left="600" w:hanging="600"/>
        <w:jc w:val="both"/>
      </w:pPr>
      <w:bookmarkStart w:id="79" w:name="bookmark82"/>
      <w:bookmarkEnd w:id="79"/>
      <w:r>
        <w:t>Číslo bankovního účtu Smluvní strany, které je uvedeno ve smlouvě, je zveřejněno dle § 96 odst. 2 zákona o DPH. V případě, že ke dni platby (§ 109 odst. 2 písm. c) zákona o DPH) nebude tento účet zveřejněn dle § 96 odst. 2 zákona o DPH, je druhá Smluvní strana oprávněna poukázat příslušnou platbu na výše uvedený účet bez DPH a DPH odvést způsobem dle § 109a zákona o DPH. S tímto postupem bude Smluvní strana písemně seznámena. V tomto případě se závazek druhé Smluvní strany ve výši DPH považuje za uhrazený.</w:t>
      </w:r>
    </w:p>
    <w:p w14:paraId="73C3E37D" w14:textId="77777777" w:rsidR="00CA1C8B" w:rsidRDefault="009362E8">
      <w:pPr>
        <w:pStyle w:val="Zkladntext1"/>
        <w:numPr>
          <w:ilvl w:val="1"/>
          <w:numId w:val="1"/>
        </w:numPr>
        <w:tabs>
          <w:tab w:val="left" w:pos="557"/>
        </w:tabs>
        <w:spacing w:after="360"/>
        <w:ind w:left="600" w:hanging="600"/>
        <w:jc w:val="both"/>
      </w:pPr>
      <w:bookmarkStart w:id="80" w:name="bookmark83"/>
      <w:bookmarkEnd w:id="80"/>
      <w:r>
        <w:t xml:space="preserve">V případě, že ke dni zdanitelného plnění bude Smluvní strana uvedena v rejstříku plátců DPH jako nespolehlivý plátce dle § 109 zákona o DPH, stává se druhá Smluvní strana coby příjemce plnění ručitelem za nezaplacenou daň. Druhá Smluvní strana pak může poukázat příslušnou platbu na výše uvedený účet bez DPH a DPH odvést způsobem dle § 109 a zákona o DPH. S tímto postupem bude Smluvní strana </w:t>
      </w:r>
      <w:r>
        <w:lastRenderedPageBreak/>
        <w:t>písemně seznámena. V tomto případě se závazek druhé Smluvní strany ve výši DPH považuje za uhrazený.</w:t>
      </w:r>
    </w:p>
    <w:p w14:paraId="3CFB36BC" w14:textId="77777777" w:rsidR="00CA1C8B" w:rsidRDefault="009362E8">
      <w:pPr>
        <w:pStyle w:val="Nadpis50"/>
        <w:keepNext/>
        <w:keepLines/>
        <w:numPr>
          <w:ilvl w:val="0"/>
          <w:numId w:val="1"/>
        </w:numPr>
        <w:tabs>
          <w:tab w:val="left" w:pos="557"/>
        </w:tabs>
        <w:spacing w:after="100"/>
        <w:jc w:val="both"/>
      </w:pPr>
      <w:bookmarkStart w:id="81" w:name="bookmark86"/>
      <w:bookmarkStart w:id="82" w:name="bookmark84"/>
      <w:bookmarkStart w:id="83" w:name="bookmark85"/>
      <w:bookmarkStart w:id="84" w:name="bookmark87"/>
      <w:bookmarkEnd w:id="81"/>
      <w:r>
        <w:t>Sankční ujednání</w:t>
      </w:r>
      <w:bookmarkEnd w:id="82"/>
      <w:bookmarkEnd w:id="83"/>
      <w:bookmarkEnd w:id="84"/>
    </w:p>
    <w:p w14:paraId="0C6F9BBF" w14:textId="77777777" w:rsidR="00CA1C8B" w:rsidRDefault="009362E8">
      <w:pPr>
        <w:pStyle w:val="Zkladntext1"/>
        <w:numPr>
          <w:ilvl w:val="1"/>
          <w:numId w:val="1"/>
        </w:numPr>
        <w:tabs>
          <w:tab w:val="left" w:pos="557"/>
        </w:tabs>
        <w:spacing w:after="100"/>
        <w:ind w:left="600" w:hanging="600"/>
        <w:jc w:val="both"/>
      </w:pPr>
      <w:bookmarkStart w:id="85" w:name="bookmark88"/>
      <w:bookmarkEnd w:id="85"/>
      <w:r>
        <w:t>Pro případ prodlení s plněním peněžních závazků sjednávají Smluvní strany úrok z prodlení ve výši 0,1 % z dlužné částky za každý den trvání prodlení.</w:t>
      </w:r>
    </w:p>
    <w:p w14:paraId="30B6B2DF" w14:textId="77777777" w:rsidR="00CA1C8B" w:rsidRDefault="009362E8">
      <w:pPr>
        <w:pStyle w:val="Zkladntext1"/>
        <w:numPr>
          <w:ilvl w:val="1"/>
          <w:numId w:val="1"/>
        </w:numPr>
        <w:tabs>
          <w:tab w:val="left" w:pos="557"/>
        </w:tabs>
        <w:spacing w:after="100"/>
        <w:jc w:val="both"/>
      </w:pPr>
      <w:bookmarkStart w:id="86" w:name="bookmark89"/>
      <w:bookmarkEnd w:id="86"/>
      <w:r>
        <w:t>Smluvní strany sjednávají následující pokuty:</w:t>
      </w:r>
    </w:p>
    <w:p w14:paraId="6BF8EF99" w14:textId="77777777" w:rsidR="00CA1C8B" w:rsidRDefault="009362E8">
      <w:pPr>
        <w:pStyle w:val="Zkladntext1"/>
        <w:numPr>
          <w:ilvl w:val="2"/>
          <w:numId w:val="1"/>
        </w:numPr>
        <w:tabs>
          <w:tab w:val="left" w:pos="1045"/>
        </w:tabs>
        <w:spacing w:after="100"/>
        <w:ind w:left="1040" w:hanging="560"/>
        <w:jc w:val="both"/>
      </w:pPr>
      <w:bookmarkStart w:id="87" w:name="bookmark90"/>
      <w:bookmarkEnd w:id="87"/>
      <w:r>
        <w:t xml:space="preserve">pro případ porušení kteréhokoliv závazku Partnera dle odstavce 3.4., 3.5. a 4.2. této smlouvy smluvní pokutu ve výši </w:t>
      </w:r>
      <w:proofErr w:type="gramStart"/>
      <w:r>
        <w:t>10.000,-</w:t>
      </w:r>
      <w:proofErr w:type="gramEnd"/>
      <w:r>
        <w:t xml:space="preserve"> Kč za každý případ porušení takového závazku.</w:t>
      </w:r>
    </w:p>
    <w:p w14:paraId="480CB193" w14:textId="77777777" w:rsidR="00CA1C8B" w:rsidRDefault="009362E8">
      <w:pPr>
        <w:pStyle w:val="Zkladntext1"/>
        <w:numPr>
          <w:ilvl w:val="1"/>
          <w:numId w:val="1"/>
        </w:numPr>
        <w:tabs>
          <w:tab w:val="left" w:pos="557"/>
        </w:tabs>
        <w:spacing w:after="100"/>
        <w:ind w:left="600" w:hanging="600"/>
        <w:jc w:val="both"/>
      </w:pPr>
      <w:bookmarkStart w:id="88" w:name="bookmark91"/>
      <w:bookmarkEnd w:id="88"/>
      <w:r>
        <w:t>Splatnost smluvní pokuty nastává 15 dní ode dne doručení písemné výzvy oprávněné smluvní strany k úhradě smluvní pokuty povinné Smluvní straně.</w:t>
      </w:r>
    </w:p>
    <w:p w14:paraId="2A052AF2" w14:textId="77777777" w:rsidR="00CA1C8B" w:rsidRDefault="009362E8">
      <w:pPr>
        <w:pStyle w:val="Zkladntext1"/>
        <w:numPr>
          <w:ilvl w:val="1"/>
          <w:numId w:val="1"/>
        </w:numPr>
        <w:tabs>
          <w:tab w:val="left" w:pos="557"/>
        </w:tabs>
        <w:spacing w:after="360" w:line="257" w:lineRule="auto"/>
        <w:ind w:left="600" w:hanging="600"/>
        <w:jc w:val="both"/>
      </w:pPr>
      <w:bookmarkStart w:id="89" w:name="bookmark92"/>
      <w:bookmarkEnd w:id="89"/>
      <w:r>
        <w:t>Sjednáním, uplatněním ani zaplacením smluvní pokuty není dotčeno právo na náhradu škody přesahující výši smluvní pokuty.</w:t>
      </w:r>
    </w:p>
    <w:p w14:paraId="234D57E3" w14:textId="77777777" w:rsidR="00CA1C8B" w:rsidRDefault="009362E8">
      <w:pPr>
        <w:pStyle w:val="Nadpis50"/>
        <w:keepNext/>
        <w:keepLines/>
        <w:numPr>
          <w:ilvl w:val="0"/>
          <w:numId w:val="1"/>
        </w:numPr>
        <w:tabs>
          <w:tab w:val="left" w:pos="557"/>
        </w:tabs>
        <w:spacing w:after="100"/>
        <w:jc w:val="both"/>
      </w:pPr>
      <w:bookmarkStart w:id="90" w:name="bookmark95"/>
      <w:bookmarkStart w:id="91" w:name="bookmark93"/>
      <w:bookmarkStart w:id="92" w:name="bookmark94"/>
      <w:bookmarkStart w:id="93" w:name="bookmark96"/>
      <w:bookmarkEnd w:id="90"/>
      <w:r>
        <w:t>Ochrana důvěrných informací</w:t>
      </w:r>
      <w:bookmarkEnd w:id="91"/>
      <w:bookmarkEnd w:id="92"/>
      <w:bookmarkEnd w:id="93"/>
    </w:p>
    <w:p w14:paraId="69316E5D" w14:textId="77777777" w:rsidR="00CA1C8B" w:rsidRDefault="009362E8">
      <w:pPr>
        <w:pStyle w:val="Zkladntext1"/>
        <w:numPr>
          <w:ilvl w:val="1"/>
          <w:numId w:val="1"/>
        </w:numPr>
        <w:tabs>
          <w:tab w:val="left" w:pos="557"/>
        </w:tabs>
        <w:spacing w:after="360"/>
        <w:ind w:left="600" w:hanging="600"/>
        <w:jc w:val="both"/>
      </w:pPr>
      <w:bookmarkStart w:id="94" w:name="bookmark97"/>
      <w:bookmarkEnd w:id="94"/>
      <w:r>
        <w:t>Tato Smlouva a veškeré informace a dokumenty s ní související a z ní vyplývající mají důvěrný charakter. Za důvěrné informace se rovněž považují jakékoli jiné informace, o nichž kterákoli Smluvní strana prohlásí, že je považuje za důvěrné pro účely této smlouvy. Žádná ze Smluvních stran není oprávněna bez předchozího písemného souhlasu ostatních Smluvních stran zpřístupnit takto získané informace třetím osobám. Porušením této smlouvy není případ, kdy jsou určité informace zpřístupněny při plnění závazků z této smlouvy osobám tvořícím s příslušnou Smluvní stranou koncern nebo poradcům příslušné Smluvní strany, avšak v rozsahu nezbytném pro plnění této smlouvy a za podmínky zachování důvěrnosti informací i ze strany těchto osob. Porušením této smlouvy není rovněž případ, kdy je tato smlouva zpřístupněna v důsledku plnění zákonné povinnosti, u níž neplatí ochrana důvěrnosti informací.</w:t>
      </w:r>
    </w:p>
    <w:p w14:paraId="2863C9E4" w14:textId="77777777" w:rsidR="00CA1C8B" w:rsidRDefault="009362E8">
      <w:pPr>
        <w:pStyle w:val="Nadpis50"/>
        <w:keepNext/>
        <w:keepLines/>
        <w:numPr>
          <w:ilvl w:val="0"/>
          <w:numId w:val="1"/>
        </w:numPr>
        <w:tabs>
          <w:tab w:val="left" w:pos="557"/>
        </w:tabs>
        <w:spacing w:after="100"/>
        <w:jc w:val="both"/>
      </w:pPr>
      <w:bookmarkStart w:id="95" w:name="bookmark100"/>
      <w:bookmarkStart w:id="96" w:name="bookmark101"/>
      <w:bookmarkStart w:id="97" w:name="bookmark98"/>
      <w:bookmarkStart w:id="98" w:name="bookmark99"/>
      <w:bookmarkEnd w:id="95"/>
      <w:r>
        <w:t>Trvání smlouvy</w:t>
      </w:r>
      <w:bookmarkEnd w:id="96"/>
      <w:bookmarkEnd w:id="97"/>
      <w:bookmarkEnd w:id="98"/>
    </w:p>
    <w:p w14:paraId="1744FD15" w14:textId="77777777" w:rsidR="00CA1C8B" w:rsidRDefault="009362E8">
      <w:pPr>
        <w:pStyle w:val="Zkladntext1"/>
        <w:numPr>
          <w:ilvl w:val="1"/>
          <w:numId w:val="1"/>
        </w:numPr>
        <w:tabs>
          <w:tab w:val="left" w:pos="557"/>
          <w:tab w:val="right" w:leader="dot" w:pos="9032"/>
        </w:tabs>
        <w:spacing w:after="100"/>
        <w:jc w:val="both"/>
      </w:pPr>
      <w:bookmarkStart w:id="99" w:name="bookmark102"/>
      <w:bookmarkEnd w:id="99"/>
      <w:r>
        <w:t>Smlouva nabývá platnosti dnem podpisu Smluvními stranami a účinnosti dnem [</w:t>
      </w:r>
      <w:r>
        <w:tab/>
        <w:t>].</w:t>
      </w:r>
    </w:p>
    <w:p w14:paraId="4CADCC85" w14:textId="77777777" w:rsidR="00CA1C8B" w:rsidRDefault="009362E8">
      <w:pPr>
        <w:pStyle w:val="Zkladntext1"/>
        <w:numPr>
          <w:ilvl w:val="1"/>
          <w:numId w:val="1"/>
        </w:numPr>
        <w:tabs>
          <w:tab w:val="left" w:pos="557"/>
        </w:tabs>
        <w:spacing w:after="100"/>
        <w:jc w:val="both"/>
      </w:pPr>
      <w:bookmarkStart w:id="100" w:name="bookmark103"/>
      <w:bookmarkEnd w:id="100"/>
      <w:r>
        <w:t>Smlouva se uzavírá na dobu neurčitou.</w:t>
      </w:r>
    </w:p>
    <w:p w14:paraId="428BE581" w14:textId="77777777" w:rsidR="00CA1C8B" w:rsidRDefault="009362E8">
      <w:pPr>
        <w:pStyle w:val="Zkladntext1"/>
        <w:numPr>
          <w:ilvl w:val="1"/>
          <w:numId w:val="1"/>
        </w:numPr>
        <w:tabs>
          <w:tab w:val="left" w:pos="557"/>
        </w:tabs>
        <w:spacing w:after="100"/>
        <w:ind w:left="600" w:hanging="600"/>
        <w:jc w:val="both"/>
      </w:pPr>
      <w:bookmarkStart w:id="101" w:name="bookmark104"/>
      <w:bookmarkEnd w:id="101"/>
      <w:r>
        <w:t>Smlouvu lze ukončit výpovědí s výpovědní lhůtou 3 měsíce. Počátek výpovědní lhůty je stanoven na první den měsíce následujícího po doručení výpovědi druhé Smluvní straně.</w:t>
      </w:r>
    </w:p>
    <w:p w14:paraId="0BF061E1" w14:textId="77777777" w:rsidR="00CA1C8B" w:rsidRDefault="009362E8">
      <w:pPr>
        <w:pStyle w:val="Zkladntext1"/>
        <w:numPr>
          <w:ilvl w:val="1"/>
          <w:numId w:val="1"/>
        </w:numPr>
        <w:tabs>
          <w:tab w:val="left" w:pos="557"/>
        </w:tabs>
        <w:spacing w:after="100"/>
        <w:ind w:left="600" w:hanging="600"/>
        <w:jc w:val="both"/>
      </w:pPr>
      <w:bookmarkStart w:id="102" w:name="bookmark105"/>
      <w:bookmarkEnd w:id="102"/>
      <w:r>
        <w:t>V případě porušení závazku Partnera, kterým je smlouva porušena podstatným způsobem, je PRE oprávněna smlouvu ukončit výpovědí s výpovědní lhůtou 14 dnů. Počátek výpovědní lhůty se sjednává na den doručení výpovědi PRE. Za podstatné porušení smlouvy se považuje porušení závazku Partnera dle odst. 3.4., 4.2., 5.3., 5.4. smlouvy nebo opakované porušení závazků Partnera vyplývajících z této smlouvy (tj. 2 a více výskytů) v období 3 měsíců.</w:t>
      </w:r>
    </w:p>
    <w:p w14:paraId="1FE7AA50" w14:textId="77777777" w:rsidR="00CA1C8B" w:rsidRDefault="009362E8">
      <w:pPr>
        <w:pStyle w:val="Nadpis50"/>
        <w:keepNext/>
        <w:keepLines/>
        <w:numPr>
          <w:ilvl w:val="0"/>
          <w:numId w:val="1"/>
        </w:numPr>
        <w:tabs>
          <w:tab w:val="left" w:pos="557"/>
        </w:tabs>
        <w:spacing w:after="120"/>
        <w:jc w:val="both"/>
      </w:pPr>
      <w:bookmarkStart w:id="103" w:name="bookmark108"/>
      <w:bookmarkStart w:id="104" w:name="bookmark106"/>
      <w:bookmarkStart w:id="105" w:name="bookmark107"/>
      <w:bookmarkStart w:id="106" w:name="bookmark109"/>
      <w:bookmarkEnd w:id="103"/>
      <w:r>
        <w:t>Závěrečná ustanovení</w:t>
      </w:r>
      <w:bookmarkEnd w:id="104"/>
      <w:bookmarkEnd w:id="105"/>
      <w:bookmarkEnd w:id="106"/>
    </w:p>
    <w:p w14:paraId="157D9409" w14:textId="77777777" w:rsidR="00CA1C8B" w:rsidRDefault="009362E8">
      <w:pPr>
        <w:pStyle w:val="Zkladntext1"/>
        <w:numPr>
          <w:ilvl w:val="1"/>
          <w:numId w:val="1"/>
        </w:numPr>
        <w:tabs>
          <w:tab w:val="left" w:pos="557"/>
        </w:tabs>
        <w:ind w:left="540" w:hanging="540"/>
        <w:jc w:val="both"/>
      </w:pPr>
      <w:bookmarkStart w:id="107" w:name="bookmark110"/>
      <w:bookmarkEnd w:id="107"/>
      <w:r>
        <w:t>Práva a povinnosti, které nejsou stanoveny v této Smlouvě, se řídí právním řádem České republiky, zejména zákonem č. 89/2012 Sb., občanský zákoník, v platném a účinném znění.</w:t>
      </w:r>
    </w:p>
    <w:p w14:paraId="0DA4D000" w14:textId="77777777" w:rsidR="00CA1C8B" w:rsidRDefault="009362E8">
      <w:pPr>
        <w:pStyle w:val="Zkladntext1"/>
        <w:numPr>
          <w:ilvl w:val="1"/>
          <w:numId w:val="1"/>
        </w:numPr>
        <w:tabs>
          <w:tab w:val="left" w:pos="557"/>
        </w:tabs>
        <w:ind w:left="540" w:hanging="540"/>
        <w:jc w:val="both"/>
      </w:pPr>
      <w:bookmarkStart w:id="108" w:name="bookmark111"/>
      <w:bookmarkEnd w:id="108"/>
      <w:r>
        <w:t>Smluvní strany tímto prohlašují, že si nejsou vědomy, že by kterákoliv strana při sjednávání této smlouvy zneužila svou kvalitu odborníka či své hospodářské postavení, přičemž zároveň prohlašují, že vzájemná práva a povinnosti sjednané v této smlouvě považují za rovnovážná. Smluvní strany výslovně potvrzují, že základní podmínky této smlouvy jsou výsledkem jednání stran a každá ze stran měla příležitost ovlivnit obsah základních podmínek této smlouvy.</w:t>
      </w:r>
    </w:p>
    <w:p w14:paraId="06CC425B" w14:textId="77777777" w:rsidR="00CA1C8B" w:rsidRDefault="009362E8">
      <w:pPr>
        <w:pStyle w:val="Zkladntext1"/>
        <w:numPr>
          <w:ilvl w:val="1"/>
          <w:numId w:val="1"/>
        </w:numPr>
        <w:tabs>
          <w:tab w:val="left" w:pos="557"/>
        </w:tabs>
        <w:ind w:left="540" w:hanging="540"/>
        <w:jc w:val="both"/>
      </w:pPr>
      <w:bookmarkStart w:id="109" w:name="bookmark112"/>
      <w:bookmarkEnd w:id="109"/>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Nad shora uvedené si strany potvrzují, že si nejsou vědomy žádných dosud mezi nimi zavedených obchodních zvyklostí či praxe.</w:t>
      </w:r>
    </w:p>
    <w:p w14:paraId="651A52EE" w14:textId="77777777" w:rsidR="00CA1C8B" w:rsidRDefault="009362E8">
      <w:pPr>
        <w:pStyle w:val="Zkladntext1"/>
        <w:numPr>
          <w:ilvl w:val="1"/>
          <w:numId w:val="1"/>
        </w:numPr>
        <w:tabs>
          <w:tab w:val="left" w:pos="557"/>
        </w:tabs>
        <w:spacing w:line="254" w:lineRule="auto"/>
        <w:ind w:left="540" w:hanging="540"/>
        <w:jc w:val="both"/>
      </w:pPr>
      <w:bookmarkStart w:id="110" w:name="bookmark113"/>
      <w:bookmarkEnd w:id="110"/>
      <w:r>
        <w:t xml:space="preserve">Smluvní strany nejsou odpovědny za prodlení s plněním či nesplněním povinnosti podle této smlouvy nebo za škody nebo sankce jinak splatné, pokud toto prodlení či nesplnění bylo způsobeno vyšší mocí. Zásahem vyšší moci se rozumí zejména: silné bouře, epidemie, povodně a jiné přírodní katastrofy, zpoždění dopravy, přerušení dodávky elektrické energie, teroristické útoky, sabotáž, občanské nepokoje, změny legislativy </w:t>
      </w:r>
      <w:r>
        <w:lastRenderedPageBreak/>
        <w:t>nebo zákonných nařízení platných v současné době v České republice; za okolnost vyšší moci se považují i mimořádná opatření přijatá, resp. rozhodnutí či nařízení vydaná orgány veřejné správy České republiky v zájmu ochrany veřejného zdraví v souvislosti s výskytem infekčních onemocnění, která by znemožňovala poskytnutí plnění dle této smlouvy, a to i bez ohledu na to, zda přijetí takového opatření či rozhodnutí orgánů veřejné správy lze v okamžiku uzavření smlouvy považovat za nepředvídatelné</w:t>
      </w:r>
    </w:p>
    <w:p w14:paraId="3DEC654E" w14:textId="77777777" w:rsidR="00CA1C8B" w:rsidRDefault="009362E8">
      <w:pPr>
        <w:pStyle w:val="Zkladntext1"/>
        <w:numPr>
          <w:ilvl w:val="1"/>
          <w:numId w:val="1"/>
        </w:numPr>
        <w:tabs>
          <w:tab w:val="left" w:pos="557"/>
        </w:tabs>
        <w:ind w:left="540" w:hanging="540"/>
        <w:jc w:val="both"/>
      </w:pPr>
      <w:bookmarkStart w:id="111" w:name="bookmark114"/>
      <w:bookmarkEnd w:id="111"/>
      <w:r>
        <w:t>Vztahuje-li se na Partnera ochrana osobních údajů dle zvláštních právních předpisů, pak pro účely plnění této Smlouvy je PRE správcem osobních údajů Partnera a osobní údaje takto získané PRE zpracovává za účelem uzavření a plnění této smlouvy a pro účely oprávněných zájmů správce. Veškeré podrobnosti o zpracování osobních údajů, včetně specifik zpracování osobních údajů členů statutárních orgánů, zaměstnanců příp. dalších osob zastupujících Partnera a práv, které subjekty údajů v souvislosti se zpracováním svých osobních údajů mají, jsou uvedeny v dokumentech: „Zásady ochrany osobních údajů“ a „Zpracování osobních údajů kontaktních osob obchodního partnera", se kterými byl Objednatel před podpisem této Smlouvy seznámen a které jsou dostupné na webových stránkách PRE.</w:t>
      </w:r>
    </w:p>
    <w:p w14:paraId="30F729F1" w14:textId="77777777" w:rsidR="00CA1C8B" w:rsidRDefault="009362E8">
      <w:pPr>
        <w:pStyle w:val="Zkladntext1"/>
        <w:numPr>
          <w:ilvl w:val="1"/>
          <w:numId w:val="1"/>
        </w:numPr>
        <w:tabs>
          <w:tab w:val="left" w:pos="557"/>
        </w:tabs>
        <w:spacing w:line="254" w:lineRule="auto"/>
        <w:ind w:left="540" w:hanging="540"/>
        <w:jc w:val="both"/>
      </w:pPr>
      <w:bookmarkStart w:id="112" w:name="bookmark115"/>
      <w:bookmarkEnd w:id="112"/>
      <w:r>
        <w:t xml:space="preserve">Partner prohlašuje, že byl seznámen s etickými pravidly spolupráce s obchodními partnery Skupiny PRE (dále jen „EPS“), která jsou veřejně dostupná na internetových stránkách všech společností Skupiny PRE </w:t>
      </w:r>
      <w:hyperlink r:id="rId7" w:history="1">
        <w:r>
          <w:t>https://www.pre.cz/cs/profil-spolecnosti/o-nas/informace-pro-smluvni- partnery/</w:t>
        </w:r>
        <w:proofErr w:type="spellStart"/>
        <w:r>
          <w:t>eticka</w:t>
        </w:r>
        <w:proofErr w:type="spellEnd"/>
        <w:r>
          <w:t>-pravidla-</w:t>
        </w:r>
        <w:proofErr w:type="spellStart"/>
        <w:r>
          <w:t>spoluprace</w:t>
        </w:r>
        <w:proofErr w:type="spellEnd"/>
        <w:r>
          <w:t>-s-</w:t>
        </w:r>
        <w:proofErr w:type="spellStart"/>
        <w:r>
          <w:t>obchodnimi</w:t>
        </w:r>
        <w:proofErr w:type="spellEnd"/>
        <w:r>
          <w:t>-partnery/</w:t>
        </w:r>
      </w:hyperlink>
      <w:r>
        <w:t>. Partner tímto prohlašuje, že vykonává veškeré své aktivity plně v souladu s EPS a tato dodržuje.</w:t>
      </w:r>
    </w:p>
    <w:p w14:paraId="1510DCC4" w14:textId="77777777" w:rsidR="00CA1C8B" w:rsidRDefault="009362E8">
      <w:pPr>
        <w:pStyle w:val="Zkladntext1"/>
        <w:numPr>
          <w:ilvl w:val="1"/>
          <w:numId w:val="1"/>
        </w:numPr>
        <w:tabs>
          <w:tab w:val="left" w:pos="557"/>
        </w:tabs>
        <w:spacing w:line="254" w:lineRule="auto"/>
        <w:ind w:left="540" w:hanging="540"/>
        <w:jc w:val="both"/>
      </w:pPr>
      <w:bookmarkStart w:id="113" w:name="bookmark116"/>
      <w:bookmarkEnd w:id="113"/>
      <w:r>
        <w:t>Tuto smlouvu nelze měnit či doplňovat jinak než formou písemných číslovaných dodatků vyhotovených v listinné podobě a opatřených vlastnoručními podpisy zástupců Smluvní stran. Práva a povinnosti vyplývající z této smlouvy přecházejí na právní nástupce Smluvních stran. Smluvní strany jsou oprávněny kdykoliv změnit pověřené zástupce, případně změnit jejich počet, dále změnit kontaktní a identifikační údaje, a to jednostranným písemným oznámením doručeným druhé Smluvní straně, přičemž tato změna představuje výjimku z požadavku na uzavření písemného dodatku k této smlouvě. Změna údajů uvedená v předchozí větě nabývá účinnosti vůči druhé Smluvní straně okamžikem doručení příslušného oznámení. Případné následky spojené s neoznámením či pozdním oznámením změny druhé Smluvní straně, jdou k tíži strany, která změnu provedla.</w:t>
      </w:r>
    </w:p>
    <w:p w14:paraId="42F2195A" w14:textId="77777777" w:rsidR="00CA1C8B" w:rsidRDefault="009362E8">
      <w:pPr>
        <w:pStyle w:val="Zkladntext1"/>
        <w:numPr>
          <w:ilvl w:val="1"/>
          <w:numId w:val="1"/>
        </w:numPr>
        <w:tabs>
          <w:tab w:val="left" w:pos="557"/>
        </w:tabs>
        <w:spacing w:line="254" w:lineRule="auto"/>
        <w:ind w:left="540" w:hanging="540"/>
        <w:jc w:val="both"/>
      </w:pPr>
      <w:bookmarkStart w:id="114" w:name="bookmark117"/>
      <w:bookmarkEnd w:id="114"/>
      <w:r>
        <w:t>Smluvní strany jsou oprávněny kdykoliv změnit oprávněné zástupce (oprávněné osoby), případně jejich počet rozšířit, dále změnit kontaktní a identifikační údaje, a to jednostranným písemným oznámením doručeným druhé Smluvní straně, přičemž tato změna představuje výjimku z požadavku na uzavření písemného dodatku k této smlouvě. Změna údajů uvedená v předchozí větě nabývá účinnosti vůči druhé Smluvní straně okamžikem doručení oznámení. Případné následky spojené s neoznámením či pozdním oznámením změny druhé Smluvní straně, jdou k tíži strany, která změnu provedla.</w:t>
      </w:r>
      <w:r>
        <w:br w:type="page"/>
      </w:r>
    </w:p>
    <w:p w14:paraId="5CC37CD7" w14:textId="77777777" w:rsidR="00CA1C8B" w:rsidRDefault="009362E8">
      <w:pPr>
        <w:pStyle w:val="Zkladntext1"/>
        <w:numPr>
          <w:ilvl w:val="1"/>
          <w:numId w:val="1"/>
        </w:numPr>
        <w:tabs>
          <w:tab w:val="left" w:pos="559"/>
        </w:tabs>
        <w:spacing w:after="100"/>
        <w:ind w:left="560" w:hanging="560"/>
        <w:jc w:val="both"/>
      </w:pPr>
      <w:bookmarkStart w:id="115" w:name="bookmark118"/>
      <w:bookmarkEnd w:id="115"/>
      <w:r>
        <w:lastRenderedPageBreak/>
        <w:t>Je-li nebo stane-li se některé ustanovení této smlouvy neplatným, nevymahatelným nebo neúčinným, nedotýká se tato neplatnost, nevymahatelnost či neúčinnost ostatních ustanovení této smlouvy. Smluvní strany se zavazují nahradit do pěti (</w:t>
      </w:r>
      <w:proofErr w:type="gramStart"/>
      <w:r>
        <w:t>5-ti</w:t>
      </w:r>
      <w:proofErr w:type="gramEnd"/>
      <w:r>
        <w:t>) pracovních dnů po doručení výzvy druhé Smluvní strany neplatné, nevymahatelné nebo neúčinné ustanovení ustanovením platným, vymahatelným a účinným se stejným nebo obdobným obchodním a právním smyslem, případně uzavřít novou smlouvu.</w:t>
      </w:r>
    </w:p>
    <w:p w14:paraId="52993A91" w14:textId="77777777" w:rsidR="00CA1C8B" w:rsidRDefault="009362E8">
      <w:pPr>
        <w:pStyle w:val="Zkladntext1"/>
        <w:numPr>
          <w:ilvl w:val="1"/>
          <w:numId w:val="1"/>
        </w:numPr>
        <w:tabs>
          <w:tab w:val="left" w:pos="619"/>
        </w:tabs>
        <w:spacing w:after="100"/>
        <w:ind w:left="560" w:hanging="560"/>
        <w:jc w:val="both"/>
      </w:pPr>
      <w:bookmarkStart w:id="116" w:name="bookmark119"/>
      <w:bookmarkEnd w:id="116"/>
      <w:r>
        <w:t xml:space="preserve">Tato smlouvaje vyhotovena ve dvou stejnopisech, které jsou doslovně shodné. Každá Smluvní strana </w:t>
      </w:r>
      <w:proofErr w:type="gramStart"/>
      <w:r>
        <w:t>obdrží</w:t>
      </w:r>
      <w:proofErr w:type="gramEnd"/>
      <w:r>
        <w:t xml:space="preserve"> jeden stejnopis.</w:t>
      </w:r>
    </w:p>
    <w:p w14:paraId="5B68AD2F" w14:textId="77777777" w:rsidR="00CA1C8B" w:rsidRDefault="009362E8">
      <w:pPr>
        <w:pStyle w:val="Zkladntext1"/>
        <w:numPr>
          <w:ilvl w:val="1"/>
          <w:numId w:val="1"/>
        </w:numPr>
        <w:tabs>
          <w:tab w:val="left" w:pos="619"/>
        </w:tabs>
        <w:spacing w:after="0"/>
        <w:ind w:left="560" w:hanging="560"/>
        <w:jc w:val="both"/>
      </w:pPr>
      <w:bookmarkStart w:id="117" w:name="bookmark120"/>
      <w:bookmarkEnd w:id="117"/>
      <w:r>
        <w:t>Smluvní strany prohlašují, že základní podmínky této smlouvy jsou výsledkem jednání stran a každá ze stran měla příležitost ovlivnit obsah těchto základních podmínek. Smluvní strany dále stvrzují, že tato smlouva obsahuje úplné ujednání o předmětu smlouvy a všech náležitostech, které strany chtěly ve smlouvě ujednat a které považují za důležité pro závaznost této smlouvy. Žádný projev Smluvních stran učiněný při jednání o obsahu této smlouvy ani po jejím uzavření tak nesmí být vykládán v rozporu s výslovnými ustanoveními této smlouvy.</w:t>
      </w:r>
    </w:p>
    <w:p w14:paraId="59C8BC1D" w14:textId="77777777" w:rsidR="00CA1C8B" w:rsidRDefault="009362E8">
      <w:pPr>
        <w:spacing w:line="1" w:lineRule="exact"/>
        <w:sectPr w:rsidR="00CA1C8B">
          <w:pgSz w:w="11900" w:h="16840"/>
          <w:pgMar w:top="1436" w:right="1212" w:bottom="1354" w:left="1253" w:header="1008" w:footer="926" w:gutter="0"/>
          <w:pgNumType w:start="1"/>
          <w:cols w:space="720"/>
          <w:noEndnote/>
          <w:docGrid w:linePitch="360"/>
        </w:sectPr>
      </w:pPr>
      <w:r>
        <w:rPr>
          <w:noProof/>
        </w:rPr>
        <mc:AlternateContent>
          <mc:Choice Requires="wps">
            <w:drawing>
              <wp:anchor distT="88900" distB="0" distL="0" distR="0" simplePos="0" relativeHeight="125829378" behindDoc="0" locked="0" layoutInCell="1" allowOverlap="1" wp14:anchorId="67A6648E" wp14:editId="756C87B4">
                <wp:simplePos x="0" y="0"/>
                <wp:positionH relativeFrom="page">
                  <wp:posOffset>953135</wp:posOffset>
                </wp:positionH>
                <wp:positionV relativeFrom="paragraph">
                  <wp:posOffset>88900</wp:posOffset>
                </wp:positionV>
                <wp:extent cx="1634490" cy="31559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34490" cy="315595"/>
                        </a:xfrm>
                        <a:prstGeom prst="rect">
                          <a:avLst/>
                        </a:prstGeom>
                        <a:noFill/>
                      </wps:spPr>
                      <wps:txbx>
                        <w:txbxContent>
                          <w:p w14:paraId="6C7AE73E" w14:textId="77777777" w:rsidR="00CA1C8B" w:rsidRDefault="009362E8">
                            <w:pPr>
                              <w:pStyle w:val="Nadpis30"/>
                              <w:keepNext/>
                              <w:keepLines/>
                            </w:pPr>
                            <w:bookmarkStart w:id="118" w:name="bookmark0"/>
                            <w:bookmarkStart w:id="119" w:name="bookmark1"/>
                            <w:bookmarkStart w:id="120" w:name="bookmark2"/>
                            <w:r>
                              <w:t xml:space="preserve">1 </w:t>
                            </w:r>
                            <w:proofErr w:type="gramStart"/>
                            <w:r>
                              <w:t>3 -04</w:t>
                            </w:r>
                            <w:proofErr w:type="gramEnd"/>
                            <w:r>
                              <w:t>- 2022</w:t>
                            </w:r>
                            <w:bookmarkEnd w:id="118"/>
                            <w:bookmarkEnd w:id="119"/>
                            <w:bookmarkEnd w:id="120"/>
                          </w:p>
                          <w:p w14:paraId="420618A7" w14:textId="77777777" w:rsidR="00CA1C8B" w:rsidRDefault="009362E8">
                            <w:pPr>
                              <w:pStyle w:val="Zkladntext1"/>
                              <w:tabs>
                                <w:tab w:val="left" w:leader="dot" w:pos="2516"/>
                              </w:tabs>
                              <w:spacing w:after="0" w:line="214" w:lineRule="auto"/>
                              <w:jc w:val="right"/>
                            </w:pPr>
                            <w:r>
                              <w:t>V Praze dne</w:t>
                            </w:r>
                            <w:r>
                              <w:tab/>
                            </w:r>
                          </w:p>
                        </w:txbxContent>
                      </wps:txbx>
                      <wps:bodyPr lIns="0" tIns="0" rIns="0" bIns="0"/>
                    </wps:wsp>
                  </a:graphicData>
                </a:graphic>
              </wp:anchor>
            </w:drawing>
          </mc:Choice>
          <mc:Fallback>
            <w:pict>
              <v:shapetype w14:anchorId="67A6648E" id="_x0000_t202" coordsize="21600,21600" o:spt="202" path="m,l,21600r21600,l21600,xe">
                <v:stroke joinstyle="miter"/>
                <v:path gradientshapeok="t" o:connecttype="rect"/>
              </v:shapetype>
              <v:shape id="Shape 1" o:spid="_x0000_s1026" type="#_x0000_t202" style="position:absolute;margin-left:75.05pt;margin-top:7pt;width:128.7pt;height:24.85pt;z-index:125829378;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" filled="f" stroked="f">
                <v:textbox inset="0,0,0,0">
                  <w:txbxContent>
                    <w:p w14:paraId="6C7AE73E" w14:textId="77777777" w:rsidR="00CA1C8B" w:rsidRDefault="009362E8">
                      <w:pPr>
                        <w:pStyle w:val="Nadpis30"/>
                        <w:keepNext/>
                        <w:keepLines/>
                      </w:pPr>
                      <w:bookmarkStart w:id="121" w:name="bookmark0"/>
                      <w:bookmarkStart w:id="122" w:name="bookmark1"/>
                      <w:bookmarkStart w:id="123" w:name="bookmark2"/>
                      <w:r>
                        <w:t xml:space="preserve">1 </w:t>
                      </w:r>
                      <w:proofErr w:type="gramStart"/>
                      <w:r>
                        <w:t>3 -04</w:t>
                      </w:r>
                      <w:proofErr w:type="gramEnd"/>
                      <w:r>
                        <w:t>- 2022</w:t>
                      </w:r>
                      <w:bookmarkEnd w:id="121"/>
                      <w:bookmarkEnd w:id="122"/>
                      <w:bookmarkEnd w:id="123"/>
                    </w:p>
                    <w:p w14:paraId="420618A7" w14:textId="77777777" w:rsidR="00CA1C8B" w:rsidRDefault="009362E8">
                      <w:pPr>
                        <w:pStyle w:val="Zkladntext1"/>
                        <w:tabs>
                          <w:tab w:val="left" w:leader="dot" w:pos="2516"/>
                        </w:tabs>
                        <w:spacing w:after="0" w:line="214" w:lineRule="auto"/>
                        <w:jc w:val="right"/>
                      </w:pPr>
                      <w:r>
                        <w:t>V Praze dne</w:t>
                      </w:r>
                      <w:r>
                        <w:tab/>
                      </w:r>
                    </w:p>
                  </w:txbxContent>
                </v:textbox>
                <w10:wrap type="topAndBottom" anchorx="page"/>
              </v:shape>
            </w:pict>
          </mc:Fallback>
        </mc:AlternateContent>
      </w:r>
      <w:r>
        <w:rPr>
          <w:noProof/>
        </w:rPr>
        <mc:AlternateContent>
          <mc:Choice Requires="wps">
            <w:drawing>
              <wp:anchor distT="123190" distB="48260" distL="0" distR="0" simplePos="0" relativeHeight="125829380" behindDoc="0" locked="0" layoutInCell="1" allowOverlap="1" wp14:anchorId="5F9F08B6" wp14:editId="731E25ED">
                <wp:simplePos x="0" y="0"/>
                <wp:positionH relativeFrom="page">
                  <wp:posOffset>3836035</wp:posOffset>
                </wp:positionH>
                <wp:positionV relativeFrom="paragraph">
                  <wp:posOffset>123190</wp:posOffset>
                </wp:positionV>
                <wp:extent cx="1551940" cy="2330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551940" cy="233045"/>
                        </a:xfrm>
                        <a:prstGeom prst="rect">
                          <a:avLst/>
                        </a:prstGeom>
                        <a:noFill/>
                      </wps:spPr>
                      <wps:txbx>
                        <w:txbxContent>
                          <w:p w14:paraId="576F7035" w14:textId="2D9B54FD" w:rsidR="00CA1C8B" w:rsidRDefault="009362E8">
                            <w:pPr>
                              <w:pStyle w:val="Zkladntext1"/>
                              <w:tabs>
                                <w:tab w:val="left" w:pos="2016"/>
                              </w:tabs>
                              <w:spacing w:after="0" w:line="240" w:lineRule="auto"/>
                              <w:rPr>
                                <w:sz w:val="26"/>
                                <w:szCs w:val="26"/>
                              </w:rPr>
                            </w:pPr>
                            <w:r>
                              <w:t>V Brně dne ...</w:t>
                            </w:r>
                            <w:r w:rsidR="0010180D">
                              <w:t>17.3.2022</w:t>
                            </w:r>
                          </w:p>
                        </w:txbxContent>
                      </wps:txbx>
                      <wps:bodyPr wrap="none" lIns="0" tIns="0" rIns="0" bIns="0"/>
                    </wps:wsp>
                  </a:graphicData>
                </a:graphic>
              </wp:anchor>
            </w:drawing>
          </mc:Choice>
          <mc:Fallback>
            <w:pict>
              <v:shapetype w14:anchorId="5F9F08B6" id="_x0000_t202" coordsize="21600,21600" o:spt="202" path="m,l,21600r21600,l21600,xe">
                <v:stroke joinstyle="miter"/>
                <v:path gradientshapeok="t" o:connecttype="rect"/>
              </v:shapetype>
              <v:shape id="Shape 3" o:spid="_x0000_s1027" type="#_x0000_t202" style="position:absolute;margin-left:302.05pt;margin-top:9.7pt;width:122.2pt;height:18.35pt;z-index:125829380;visibility:visible;mso-wrap-style:none;mso-wrap-distance-left:0;mso-wrap-distance-top:9.7pt;mso-wrap-distance-right:0;mso-wrap-distance-bottom: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" filled="f" stroked="f">
                <v:textbox inset="0,0,0,0">
                  <w:txbxContent>
                    <w:p w14:paraId="576F7035" w14:textId="2D9B54FD" w:rsidR="00CA1C8B" w:rsidRDefault="009362E8">
                      <w:pPr>
                        <w:pStyle w:val="Zkladntext1"/>
                        <w:tabs>
                          <w:tab w:val="left" w:pos="2016"/>
                        </w:tabs>
                        <w:spacing w:after="0" w:line="240" w:lineRule="auto"/>
                        <w:rPr>
                          <w:sz w:val="26"/>
                          <w:szCs w:val="26"/>
                        </w:rPr>
                      </w:pPr>
                      <w:r>
                        <w:t>V Brně dne ...</w:t>
                      </w:r>
                      <w:r w:rsidR="0010180D">
                        <w:t>17.3.2022</w:t>
                      </w:r>
                    </w:p>
                  </w:txbxContent>
                </v:textbox>
                <w10:wrap type="topAndBottom" anchorx="page"/>
              </v:shape>
            </w:pict>
          </mc:Fallback>
        </mc:AlternateContent>
      </w:r>
    </w:p>
    <w:p w14:paraId="04E58ECA" w14:textId="77777777" w:rsidR="00CA1C8B" w:rsidRDefault="00CA1C8B">
      <w:pPr>
        <w:spacing w:before="95" w:after="95" w:line="240" w:lineRule="exact"/>
        <w:rPr>
          <w:sz w:val="19"/>
          <w:szCs w:val="19"/>
        </w:rPr>
      </w:pPr>
    </w:p>
    <w:p w14:paraId="75A37E39" w14:textId="77777777" w:rsidR="00CA1C8B" w:rsidRDefault="00CA1C8B">
      <w:pPr>
        <w:spacing w:line="1" w:lineRule="exact"/>
        <w:sectPr w:rsidR="00CA1C8B">
          <w:type w:val="continuous"/>
          <w:pgSz w:w="11900" w:h="16840"/>
          <w:pgMar w:top="1512" w:right="0" w:bottom="4544" w:left="0" w:header="0" w:footer="3" w:gutter="0"/>
          <w:cols w:space="720"/>
          <w:noEndnote/>
          <w:docGrid w:linePitch="360"/>
        </w:sectPr>
      </w:pPr>
    </w:p>
    <w:p w14:paraId="1C2E3C4E" w14:textId="77777777" w:rsidR="00CA1C8B" w:rsidRDefault="009362E8">
      <w:pPr>
        <w:pStyle w:val="Zkladntext1"/>
        <w:tabs>
          <w:tab w:val="left" w:pos="4536"/>
        </w:tabs>
        <w:spacing w:after="0" w:line="240" w:lineRule="auto"/>
      </w:pPr>
      <w:r>
        <w:t>Za PRE</w:t>
      </w:r>
      <w:r>
        <w:tab/>
        <w:t>Za Partnera</w:t>
      </w:r>
    </w:p>
    <w:p w14:paraId="34CC4FE2" w14:textId="747E1EC4" w:rsidR="00CA1C8B" w:rsidRDefault="00CA1C8B">
      <w:pPr>
        <w:spacing w:line="1" w:lineRule="exact"/>
        <w:sectPr w:rsidR="00CA1C8B">
          <w:type w:val="continuous"/>
          <w:pgSz w:w="11900" w:h="16840"/>
          <w:pgMar w:top="1512" w:right="1335" w:bottom="4544" w:left="1439" w:header="0" w:footer="3" w:gutter="0"/>
          <w:cols w:space="720"/>
          <w:noEndnote/>
          <w:docGrid w:linePitch="360"/>
        </w:sectPr>
      </w:pPr>
    </w:p>
    <w:p w14:paraId="1D2158E3" w14:textId="3BD7198C" w:rsidR="00CA1C8B" w:rsidRDefault="00CA1C8B">
      <w:pPr>
        <w:spacing w:line="1" w:lineRule="exact"/>
      </w:pPr>
    </w:p>
    <w:p w14:paraId="0D7CF415" w14:textId="0DAC8127" w:rsidR="009362E8" w:rsidRDefault="009362E8">
      <w:pPr>
        <w:pStyle w:val="Nadpis20"/>
        <w:keepNext/>
        <w:keepLines/>
        <w:tabs>
          <w:tab w:val="left" w:pos="1152"/>
        </w:tabs>
      </w:pPr>
    </w:p>
    <w:p w14:paraId="2DE37F80" w14:textId="0B9F0C2C" w:rsidR="009362E8" w:rsidRDefault="009362E8">
      <w:pPr>
        <w:pStyle w:val="Nadpis20"/>
        <w:keepNext/>
        <w:keepLines/>
        <w:tabs>
          <w:tab w:val="left" w:pos="1152"/>
        </w:tabs>
      </w:pPr>
    </w:p>
    <w:p w14:paraId="6FA2B013" w14:textId="4F49BCAA" w:rsidR="009362E8" w:rsidRDefault="009362E8">
      <w:pPr>
        <w:pStyle w:val="Nadpis20"/>
        <w:keepNext/>
        <w:keepLines/>
        <w:tabs>
          <w:tab w:val="left" w:pos="1152"/>
        </w:tabs>
      </w:pPr>
    </w:p>
    <w:p w14:paraId="5AD7B806" w14:textId="53E2782C" w:rsidR="009362E8" w:rsidRPr="009362E8" w:rsidRDefault="009362E8">
      <w:pPr>
        <w:pStyle w:val="Nadpis20"/>
        <w:keepNext/>
        <w:keepLines/>
        <w:tabs>
          <w:tab w:val="left" w:pos="1152"/>
        </w:tabs>
        <w:rPr>
          <w:i w:val="0"/>
          <w:iCs w:val="0"/>
        </w:rPr>
      </w:pPr>
      <w:r>
        <w:rPr>
          <w:i w:val="0"/>
          <w:iCs w:val="0"/>
        </w:rPr>
        <w:t xml:space="preserve">   </w:t>
      </w:r>
    </w:p>
    <w:sectPr w:rsidR="009362E8" w:rsidRPr="009362E8">
      <w:type w:val="continuous"/>
      <w:pgSz w:w="11900" w:h="16840"/>
      <w:pgMar w:top="1512" w:right="1335" w:bottom="1512" w:left="143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8189" w14:textId="77777777" w:rsidR="000A00C3" w:rsidRDefault="000A00C3">
      <w:r>
        <w:separator/>
      </w:r>
    </w:p>
  </w:endnote>
  <w:endnote w:type="continuationSeparator" w:id="0">
    <w:p w14:paraId="62A22D6C" w14:textId="77777777" w:rsidR="000A00C3" w:rsidRDefault="000A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A5AF" w14:textId="77777777" w:rsidR="000A00C3" w:rsidRDefault="000A00C3"/>
  </w:footnote>
  <w:footnote w:type="continuationSeparator" w:id="0">
    <w:p w14:paraId="266A042F" w14:textId="77777777" w:rsidR="000A00C3" w:rsidRDefault="000A00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4BE2"/>
    <w:multiLevelType w:val="multilevel"/>
    <w:tmpl w:val="CF2EA5B4"/>
    <w:lvl w:ilvl="0">
      <w:start w:val="12"/>
      <w:numFmt w:val="decimal"/>
      <w:lvlText w:val="31.%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6D5379"/>
    <w:multiLevelType w:val="multilevel"/>
    <w:tmpl w:val="30BE3C9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1F3613"/>
    <w:multiLevelType w:val="multilevel"/>
    <w:tmpl w:val="4EEAD9DC"/>
    <w:lvl w:ilvl="0">
      <w:start w:val="12"/>
      <w:numFmt w:val="decimal"/>
      <w:lvlText w:val="31.%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040383"/>
    <w:multiLevelType w:val="multilevel"/>
    <w:tmpl w:val="F276319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6325591">
    <w:abstractNumId w:val="3"/>
  </w:num>
  <w:num w:numId="2" w16cid:durableId="298656937">
    <w:abstractNumId w:val="1"/>
  </w:num>
  <w:num w:numId="3" w16cid:durableId="1716080725">
    <w:abstractNumId w:val="0"/>
  </w:num>
  <w:num w:numId="4" w16cid:durableId="1050150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8B"/>
    <w:rsid w:val="000A00C3"/>
    <w:rsid w:val="0010180D"/>
    <w:rsid w:val="006E182C"/>
    <w:rsid w:val="009362E8"/>
    <w:rsid w:val="00C17466"/>
    <w:rsid w:val="00CA1C8B"/>
    <w:rsid w:val="00DF4D91"/>
    <w:rsid w:val="00ED7411"/>
    <w:rsid w:val="00FF6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8699"/>
  <w15:docId w15:val="{5B673B3B-00B5-40ED-B5EE-5F441B52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val="0"/>
      <w:bCs w:val="0"/>
      <w:i w:val="0"/>
      <w:iCs w:val="0"/>
      <w:smallCaps w:val="0"/>
      <w:strike w:val="0"/>
      <w:w w:val="60"/>
      <w:sz w:val="26"/>
      <w:szCs w:val="26"/>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shd w:val="clear" w:color="auto" w:fill="auto"/>
    </w:rPr>
  </w:style>
  <w:style w:type="character" w:customStyle="1" w:styleId="Nadpis4">
    <w:name w:val="Nadpis #4_"/>
    <w:basedOn w:val="Standardnpsmoodstavce"/>
    <w:link w:val="Nadpis40"/>
    <w:rPr>
      <w:rFonts w:ascii="Arial" w:eastAsia="Arial" w:hAnsi="Arial" w:cs="Arial"/>
      <w:b/>
      <w:bCs/>
      <w:i w:val="0"/>
      <w:iCs w:val="0"/>
      <w:smallCaps w:val="0"/>
      <w:strike w:val="0"/>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shd w:val="clear" w:color="auto" w:fill="auto"/>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shd w:val="clear" w:color="auto" w:fill="auto"/>
    </w:rPr>
  </w:style>
  <w:style w:type="character" w:customStyle="1" w:styleId="Nadpis1">
    <w:name w:val="Nadpis #1_"/>
    <w:basedOn w:val="Standardnpsmoodstavce"/>
    <w:link w:val="Nadpis10"/>
    <w:rPr>
      <w:rFonts w:ascii="Arial" w:eastAsia="Arial" w:hAnsi="Arial" w:cs="Arial"/>
      <w:b w:val="0"/>
      <w:bCs w:val="0"/>
      <w:i/>
      <w:iCs/>
      <w:smallCaps w:val="0"/>
      <w:strike w:val="0"/>
      <w:color w:val="3747BA"/>
      <w:sz w:val="62"/>
      <w:szCs w:val="62"/>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46"/>
      <w:szCs w:val="46"/>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9"/>
      <w:szCs w:val="9"/>
      <w:u w:val="none"/>
      <w:shd w:val="clear" w:color="auto" w:fill="auto"/>
    </w:rPr>
  </w:style>
  <w:style w:type="character" w:customStyle="1" w:styleId="Zkladntext2">
    <w:name w:val="Základní text (2)_"/>
    <w:basedOn w:val="Standardnpsmoodstavce"/>
    <w:link w:val="Zkladntext20"/>
    <w:rPr>
      <w:rFonts w:ascii="Arial" w:eastAsia="Arial" w:hAnsi="Arial" w:cs="Arial"/>
      <w:b/>
      <w:bCs/>
      <w:i w:val="0"/>
      <w:iCs w:val="0"/>
      <w:smallCaps w:val="0"/>
      <w:strike w:val="0"/>
      <w:w w:val="80"/>
      <w:sz w:val="13"/>
      <w:szCs w:val="13"/>
      <w:u w:val="none"/>
      <w:shd w:val="clear" w:color="auto" w:fill="auto"/>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z w:val="30"/>
      <w:szCs w:val="30"/>
      <w:u w:val="none"/>
      <w:shd w:val="clear" w:color="auto" w:fill="auto"/>
    </w:rPr>
  </w:style>
  <w:style w:type="paragraph" w:customStyle="1" w:styleId="Nadpis30">
    <w:name w:val="Nadpis #3"/>
    <w:basedOn w:val="Normln"/>
    <w:link w:val="Nadpis3"/>
    <w:pPr>
      <w:jc w:val="right"/>
      <w:outlineLvl w:val="2"/>
    </w:pPr>
    <w:rPr>
      <w:rFonts w:ascii="Arial" w:eastAsia="Arial" w:hAnsi="Arial" w:cs="Arial"/>
      <w:w w:val="60"/>
      <w:sz w:val="26"/>
      <w:szCs w:val="26"/>
    </w:rPr>
  </w:style>
  <w:style w:type="paragraph" w:customStyle="1" w:styleId="Zkladntext1">
    <w:name w:val="Základní text1"/>
    <w:basedOn w:val="Normln"/>
    <w:link w:val="Zkladntext"/>
    <w:pPr>
      <w:spacing w:after="120" w:line="252" w:lineRule="auto"/>
    </w:pPr>
    <w:rPr>
      <w:rFonts w:ascii="Arial" w:eastAsia="Arial" w:hAnsi="Arial" w:cs="Arial"/>
      <w:sz w:val="19"/>
      <w:szCs w:val="19"/>
    </w:rPr>
  </w:style>
  <w:style w:type="paragraph" w:customStyle="1" w:styleId="Jin0">
    <w:name w:val="Jiné"/>
    <w:basedOn w:val="Normln"/>
    <w:link w:val="Jin"/>
    <w:pPr>
      <w:spacing w:after="120" w:line="252" w:lineRule="auto"/>
    </w:pPr>
    <w:rPr>
      <w:rFonts w:ascii="Arial" w:eastAsia="Arial" w:hAnsi="Arial" w:cs="Arial"/>
      <w:sz w:val="19"/>
      <w:szCs w:val="19"/>
    </w:rPr>
  </w:style>
  <w:style w:type="paragraph" w:customStyle="1" w:styleId="Nadpis40">
    <w:name w:val="Nadpis #4"/>
    <w:basedOn w:val="Normln"/>
    <w:link w:val="Nadpis4"/>
    <w:pPr>
      <w:spacing w:after="340"/>
      <w:ind w:firstLine="880"/>
      <w:outlineLvl w:val="3"/>
    </w:pPr>
    <w:rPr>
      <w:rFonts w:ascii="Arial" w:eastAsia="Arial" w:hAnsi="Arial" w:cs="Arial"/>
      <w:b/>
      <w:bCs/>
    </w:rPr>
  </w:style>
  <w:style w:type="paragraph" w:customStyle="1" w:styleId="Titulektabulky0">
    <w:name w:val="Titulek tabulky"/>
    <w:basedOn w:val="Normln"/>
    <w:link w:val="Titulektabulky"/>
    <w:rPr>
      <w:rFonts w:ascii="Arial" w:eastAsia="Arial" w:hAnsi="Arial" w:cs="Arial"/>
      <w:sz w:val="19"/>
      <w:szCs w:val="19"/>
    </w:rPr>
  </w:style>
  <w:style w:type="paragraph" w:customStyle="1" w:styleId="Nadpis50">
    <w:name w:val="Nadpis #5"/>
    <w:basedOn w:val="Normln"/>
    <w:link w:val="Nadpis5"/>
    <w:pPr>
      <w:spacing w:after="110" w:line="218" w:lineRule="auto"/>
      <w:outlineLvl w:val="4"/>
    </w:pPr>
    <w:rPr>
      <w:rFonts w:ascii="Arial" w:eastAsia="Arial" w:hAnsi="Arial" w:cs="Arial"/>
      <w:b/>
      <w:bCs/>
      <w:sz w:val="22"/>
      <w:szCs w:val="22"/>
    </w:rPr>
  </w:style>
  <w:style w:type="paragraph" w:customStyle="1" w:styleId="Nadpis10">
    <w:name w:val="Nadpis #1"/>
    <w:basedOn w:val="Normln"/>
    <w:link w:val="Nadpis1"/>
    <w:pPr>
      <w:outlineLvl w:val="0"/>
    </w:pPr>
    <w:rPr>
      <w:rFonts w:ascii="Arial" w:eastAsia="Arial" w:hAnsi="Arial" w:cs="Arial"/>
      <w:i/>
      <w:iCs/>
      <w:color w:val="3747BA"/>
      <w:sz w:val="62"/>
      <w:szCs w:val="62"/>
    </w:rPr>
  </w:style>
  <w:style w:type="paragraph" w:customStyle="1" w:styleId="Titulekobrzku0">
    <w:name w:val="Titulek obrázku"/>
    <w:basedOn w:val="Normln"/>
    <w:link w:val="Titulekobrzku"/>
    <w:rPr>
      <w:rFonts w:ascii="Arial" w:eastAsia="Arial" w:hAnsi="Arial" w:cs="Arial"/>
      <w:sz w:val="16"/>
      <w:szCs w:val="16"/>
    </w:rPr>
  </w:style>
  <w:style w:type="paragraph" w:customStyle="1" w:styleId="Zkladntext40">
    <w:name w:val="Základní text (4)"/>
    <w:basedOn w:val="Normln"/>
    <w:link w:val="Zkladntext4"/>
    <w:pPr>
      <w:jc w:val="center"/>
    </w:pPr>
    <w:rPr>
      <w:rFonts w:ascii="Arial" w:eastAsia="Arial" w:hAnsi="Arial" w:cs="Arial"/>
      <w:i/>
      <w:iCs/>
      <w:sz w:val="46"/>
      <w:szCs w:val="46"/>
    </w:rPr>
  </w:style>
  <w:style w:type="paragraph" w:customStyle="1" w:styleId="Zkladntext30">
    <w:name w:val="Základní text (3)"/>
    <w:basedOn w:val="Normln"/>
    <w:link w:val="Zkladntext3"/>
    <w:pPr>
      <w:spacing w:line="230" w:lineRule="auto"/>
      <w:jc w:val="center"/>
    </w:pPr>
    <w:rPr>
      <w:rFonts w:ascii="Arial" w:eastAsia="Arial" w:hAnsi="Arial" w:cs="Arial"/>
      <w:sz w:val="9"/>
      <w:szCs w:val="9"/>
    </w:rPr>
  </w:style>
  <w:style w:type="paragraph" w:customStyle="1" w:styleId="Zkladntext20">
    <w:name w:val="Základní text (2)"/>
    <w:basedOn w:val="Normln"/>
    <w:link w:val="Zkladntext2"/>
    <w:pPr>
      <w:spacing w:after="800" w:line="257" w:lineRule="auto"/>
      <w:jc w:val="center"/>
    </w:pPr>
    <w:rPr>
      <w:rFonts w:ascii="Arial" w:eastAsia="Arial" w:hAnsi="Arial" w:cs="Arial"/>
      <w:b/>
      <w:bCs/>
      <w:w w:val="80"/>
      <w:sz w:val="13"/>
      <w:szCs w:val="13"/>
    </w:rPr>
  </w:style>
  <w:style w:type="paragraph" w:customStyle="1" w:styleId="Nadpis20">
    <w:name w:val="Nadpis #2"/>
    <w:basedOn w:val="Normln"/>
    <w:link w:val="Nadpis2"/>
    <w:pPr>
      <w:spacing w:after="40"/>
      <w:outlineLvl w:val="1"/>
    </w:pPr>
    <w:rPr>
      <w:rFonts w:ascii="Times New Roman" w:eastAsia="Times New Roman" w:hAnsi="Times New Roman" w:cs="Times New Roman"/>
      <w:i/>
      <w:i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cz/cs/profil-spolecnosti/o-nas/informace-pro-smluvni-partnery/eticka-pravidla-spoluprace-s-obchodnimi-partn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2310</Words>
  <Characters>13629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2022-04-26T07:04:00Z</dcterms:created>
  <dcterms:modified xsi:type="dcterms:W3CDTF">2022-04-26T07:29:00Z</dcterms:modified>
</cp:coreProperties>
</file>