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EE" w:rsidRDefault="00147C7F">
      <w:pPr>
        <w:spacing w:before="80" w:line="425" w:lineRule="exact"/>
        <w:ind w:left="1037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1200100061</w:t>
      </w:r>
    </w:p>
    <w:p w:rsidR="004F58EE" w:rsidRDefault="00147C7F">
      <w:pPr>
        <w:spacing w:line="425" w:lineRule="exact"/>
        <w:ind w:left="103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F58EE" w:rsidRDefault="00147C7F">
      <w:pPr>
        <w:spacing w:before="2"/>
        <w:ind w:left="103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F58EE" w:rsidRDefault="004F58EE">
      <w:pPr>
        <w:pStyle w:val="Zkladntext"/>
        <w:spacing w:before="11"/>
        <w:ind w:left="0"/>
        <w:rPr>
          <w:sz w:val="59"/>
        </w:rPr>
      </w:pPr>
    </w:p>
    <w:p w:rsidR="004F58EE" w:rsidRDefault="00147C7F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F58EE" w:rsidRDefault="004F58EE">
      <w:pPr>
        <w:pStyle w:val="Zkladntext"/>
        <w:ind w:left="0"/>
        <w:rPr>
          <w:sz w:val="26"/>
        </w:rPr>
      </w:pPr>
    </w:p>
    <w:p w:rsidR="004F58EE" w:rsidRDefault="00147C7F">
      <w:pPr>
        <w:pStyle w:val="Nadpis2"/>
        <w:spacing w:before="187"/>
        <w:ind w:left="12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F58EE" w:rsidRDefault="00147C7F">
      <w:pPr>
        <w:pStyle w:val="Zkladntext"/>
        <w:tabs>
          <w:tab w:val="left" w:pos="3002"/>
        </w:tabs>
        <w:spacing w:before="1"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F58EE" w:rsidRDefault="00147C7F">
      <w:pPr>
        <w:pStyle w:val="Zkladntext"/>
        <w:tabs>
          <w:tab w:val="left" w:pos="3002"/>
        </w:tabs>
        <w:spacing w:line="265" w:lineRule="exact"/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F58EE" w:rsidRDefault="00147C7F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4F58EE" w:rsidRDefault="00147C7F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F58EE" w:rsidRDefault="00147C7F">
      <w:pPr>
        <w:pStyle w:val="Zkladntext"/>
        <w:tabs>
          <w:tab w:val="left" w:pos="3002"/>
        </w:tabs>
        <w:spacing w:before="1"/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F58EE" w:rsidRDefault="00147C7F">
      <w:pPr>
        <w:pStyle w:val="Zkladntext"/>
        <w:tabs>
          <w:tab w:val="left" w:pos="3002"/>
        </w:tabs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F58EE" w:rsidRDefault="00147C7F">
      <w:pPr>
        <w:pStyle w:val="Zkladntext"/>
        <w:spacing w:line="477" w:lineRule="auto"/>
        <w:ind w:left="12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F58EE" w:rsidRDefault="00147C7F">
      <w:pPr>
        <w:pStyle w:val="Nadpis2"/>
        <w:spacing w:before="5"/>
        <w:ind w:left="122"/>
        <w:jc w:val="left"/>
      </w:pPr>
      <w:r>
        <w:t>Zoologická</w:t>
      </w:r>
      <w:r>
        <w:rPr>
          <w:spacing w:val="-7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Jihlava,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4F58EE" w:rsidRDefault="00147C7F">
      <w:pPr>
        <w:pStyle w:val="Zkladntext"/>
        <w:tabs>
          <w:tab w:val="left" w:pos="3002"/>
        </w:tabs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Březinovy</w:t>
      </w:r>
      <w:r>
        <w:rPr>
          <w:spacing w:val="-4"/>
        </w:rPr>
        <w:t xml:space="preserve"> </w:t>
      </w:r>
      <w:r>
        <w:t>sady</w:t>
      </w:r>
      <w:r>
        <w:rPr>
          <w:spacing w:val="-4"/>
        </w:rPr>
        <w:t xml:space="preserve"> </w:t>
      </w:r>
      <w:r>
        <w:t>5642/10,</w:t>
      </w:r>
      <w:r>
        <w:rPr>
          <w:spacing w:val="-5"/>
        </w:rPr>
        <w:t xml:space="preserve"> </w:t>
      </w:r>
      <w:r>
        <w:t>586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Jihlava</w:t>
      </w:r>
    </w:p>
    <w:p w:rsidR="004F58EE" w:rsidRDefault="00147C7F">
      <w:pPr>
        <w:pStyle w:val="Zkladntext"/>
        <w:tabs>
          <w:tab w:val="left" w:pos="3002"/>
        </w:tabs>
        <w:spacing w:before="1"/>
        <w:ind w:left="122"/>
      </w:pPr>
      <w:r>
        <w:t>IČO:</w:t>
      </w:r>
      <w:r>
        <w:tab/>
        <w:t>00404454</w:t>
      </w:r>
    </w:p>
    <w:p w:rsidR="004F58EE" w:rsidRDefault="00147C7F">
      <w:pPr>
        <w:pStyle w:val="Zkladntext"/>
        <w:tabs>
          <w:tab w:val="left" w:pos="3002"/>
        </w:tabs>
        <w:spacing w:line="265" w:lineRule="exact"/>
        <w:ind w:left="12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</w:p>
    <w:p w:rsidR="004F58EE" w:rsidRDefault="00147C7F">
      <w:pPr>
        <w:pStyle w:val="Zkladntext"/>
        <w:tabs>
          <w:tab w:val="left" w:pos="3002"/>
        </w:tabs>
        <w:spacing w:line="265" w:lineRule="exact"/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5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4F58EE" w:rsidRDefault="00147C7F">
      <w:pPr>
        <w:pStyle w:val="Zkladntext"/>
        <w:tabs>
          <w:tab w:val="left" w:pos="3002"/>
        </w:tabs>
        <w:spacing w:before="1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172642384/0300</w:t>
      </w:r>
    </w:p>
    <w:p w:rsidR="004F58EE" w:rsidRDefault="00147C7F">
      <w:pPr>
        <w:pStyle w:val="Zkladntext"/>
        <w:spacing w:line="720" w:lineRule="auto"/>
        <w:ind w:left="122" w:right="693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4F58EE" w:rsidRDefault="00147C7F">
      <w:pPr>
        <w:pStyle w:val="Nadpis1"/>
        <w:spacing w:line="213" w:lineRule="exact"/>
        <w:ind w:left="4715" w:right="4724"/>
      </w:pPr>
      <w:r>
        <w:t>I.</w:t>
      </w:r>
    </w:p>
    <w:p w:rsidR="004F58EE" w:rsidRDefault="00147C7F">
      <w:pPr>
        <w:pStyle w:val="Nadpis2"/>
        <w:spacing w:before="1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F58EE" w:rsidRDefault="004F58EE">
      <w:pPr>
        <w:pStyle w:val="Zkladntext"/>
        <w:ind w:left="0"/>
        <w:rPr>
          <w:b/>
          <w:sz w:val="18"/>
        </w:rPr>
      </w:pPr>
    </w:p>
    <w:p w:rsidR="004F58EE" w:rsidRDefault="00147C7F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F58EE" w:rsidRDefault="00147C7F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1200100061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F58EE" w:rsidRDefault="00147C7F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F58EE" w:rsidRDefault="00147C7F">
      <w:pPr>
        <w:pStyle w:val="Odstavecseseznamem"/>
        <w:numPr>
          <w:ilvl w:val="0"/>
          <w:numId w:val="8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F58EE" w:rsidRDefault="004F58EE">
      <w:pPr>
        <w:jc w:val="both"/>
        <w:rPr>
          <w:sz w:val="20"/>
        </w:rPr>
        <w:sectPr w:rsidR="004F58EE">
          <w:footerReference w:type="default" r:id="rId7"/>
          <w:type w:val="continuous"/>
          <w:pgSz w:w="12240" w:h="15840"/>
          <w:pgMar w:top="1480" w:right="1000" w:bottom="1580" w:left="1580" w:header="0" w:footer="1384" w:gutter="0"/>
          <w:pgNumType w:start="1"/>
          <w:cols w:space="708"/>
        </w:sectPr>
      </w:pPr>
    </w:p>
    <w:p w:rsidR="004F58EE" w:rsidRDefault="00147C7F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F58EE" w:rsidRDefault="00147C7F">
      <w:pPr>
        <w:pStyle w:val="Nadpis2"/>
        <w:spacing w:before="120"/>
        <w:ind w:left="148"/>
        <w:jc w:val="left"/>
      </w:pPr>
      <w:r>
        <w:t>„Podpora</w:t>
      </w:r>
      <w:r>
        <w:rPr>
          <w:spacing w:val="-2"/>
        </w:rPr>
        <w:t xml:space="preserve"> </w:t>
      </w:r>
      <w:r>
        <w:t>výukových</w:t>
      </w:r>
      <w:r>
        <w:rPr>
          <w:spacing w:val="-3"/>
        </w:rPr>
        <w:t xml:space="preserve"> </w:t>
      </w:r>
      <w:r>
        <w:t>programů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Centru</w:t>
      </w:r>
      <w:r>
        <w:rPr>
          <w:spacing w:val="-3"/>
        </w:rPr>
        <w:t xml:space="preserve"> </w:t>
      </w:r>
      <w:r>
        <w:t>environmentální</w:t>
      </w:r>
      <w:r>
        <w:rPr>
          <w:spacing w:val="-3"/>
        </w:rPr>
        <w:t xml:space="preserve"> </w:t>
      </w:r>
      <w:r>
        <w:t>výchovy</w:t>
      </w:r>
      <w:r>
        <w:rPr>
          <w:spacing w:val="-3"/>
        </w:rPr>
        <w:t xml:space="preserve"> </w:t>
      </w:r>
      <w:r>
        <w:t>PodpoVRCH</w:t>
      </w:r>
      <w:r>
        <w:rPr>
          <w:spacing w:val="-2"/>
        </w:rPr>
        <w:t xml:space="preserve"> </w:t>
      </w:r>
      <w:r>
        <w:t>v Zoo</w:t>
      </w:r>
      <w:r>
        <w:rPr>
          <w:spacing w:val="-1"/>
        </w:rPr>
        <w:t xml:space="preserve"> </w:t>
      </w:r>
      <w:r>
        <w:t>Jihlava</w:t>
      </w:r>
      <w:r>
        <w:rPr>
          <w:spacing w:val="-3"/>
        </w:rPr>
        <w:t xml:space="preserve"> </w:t>
      </w:r>
      <w:r>
        <w:t>2021“</w:t>
      </w:r>
    </w:p>
    <w:p w:rsidR="004F58EE" w:rsidRDefault="00147C7F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F58EE" w:rsidRDefault="004F58EE">
      <w:pPr>
        <w:pStyle w:val="Zkladntext"/>
        <w:spacing w:before="1"/>
        <w:ind w:left="0"/>
        <w:rPr>
          <w:sz w:val="36"/>
        </w:rPr>
      </w:pPr>
    </w:p>
    <w:p w:rsidR="004F58EE" w:rsidRDefault="00147C7F">
      <w:pPr>
        <w:pStyle w:val="Nadpis1"/>
        <w:ind w:left="4715" w:right="4724"/>
      </w:pPr>
      <w:r>
        <w:t>II.</w:t>
      </w:r>
    </w:p>
    <w:p w:rsidR="004F58EE" w:rsidRDefault="00147C7F">
      <w:pPr>
        <w:pStyle w:val="Nadpis2"/>
        <w:spacing w:before="1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F58EE" w:rsidRDefault="004F58EE">
      <w:pPr>
        <w:pStyle w:val="Zkladntext"/>
        <w:spacing w:before="1"/>
        <w:ind w:left="0"/>
        <w:rPr>
          <w:b/>
          <w:sz w:val="18"/>
        </w:rPr>
      </w:pP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250 000,00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4F58EE" w:rsidRDefault="00147C7F">
      <w:pPr>
        <w:pStyle w:val="Zkladntext"/>
        <w:spacing w:line="265" w:lineRule="exac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4"/>
        </w:rPr>
        <w:t xml:space="preserve"> </w:t>
      </w:r>
      <w:r>
        <w:t>padesát tisíc</w:t>
      </w:r>
      <w:r>
        <w:rPr>
          <w:spacing w:val="-4"/>
        </w:rPr>
        <w:t xml:space="preserve"> </w:t>
      </w:r>
      <w:r>
        <w:t>korun českých).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spacing w:before="120"/>
        <w:ind w:right="13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4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21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4F58EE" w:rsidRDefault="00147C7F">
      <w:pPr>
        <w:pStyle w:val="Zkladntext"/>
      </w:pPr>
      <w:r>
        <w:t>(EVP)</w:t>
      </w:r>
      <w:r>
        <w:rPr>
          <w:spacing w:val="-2"/>
        </w:rPr>
        <w:t xml:space="preserve"> </w:t>
      </w:r>
      <w:r>
        <w:t>EVP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Kč.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5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</w:t>
      </w:r>
      <w:r>
        <w:rPr>
          <w:sz w:val="20"/>
        </w:rPr>
        <w:t>P (t.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2"/>
          <w:sz w:val="20"/>
        </w:rPr>
        <w:t xml:space="preserve"> </w:t>
      </w:r>
      <w:r>
        <w:rPr>
          <w:sz w:val="20"/>
        </w:rPr>
        <w:t>do 30.</w:t>
      </w:r>
      <w:r>
        <w:rPr>
          <w:spacing w:val="-3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2022).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F58EE" w:rsidRDefault="00147C7F">
      <w:pPr>
        <w:pStyle w:val="Odstavecseseznamem"/>
        <w:numPr>
          <w:ilvl w:val="0"/>
          <w:numId w:val="7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4F58EE" w:rsidRDefault="00147C7F">
      <w:pPr>
        <w:pStyle w:val="Zkladntext"/>
        <w:spacing w:before="1"/>
      </w:pPr>
      <w:r>
        <w:t>Výzvy.</w:t>
      </w:r>
    </w:p>
    <w:p w:rsidR="004F58EE" w:rsidRDefault="004F58EE">
      <w:pPr>
        <w:pStyle w:val="Zkladntext"/>
        <w:spacing w:before="2"/>
        <w:ind w:left="0"/>
        <w:rPr>
          <w:sz w:val="36"/>
        </w:rPr>
      </w:pPr>
    </w:p>
    <w:p w:rsidR="004F58EE" w:rsidRDefault="00147C7F">
      <w:pPr>
        <w:pStyle w:val="Nadpis1"/>
        <w:ind w:right="1050"/>
      </w:pPr>
      <w:r>
        <w:t>III.</w:t>
      </w:r>
    </w:p>
    <w:p w:rsidR="004F58EE" w:rsidRDefault="00147C7F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F58EE" w:rsidRDefault="004F58EE">
      <w:pPr>
        <w:pStyle w:val="Zkladntext"/>
        <w:spacing w:before="1"/>
        <w:ind w:left="0"/>
        <w:rPr>
          <w:b/>
          <w:sz w:val="18"/>
        </w:rPr>
      </w:pPr>
    </w:p>
    <w:p w:rsidR="004F58EE" w:rsidRDefault="00147C7F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4F58EE" w:rsidRDefault="00147C7F">
      <w:pPr>
        <w:pStyle w:val="Odstavecseseznamem"/>
        <w:numPr>
          <w:ilvl w:val="0"/>
          <w:numId w:val="6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F58EE" w:rsidRDefault="004F58EE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903"/>
      </w:tblGrid>
      <w:tr w:rsidR="004F58EE">
        <w:trPr>
          <w:trHeight w:val="508"/>
        </w:trPr>
        <w:tc>
          <w:tcPr>
            <w:tcW w:w="4533" w:type="dxa"/>
          </w:tcPr>
          <w:p w:rsidR="004F58EE" w:rsidRDefault="00147C7F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03" w:type="dxa"/>
          </w:tcPr>
          <w:p w:rsidR="004F58EE" w:rsidRDefault="00147C7F">
            <w:pPr>
              <w:pStyle w:val="TableParagraph"/>
              <w:spacing w:before="122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F58EE">
        <w:trPr>
          <w:trHeight w:val="506"/>
        </w:trPr>
        <w:tc>
          <w:tcPr>
            <w:tcW w:w="4533" w:type="dxa"/>
          </w:tcPr>
          <w:p w:rsidR="004F58EE" w:rsidRDefault="00147C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3" w:type="dxa"/>
          </w:tcPr>
          <w:p w:rsidR="004F58EE" w:rsidRDefault="00147C7F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4F58EE" w:rsidRDefault="00147C7F">
      <w:pPr>
        <w:pStyle w:val="Odstavecseseznamem"/>
        <w:numPr>
          <w:ilvl w:val="0"/>
          <w:numId w:val="6"/>
        </w:numPr>
        <w:tabs>
          <w:tab w:val="left" w:pos="40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4F58EE" w:rsidRDefault="00147C7F">
      <w:pPr>
        <w:pStyle w:val="Odstavecseseznamem"/>
        <w:numPr>
          <w:ilvl w:val="0"/>
          <w:numId w:val="6"/>
        </w:numPr>
        <w:tabs>
          <w:tab w:val="left" w:pos="40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</w:t>
      </w:r>
      <w:r>
        <w:rPr>
          <w:sz w:val="20"/>
        </w:rPr>
        <w:t>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F58EE" w:rsidRDefault="004F58EE">
      <w:pPr>
        <w:jc w:val="both"/>
        <w:rPr>
          <w:sz w:val="20"/>
        </w:rPr>
        <w:sectPr w:rsidR="004F58EE">
          <w:pgSz w:w="12240" w:h="15840"/>
          <w:pgMar w:top="1060" w:right="1000" w:bottom="1660" w:left="1580" w:header="0" w:footer="1384" w:gutter="0"/>
          <w:cols w:space="708"/>
        </w:sectPr>
      </w:pPr>
    </w:p>
    <w:p w:rsidR="004F58EE" w:rsidRDefault="004F58EE">
      <w:pPr>
        <w:pStyle w:val="Zkladntext"/>
        <w:ind w:left="0"/>
        <w:rPr>
          <w:sz w:val="26"/>
        </w:rPr>
      </w:pPr>
    </w:p>
    <w:p w:rsidR="004F58EE" w:rsidRDefault="004F58EE">
      <w:pPr>
        <w:pStyle w:val="Zkladntext"/>
        <w:spacing w:before="8"/>
        <w:ind w:left="0"/>
        <w:rPr>
          <w:sz w:val="37"/>
        </w:rPr>
      </w:pPr>
    </w:p>
    <w:p w:rsidR="004F58EE" w:rsidRDefault="00147C7F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F58EE" w:rsidRDefault="00147C7F">
      <w:pPr>
        <w:spacing w:before="73"/>
        <w:ind w:left="2490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F58EE" w:rsidRDefault="00147C7F">
      <w:pPr>
        <w:pStyle w:val="Nadpis2"/>
        <w:ind w:left="109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F58EE" w:rsidRDefault="004F58EE">
      <w:pPr>
        <w:sectPr w:rsidR="004F58EE">
          <w:pgSz w:w="12240" w:h="15840"/>
          <w:pgMar w:top="1060" w:right="1000" w:bottom="166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F58EE" w:rsidRDefault="00147C7F">
      <w:pPr>
        <w:pStyle w:val="Odstavecseseznamem"/>
        <w:numPr>
          <w:ilvl w:val="0"/>
          <w:numId w:val="4"/>
        </w:numPr>
        <w:tabs>
          <w:tab w:val="left" w:pos="830"/>
        </w:tabs>
        <w:ind w:right="132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„Podpora</w:t>
      </w:r>
      <w:r>
        <w:rPr>
          <w:spacing w:val="-12"/>
          <w:sz w:val="20"/>
        </w:rPr>
        <w:t xml:space="preserve"> </w:t>
      </w:r>
      <w:r>
        <w:rPr>
          <w:sz w:val="20"/>
        </w:rPr>
        <w:t>výukových</w:t>
      </w:r>
      <w:r>
        <w:rPr>
          <w:spacing w:val="-52"/>
          <w:sz w:val="20"/>
        </w:rPr>
        <w:t xml:space="preserve"> </w:t>
      </w:r>
      <w:r>
        <w:rPr>
          <w:sz w:val="20"/>
        </w:rPr>
        <w:t>programů v Centru environmentální výchovy PodpoVRCH v Zoo Jihlava 2021“, které 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 ze dne 28. 7. 2020 a rozpočtu tohoto projektu,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4F58EE" w:rsidRDefault="00147C7F">
      <w:pPr>
        <w:pStyle w:val="Odstavecseseznamem"/>
        <w:numPr>
          <w:ilvl w:val="0"/>
          <w:numId w:val="4"/>
        </w:numPr>
        <w:tabs>
          <w:tab w:val="left" w:pos="830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0"/>
          <w:sz w:val="20"/>
        </w:rPr>
        <w:t xml:space="preserve"> </w:t>
      </w:r>
      <w:r>
        <w:rPr>
          <w:sz w:val="20"/>
        </w:rPr>
        <w:t>6/2021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11/2021</w:t>
      </w:r>
      <w:r>
        <w:rPr>
          <w:spacing w:val="9"/>
          <w:sz w:val="20"/>
        </w:rPr>
        <w:t xml:space="preserve"> </w:t>
      </w:r>
      <w:r>
        <w:rPr>
          <w:sz w:val="20"/>
        </w:rPr>
        <w:t>zr</w:t>
      </w:r>
      <w:r>
        <w:rPr>
          <w:sz w:val="20"/>
        </w:rPr>
        <w:t>ealizoval</w:t>
      </w:r>
      <w:r>
        <w:rPr>
          <w:spacing w:val="9"/>
          <w:sz w:val="20"/>
        </w:rPr>
        <w:t xml:space="preserve"> </w:t>
      </w:r>
      <w:r>
        <w:rPr>
          <w:sz w:val="20"/>
        </w:rPr>
        <w:t>189</w:t>
      </w:r>
      <w:r>
        <w:rPr>
          <w:spacing w:val="11"/>
          <w:sz w:val="20"/>
        </w:rPr>
        <w:t xml:space="preserve"> </w:t>
      </w:r>
      <w:r>
        <w:rPr>
          <w:sz w:val="20"/>
        </w:rPr>
        <w:t>denních</w:t>
      </w:r>
      <w:r>
        <w:rPr>
          <w:spacing w:val="9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0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2"/>
          <w:sz w:val="20"/>
        </w:rPr>
        <w:t xml:space="preserve"> </w:t>
      </w:r>
      <w:r>
        <w:rPr>
          <w:sz w:val="20"/>
        </w:rPr>
        <w:t>programů</w:t>
      </w:r>
      <w:r>
        <w:rPr>
          <w:spacing w:val="9"/>
          <w:sz w:val="20"/>
        </w:rPr>
        <w:t xml:space="preserve"> </w:t>
      </w:r>
      <w:r>
        <w:rPr>
          <w:sz w:val="20"/>
        </w:rPr>
        <w:t>(EVP)</w:t>
      </w:r>
    </w:p>
    <w:p w:rsidR="004F58EE" w:rsidRDefault="00147C7F">
      <w:pPr>
        <w:pStyle w:val="Zkladntext"/>
        <w:ind w:left="830"/>
        <w:jc w:val="both"/>
      </w:pP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osobohodin,</w:t>
      </w:r>
    </w:p>
    <w:p w:rsidR="004F58EE" w:rsidRDefault="00147C7F">
      <w:pPr>
        <w:pStyle w:val="Odstavecseseznamem"/>
        <w:numPr>
          <w:ilvl w:val="0"/>
          <w:numId w:val="4"/>
        </w:numPr>
        <w:tabs>
          <w:tab w:val="left" w:pos="830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F58EE" w:rsidRDefault="00147C7F">
      <w:pPr>
        <w:pStyle w:val="Zkladntext"/>
        <w:spacing w:before="120"/>
        <w:ind w:left="830" w:right="134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poskytnutých</w:t>
      </w:r>
      <w:r>
        <w:rPr>
          <w:spacing w:val="39"/>
        </w:rPr>
        <w:t xml:space="preserve"> </w:t>
      </w:r>
      <w:r>
        <w:t>ze</w:t>
      </w:r>
      <w:r>
        <w:rPr>
          <w:spacing w:val="38"/>
        </w:rPr>
        <w:t xml:space="preserve"> </w:t>
      </w:r>
      <w:r>
        <w:t>státního</w:t>
      </w:r>
      <w:r>
        <w:rPr>
          <w:spacing w:val="39"/>
        </w:rPr>
        <w:t xml:space="preserve"> </w:t>
      </w:r>
      <w:r>
        <w:t>fondu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smyslu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218/2000</w:t>
      </w:r>
      <w:r>
        <w:rPr>
          <w:spacing w:val="40"/>
        </w:rPr>
        <w:t xml:space="preserve"> </w:t>
      </w:r>
      <w:r>
        <w:t>Sb.,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rozpočtových</w:t>
      </w:r>
      <w:r>
        <w:rPr>
          <w:spacing w:val="39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F58EE" w:rsidRDefault="00147C7F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F58EE" w:rsidRDefault="00147C7F">
      <w:pPr>
        <w:pStyle w:val="Odstavecseseznamem"/>
        <w:numPr>
          <w:ilvl w:val="0"/>
          <w:numId w:val="3"/>
        </w:numPr>
        <w:tabs>
          <w:tab w:val="left" w:pos="80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4F58EE" w:rsidRDefault="00147C7F">
      <w:pPr>
        <w:pStyle w:val="Odstavecseseznamem"/>
        <w:numPr>
          <w:ilvl w:val="0"/>
          <w:numId w:val="3"/>
        </w:numPr>
        <w:tabs>
          <w:tab w:val="left" w:pos="804"/>
        </w:tabs>
        <w:spacing w:before="122"/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4F58EE" w:rsidRDefault="00147C7F">
      <w:pPr>
        <w:pStyle w:val="Odstavecseseznamem"/>
        <w:numPr>
          <w:ilvl w:val="0"/>
          <w:numId w:val="3"/>
        </w:numPr>
        <w:tabs>
          <w:tab w:val="left" w:pos="80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4F58EE" w:rsidRDefault="00147C7F">
      <w:pPr>
        <w:pStyle w:val="Odstavecseseznamem"/>
        <w:numPr>
          <w:ilvl w:val="0"/>
          <w:numId w:val="5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2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3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4F58EE" w:rsidRDefault="004F58EE">
      <w:pPr>
        <w:jc w:val="both"/>
        <w:rPr>
          <w:sz w:val="20"/>
        </w:rPr>
        <w:sectPr w:rsidR="004F58EE">
          <w:type w:val="continuous"/>
          <w:pgSz w:w="12240" w:h="15840"/>
          <w:pgMar w:top="1480" w:right="1000" w:bottom="1580" w:left="1580" w:header="0" w:footer="1384" w:gutter="0"/>
          <w:cols w:space="708"/>
        </w:sectPr>
      </w:pP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73"/>
        <w:ind w:left="688" w:right="132" w:hanging="284"/>
        <w:jc w:val="both"/>
        <w:rPr>
          <w:sz w:val="20"/>
        </w:rPr>
      </w:pPr>
      <w:r>
        <w:rPr>
          <w:sz w:val="20"/>
        </w:rPr>
        <w:lastRenderedPageBreak/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5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</w:t>
      </w:r>
      <w:r>
        <w:rPr>
          <w:sz w:val="20"/>
        </w:rPr>
        <w:t>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F58EE" w:rsidRDefault="00147C7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F58EE" w:rsidRDefault="004F58EE">
      <w:pPr>
        <w:pStyle w:val="Zkladntext"/>
        <w:spacing w:before="2"/>
        <w:ind w:left="0"/>
        <w:rPr>
          <w:sz w:val="36"/>
        </w:rPr>
      </w:pPr>
    </w:p>
    <w:p w:rsidR="004F58EE" w:rsidRDefault="00147C7F">
      <w:pPr>
        <w:pStyle w:val="Nadpis1"/>
      </w:pPr>
      <w:r>
        <w:t>V.</w:t>
      </w:r>
    </w:p>
    <w:p w:rsidR="004F58EE" w:rsidRDefault="00147C7F">
      <w:pPr>
        <w:pStyle w:val="Nadpis2"/>
        <w:ind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sankce</w:t>
      </w:r>
    </w:p>
    <w:p w:rsidR="004F58EE" w:rsidRDefault="004F58EE">
      <w:pPr>
        <w:pStyle w:val="Zkladntext"/>
        <w:spacing w:before="1"/>
        <w:ind w:left="0"/>
        <w:rPr>
          <w:b/>
          <w:sz w:val="18"/>
        </w:rPr>
      </w:pPr>
    </w:p>
    <w:p w:rsidR="004F58EE" w:rsidRDefault="00147C7F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F58EE" w:rsidRDefault="00147C7F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Porušení povinností podle článku II bodů 5 nebo 6, článku IV bodu 1 písm. a) za první nebo třetí odrážkou,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článku IV bodu 1 písm. b) za první odrážkou nebo podle článku IV bod</w:t>
      </w:r>
      <w:r>
        <w:rPr>
          <w:w w:val="95"/>
          <w:sz w:val="20"/>
        </w:rPr>
        <w:t>u 2 písm. a), nebo c) bude postiženo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F58EE" w:rsidRDefault="00147C7F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7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</w:t>
      </w:r>
      <w:r>
        <w:rPr>
          <w:sz w:val="20"/>
        </w:rPr>
        <w:t>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 50-99 % stanovených indikátorů bude toto porušení postiženo odvodem v rozmezí 0,1–49 %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F58EE" w:rsidRDefault="00147C7F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3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F58EE" w:rsidRDefault="00147C7F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4F58EE" w:rsidRDefault="00147C7F">
      <w:pPr>
        <w:pStyle w:val="Zkladntext"/>
        <w:spacing w:before="1"/>
        <w:ind w:left="481"/>
      </w:pPr>
      <w:r>
        <w:t>podpory.</w:t>
      </w:r>
    </w:p>
    <w:p w:rsidR="004F58EE" w:rsidRDefault="004F58EE">
      <w:pPr>
        <w:pStyle w:val="Zkladntext"/>
        <w:spacing w:before="1"/>
        <w:ind w:left="0"/>
        <w:rPr>
          <w:sz w:val="36"/>
        </w:rPr>
      </w:pPr>
    </w:p>
    <w:p w:rsidR="004F58EE" w:rsidRDefault="00147C7F">
      <w:pPr>
        <w:pStyle w:val="Nadpis1"/>
        <w:spacing w:before="1"/>
      </w:pPr>
      <w:r>
        <w:t>VI.</w:t>
      </w:r>
    </w:p>
    <w:p w:rsidR="004F58EE" w:rsidRDefault="00147C7F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</w:t>
      </w:r>
      <w:r>
        <w:t>anovení</w:t>
      </w:r>
    </w:p>
    <w:p w:rsidR="004F58EE" w:rsidRDefault="004F58EE">
      <w:pPr>
        <w:pStyle w:val="Zkladntext"/>
        <w:spacing w:before="1"/>
        <w:ind w:left="0"/>
        <w:rPr>
          <w:b/>
          <w:sz w:val="18"/>
        </w:rPr>
      </w:pP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F58EE" w:rsidRDefault="004F58EE">
      <w:pPr>
        <w:jc w:val="both"/>
        <w:rPr>
          <w:sz w:val="20"/>
        </w:rPr>
        <w:sectPr w:rsidR="004F58EE">
          <w:pgSz w:w="12240" w:h="15840"/>
          <w:pgMar w:top="1060" w:right="1000" w:bottom="1580" w:left="1580" w:header="0" w:footer="1384" w:gutter="0"/>
          <w:cols w:space="708"/>
        </w:sectPr>
      </w:pP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9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</w:t>
      </w:r>
      <w:r>
        <w:rPr>
          <w:sz w:val="20"/>
        </w:rPr>
        <w:t>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F58EE" w:rsidRDefault="00147C7F">
      <w:pPr>
        <w:pStyle w:val="Zkladntext"/>
      </w:pPr>
      <w:r>
        <w:t>Smlouvou.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F58EE" w:rsidRDefault="00147C7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F58EE" w:rsidRDefault="00147C7F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</w:t>
      </w:r>
      <w:r>
        <w:rPr>
          <w:sz w:val="20"/>
        </w:rPr>
        <w:t xml:space="preserve">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F58EE" w:rsidRDefault="004F58EE">
      <w:pPr>
        <w:pStyle w:val="Zkladntext"/>
        <w:spacing w:before="1"/>
        <w:ind w:left="0"/>
        <w:rPr>
          <w:sz w:val="36"/>
        </w:rPr>
      </w:pPr>
    </w:p>
    <w:p w:rsidR="004F58EE" w:rsidRDefault="00147C7F">
      <w:pPr>
        <w:pStyle w:val="Zkladntext"/>
        <w:tabs>
          <w:tab w:val="left" w:pos="6593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F58EE" w:rsidRDefault="004F58EE">
      <w:pPr>
        <w:pStyle w:val="Zkladntext"/>
        <w:spacing w:before="1"/>
        <w:ind w:left="0"/>
        <w:rPr>
          <w:sz w:val="18"/>
        </w:rPr>
      </w:pPr>
    </w:p>
    <w:p w:rsidR="004F58EE" w:rsidRDefault="00147C7F">
      <w:pPr>
        <w:pStyle w:val="Zkladntext"/>
        <w:ind w:left="122"/>
      </w:pPr>
      <w:r>
        <w:t>dne:</w:t>
      </w:r>
    </w:p>
    <w:p w:rsidR="004F58EE" w:rsidRDefault="004F58EE">
      <w:pPr>
        <w:pStyle w:val="Zkladntext"/>
        <w:ind w:left="0"/>
        <w:rPr>
          <w:sz w:val="26"/>
        </w:rPr>
      </w:pPr>
    </w:p>
    <w:p w:rsidR="004F58EE" w:rsidRDefault="004F58EE">
      <w:pPr>
        <w:pStyle w:val="Zkladntext"/>
        <w:ind w:left="0"/>
        <w:rPr>
          <w:sz w:val="26"/>
        </w:rPr>
      </w:pPr>
    </w:p>
    <w:p w:rsidR="004F58EE" w:rsidRDefault="004F58EE">
      <w:pPr>
        <w:pStyle w:val="Zkladntext"/>
        <w:spacing w:before="3"/>
        <w:ind w:left="0"/>
        <w:rPr>
          <w:sz w:val="29"/>
        </w:rPr>
      </w:pPr>
    </w:p>
    <w:p w:rsidR="004F58EE" w:rsidRDefault="00147C7F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F58EE" w:rsidRDefault="00147C7F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F58EE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7F" w:rsidRDefault="00147C7F">
      <w:r>
        <w:separator/>
      </w:r>
    </w:p>
  </w:endnote>
  <w:endnote w:type="continuationSeparator" w:id="0">
    <w:p w:rsidR="00147C7F" w:rsidRDefault="0014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EE" w:rsidRDefault="00703C01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EE" w:rsidRDefault="00147C7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C01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F58EE" w:rsidRDefault="00147C7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C01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7F" w:rsidRDefault="00147C7F">
      <w:r>
        <w:separator/>
      </w:r>
    </w:p>
  </w:footnote>
  <w:footnote w:type="continuationSeparator" w:id="0">
    <w:p w:rsidR="00147C7F" w:rsidRDefault="0014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429"/>
    <w:multiLevelType w:val="hybridMultilevel"/>
    <w:tmpl w:val="9F3E78B6"/>
    <w:lvl w:ilvl="0" w:tplc="59A2180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ACD08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CD0CC57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12246F1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764E041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743C85F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ED3CB99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50A43CC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4866A86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8A73B3"/>
    <w:multiLevelType w:val="hybridMultilevel"/>
    <w:tmpl w:val="B100DE4E"/>
    <w:lvl w:ilvl="0" w:tplc="F4DC1E50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D0D20E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E2847E22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578AAF18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A7F841DA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C4FA20F2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6DDC05F0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29B2F392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D102E9A4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9DA7419"/>
    <w:multiLevelType w:val="hybridMultilevel"/>
    <w:tmpl w:val="5ACE2CE2"/>
    <w:lvl w:ilvl="0" w:tplc="4D9CDA1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322C3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770533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FF9C9B3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9A16C55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0CC08A4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2F346B4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8CAAC89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B02E86B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DFD2655"/>
    <w:multiLevelType w:val="hybridMultilevel"/>
    <w:tmpl w:val="89ECC0EC"/>
    <w:lvl w:ilvl="0" w:tplc="D75C94C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CC8D2A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09D44DC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6C569BF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7B3C28A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4926A41A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086420C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AB569CC8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2228C71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55D7B0C"/>
    <w:multiLevelType w:val="hybridMultilevel"/>
    <w:tmpl w:val="7A884846"/>
    <w:lvl w:ilvl="0" w:tplc="F8BA849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8230AA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5FAE059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8E8887A8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9B22019A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BA5E4934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E1B2FD42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8B5E264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D42AE01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E6678C"/>
    <w:multiLevelType w:val="hybridMultilevel"/>
    <w:tmpl w:val="6886683C"/>
    <w:lvl w:ilvl="0" w:tplc="3F7E19F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34CB4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FC04A824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FF305FCA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30360EF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F5B0F90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089EE7E2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6A4EC19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52027676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1AA1567"/>
    <w:multiLevelType w:val="hybridMultilevel"/>
    <w:tmpl w:val="9A040A1C"/>
    <w:lvl w:ilvl="0" w:tplc="40BCBAE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BA32A8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580462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74A2F804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3FA887A4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45100260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6F9294DA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0F7C5184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B3D6B708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E8368C9"/>
    <w:multiLevelType w:val="hybridMultilevel"/>
    <w:tmpl w:val="44EEC53E"/>
    <w:lvl w:ilvl="0" w:tplc="51F48932">
      <w:numFmt w:val="bullet"/>
      <w:lvlText w:val="-"/>
      <w:lvlJc w:val="left"/>
      <w:pPr>
        <w:ind w:left="83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EAE3AC">
      <w:numFmt w:val="bullet"/>
      <w:lvlText w:val="•"/>
      <w:lvlJc w:val="left"/>
      <w:pPr>
        <w:ind w:left="980" w:hanging="281"/>
      </w:pPr>
      <w:rPr>
        <w:rFonts w:hint="default"/>
        <w:lang w:val="cs-CZ" w:eastAsia="en-US" w:bidi="ar-SA"/>
      </w:rPr>
    </w:lvl>
    <w:lvl w:ilvl="2" w:tplc="DB841672">
      <w:numFmt w:val="bullet"/>
      <w:lvlText w:val="•"/>
      <w:lvlJc w:val="left"/>
      <w:pPr>
        <w:ind w:left="1944" w:hanging="281"/>
      </w:pPr>
      <w:rPr>
        <w:rFonts w:hint="default"/>
        <w:lang w:val="cs-CZ" w:eastAsia="en-US" w:bidi="ar-SA"/>
      </w:rPr>
    </w:lvl>
    <w:lvl w:ilvl="3" w:tplc="8B3C285A">
      <w:numFmt w:val="bullet"/>
      <w:lvlText w:val="•"/>
      <w:lvlJc w:val="left"/>
      <w:pPr>
        <w:ind w:left="2908" w:hanging="281"/>
      </w:pPr>
      <w:rPr>
        <w:rFonts w:hint="default"/>
        <w:lang w:val="cs-CZ" w:eastAsia="en-US" w:bidi="ar-SA"/>
      </w:rPr>
    </w:lvl>
    <w:lvl w:ilvl="4" w:tplc="92DEC942">
      <w:numFmt w:val="bullet"/>
      <w:lvlText w:val="•"/>
      <w:lvlJc w:val="left"/>
      <w:pPr>
        <w:ind w:left="3873" w:hanging="281"/>
      </w:pPr>
      <w:rPr>
        <w:rFonts w:hint="default"/>
        <w:lang w:val="cs-CZ" w:eastAsia="en-US" w:bidi="ar-SA"/>
      </w:rPr>
    </w:lvl>
    <w:lvl w:ilvl="5" w:tplc="6626603E">
      <w:numFmt w:val="bullet"/>
      <w:lvlText w:val="•"/>
      <w:lvlJc w:val="left"/>
      <w:pPr>
        <w:ind w:left="4837" w:hanging="281"/>
      </w:pPr>
      <w:rPr>
        <w:rFonts w:hint="default"/>
        <w:lang w:val="cs-CZ" w:eastAsia="en-US" w:bidi="ar-SA"/>
      </w:rPr>
    </w:lvl>
    <w:lvl w:ilvl="6" w:tplc="8DFCA182">
      <w:numFmt w:val="bullet"/>
      <w:lvlText w:val="•"/>
      <w:lvlJc w:val="left"/>
      <w:pPr>
        <w:ind w:left="5802" w:hanging="281"/>
      </w:pPr>
      <w:rPr>
        <w:rFonts w:hint="default"/>
        <w:lang w:val="cs-CZ" w:eastAsia="en-US" w:bidi="ar-SA"/>
      </w:rPr>
    </w:lvl>
    <w:lvl w:ilvl="7" w:tplc="A0A44CDA">
      <w:numFmt w:val="bullet"/>
      <w:lvlText w:val="•"/>
      <w:lvlJc w:val="left"/>
      <w:pPr>
        <w:ind w:left="6766" w:hanging="281"/>
      </w:pPr>
      <w:rPr>
        <w:rFonts w:hint="default"/>
        <w:lang w:val="cs-CZ" w:eastAsia="en-US" w:bidi="ar-SA"/>
      </w:rPr>
    </w:lvl>
    <w:lvl w:ilvl="8" w:tplc="BFEA0686">
      <w:numFmt w:val="bullet"/>
      <w:lvlText w:val="•"/>
      <w:lvlJc w:val="left"/>
      <w:pPr>
        <w:ind w:left="7731" w:hanging="281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EE"/>
    <w:rsid w:val="00147C7F"/>
    <w:rsid w:val="004F58EE"/>
    <w:rsid w:val="0070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04160-C48B-49F0-B4E7-C5BF6FE8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3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3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2022-04-25T12:26:00Z</dcterms:created>
  <dcterms:modified xsi:type="dcterms:W3CDTF">2022-04-25T12:26:00Z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2022-04-25T00:00:00Z</vt:filetime>
  </property>
</Properties>
</file>