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1920"/>
        <w:gridCol w:w="7138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D O D A T E K č. 10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kupní smlouvě „Asfaltová směs určená pro strojní zpracování, Část VIII. - cestmistrovství</w:t>
        <w:br/>
        <w:t>Pacov “, uzavřené dne 24. 6. 2010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Kosovská 1122/16, 586 01 Jihlava</w:t>
      </w:r>
    </w:p>
    <w:tbl>
      <w:tblPr>
        <w:tblOverlap w:val="never"/>
        <w:jc w:val="center"/>
        <w:tblLayout w:type="fixed"/>
      </w:tblPr>
      <w:tblGrid>
        <w:gridCol w:w="1920"/>
        <w:gridCol w:w="7138"/>
      </w:tblGrid>
      <w:tr>
        <w:trPr>
          <w:trHeight w:val="33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a.s., číslo účtu: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000 90 450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jedné, jako kupující)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SWIETELSKY stavební s.r.o. odštěpný závod Dopravní stavby VÝCHOD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K Silu 1143, 393 01 Pelhřimov</w:t>
      </w:r>
    </w:p>
    <w:tbl>
      <w:tblPr>
        <w:tblOverlap w:val="never"/>
        <w:jc w:val="center"/>
        <w:tblLayout w:type="fixed"/>
      </w:tblPr>
      <w:tblGrid>
        <w:gridCol w:w="1920"/>
        <w:gridCol w:w="7138"/>
      </w:tblGrid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Zdeňkem Havlem, vedoucím odštěpného závodu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UniCredit Bank Czech Republic and Slovakia, a.s.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1920"/>
        <w:gridCol w:w="7138"/>
      </w:tblGrid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48035599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CZ48035599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zapsaná v obchodním rejstříku, vedeném Krajským soudem v Českých Budějovicích oddíl C, vložka 8032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straně druhé jako prodávající)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0"/>
      <w:bookmarkEnd w:id="1"/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číslo kupujícího 162/KSÚSV/PE/10 ze dne 24. 6. 2010, spočívající ve změně ceny plnění v souladu s odst.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11.2.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11. Závěrečná ustanovení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 naplnění podmínek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9. Inflační doložka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 na základě ročního růstu indexu spotřebitelských cen vyhlášených Českým statistickým úřadem za roky 2011,2012, 2013, 2014, 2015, 2016, 2017, 2018, 2019, 2020 a 2021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Zároveň se smluvní strany dohodly na změně kupní ceny z důvodu vysokého nárůstu nákladů souvisejících s těžbou a výrobou kameniva (energie, vrtací a trhací práce apod.) převyšující inflaci vyjádřenou přírůstkem průměrného ročního indexu spotřebitelských cen, především v letech 2020-2021, a které prodávající nemohl ovlivnit.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ve znění platných dodatků se mění o průměrnou míru inflace v roce 2011, tj. + 1,9 %, 2012, tj. +3,3%, 2013, tj. +1,4%, 2014, tj. +0,4%, 2015, tj. +0,3%, 2016, tj. +0,7%, 2017, tj. +2,5%, 2018, tj. +2,1 %; 2019, tj. +2,8 %; 2020, tj. +3,2 %; 2021, tj. +3,8 %; celkem tedy 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+22,4 %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platných cen aktualizovaných Dodatkem č. 1.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4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souvislosti s dalšími náklady dochází k navýšení ceny v souladu s § 222 odst. 4 ZZVZ 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2,6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% z platných cen aktualizovaných Dodatkem č. 1. Celkové navýšení kupních cen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25 %.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 w:line="254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Ceny za plnění sjednané v odstavci 3.1. Článku 3 Cena za plnění stávající smlouvy se pro rok 2022, ve znění platných dodatků nahrazují novými cenami takto:</w:t>
      </w:r>
    </w:p>
    <w:tbl>
      <w:tblPr>
        <w:tblOverlap w:val="never"/>
        <w:jc w:val="center"/>
        <w:tblLayout w:type="fixed"/>
      </w:tblPr>
      <w:tblGrid>
        <w:gridCol w:w="2045"/>
        <w:gridCol w:w="2957"/>
      </w:tblGrid>
      <w:tr>
        <w:trPr>
          <w:trHeight w:val="74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Asfaltová směs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za 1 tunu v Kč bez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ACO 11+ 50/70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1931,25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ACP 16+ 50/70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1843,75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ACL 16+ 50/70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1868,75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ACP 22+ 50/70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1837,50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sjednané ceně bez DPH bude účtována daň z přidané hodnoty v zákonné výši; prodávající odpovídá za to, že sazba daně z přidané hodnoty je stanovena k aktuálnímu datu v souladu s platnými právními předpisy.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  <w:bookmarkEnd w:id="4"/>
      <w:bookmarkEnd w:id="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nedotčené Dodatkem č. 10 ve znění platných dodatků se nemění a zůstávají v platnosti.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je nedílnou součástí smlouvy v aktuálním znění.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je vyhotoven v elektronické podobě, přičemž obě smluvní strany obdrží jeho elektronický originál.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after="24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084" w:left="1367" w:right="1369" w:bottom="189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10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531" w:left="1368" w:right="1368" w:bottom="16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9163" w:h="4810" w:wrap="none" w:vAnchor="text" w:hAnchor="page" w:x="1369" w:y="21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jediného elektronického dokumentu (tj. do všech samostatných souborů tvořících v souhrnu dodatek, a to oběma smluvními stranami).</w:t>
      </w:r>
    </w:p>
    <w:p>
      <w:pPr>
        <w:pStyle w:val="Style11"/>
        <w:keepNext w:val="0"/>
        <w:keepLines w:val="0"/>
        <w:framePr w:w="9163" w:h="4810" w:wrap="none" w:vAnchor="text" w:hAnchor="page" w:x="1369" w:y="21"/>
        <w:widowControl w:val="0"/>
        <w:numPr>
          <w:ilvl w:val="0"/>
          <w:numId w:val="5"/>
        </w:numPr>
        <w:shd w:val="clear" w:color="auto" w:fill="auto"/>
        <w:tabs>
          <w:tab w:pos="720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10 je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dnem jeho uveřejnění v registru smluv.</w:t>
      </w:r>
    </w:p>
    <w:p>
      <w:pPr>
        <w:pStyle w:val="Style11"/>
        <w:keepNext w:val="0"/>
        <w:keepLines w:val="0"/>
        <w:framePr w:w="9163" w:h="4810" w:wrap="none" w:vAnchor="text" w:hAnchor="page" w:x="1369" w:y="21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podléhá zveřejnění dle zákona č. 340/2015 Sb. o zvláštních podmínkách účinnosti některých smluv, uveřejňování těchto smluv a o registru smluv (zákon o registru smluv), v platném a účinném znění.</w:t>
      </w:r>
    </w:p>
    <w:p>
      <w:pPr>
        <w:pStyle w:val="Style11"/>
        <w:keepNext w:val="0"/>
        <w:keepLines w:val="0"/>
        <w:framePr w:w="9163" w:h="4810" w:wrap="none" w:vAnchor="text" w:hAnchor="page" w:x="1369" w:y="21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1"/>
        <w:keepNext w:val="0"/>
        <w:keepLines w:val="0"/>
        <w:framePr w:w="9163" w:h="4810" w:wrap="none" w:vAnchor="text" w:hAnchor="page" w:x="1369" w:y="21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10 byl sepsán na základě pravdivých údajů, z jejich pravé a svobodné vůle a nebyl uzavřen v tísni za jednostranně nevýhodných podmínek.</w:t>
      </w:r>
    </w:p>
    <w:p>
      <w:pPr>
        <w:pStyle w:val="Style11"/>
        <w:keepNext w:val="0"/>
        <w:keepLines w:val="0"/>
        <w:framePr w:w="9158" w:h="1219" w:wrap="none" w:vAnchor="text" w:hAnchor="page" w:x="1369" w:y="5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pStyle w:val="Style11"/>
        <w:keepNext w:val="0"/>
        <w:keepLines w:val="0"/>
        <w:framePr w:w="1790" w:h="336" w:wrap="none" w:vAnchor="text" w:hAnchor="page" w:x="1374" w:y="7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 dne</w:t>
      </w:r>
    </w:p>
    <w:p>
      <w:pPr>
        <w:pStyle w:val="Style11"/>
        <w:keepNext w:val="0"/>
        <w:keepLines w:val="0"/>
        <w:framePr w:w="1334" w:h="336" w:wrap="none" w:vAnchor="text" w:hAnchor="page" w:x="6731" w:y="7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11"/>
        <w:keepNext w:val="0"/>
        <w:keepLines w:val="0"/>
        <w:framePr w:w="1219" w:h="336" w:wrap="none" w:vAnchor="text" w:hAnchor="page" w:x="1369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11"/>
        <w:keepNext w:val="0"/>
        <w:keepLines w:val="0"/>
        <w:framePr w:w="922" w:h="336" w:wrap="none" w:vAnchor="text" w:hAnchor="page" w:x="6726" w:y="8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11"/>
        <w:keepNext w:val="0"/>
        <w:keepLines w:val="0"/>
        <w:framePr w:w="1392" w:h="336" w:wrap="none" w:vAnchor="text" w:hAnchor="page" w:x="1374" w:y="10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Zdeněk Havel</w:t>
      </w:r>
    </w:p>
    <w:p>
      <w:pPr>
        <w:pStyle w:val="Style11"/>
        <w:keepNext w:val="0"/>
        <w:keepLines w:val="0"/>
        <w:framePr w:w="1958" w:h="336" w:wrap="none" w:vAnchor="text" w:hAnchor="page" w:x="6726" w:y="104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11"/>
        <w:keepNext w:val="0"/>
        <w:keepLines w:val="0"/>
        <w:framePr w:w="2813" w:h="336" w:wrap="none" w:vAnchor="text" w:hAnchor="page" w:x="1369" w:y="10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odštěpného závodu</w:t>
      </w:r>
    </w:p>
    <w:p>
      <w:pPr>
        <w:pStyle w:val="Style11"/>
        <w:keepNext w:val="0"/>
        <w:keepLines w:val="0"/>
        <w:framePr w:w="1800" w:h="336" w:wrap="none" w:vAnchor="text" w:hAnchor="page" w:x="6741" w:y="10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531" w:left="1368" w:right="1368" w:bottom="168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3417570</wp:posOffset>
              </wp:positionH>
              <wp:positionV relativeFrom="page">
                <wp:posOffset>9625965</wp:posOffset>
              </wp:positionV>
              <wp:extent cx="722630" cy="12509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263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269.10000000000002pt;margin-top:757.95000000000005pt;width:56.899999999999999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9581515</wp:posOffset>
              </wp:positionV>
              <wp:extent cx="5800090" cy="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0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200000000000003pt;margin-top:754.45000000000005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4323080</wp:posOffset>
              </wp:positionH>
              <wp:positionV relativeFrom="page">
                <wp:posOffset>781050</wp:posOffset>
              </wp:positionV>
              <wp:extent cx="2286000" cy="1282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Číslo smlouvy kupujícího: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162/KSÚSV/PE/10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39999999999998pt;margin-top:61.5pt;width:180.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Číslo smlouvy kupujícího: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162/KSÚSV/PE/10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817880</wp:posOffset>
              </wp:positionH>
              <wp:positionV relativeFrom="page">
                <wp:posOffset>1012825</wp:posOffset>
              </wp:positionV>
              <wp:extent cx="586105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610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400000000000006pt;margin-top:79.75pt;width:461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4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"/>
      <w:numFmt w:val="decimal"/>
      <w:lvlText w:val="4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8">
    <w:name w:val="Nadpis #1_"/>
    <w:basedOn w:val="DefaultParagraphFont"/>
    <w:link w:val="Style1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170" w:line="247" w:lineRule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D O D A T E K   č</dc:title>
  <dc:subject/>
  <dc:creator>baranovic</dc:creator>
  <cp:keywords/>
</cp:coreProperties>
</file>