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7E58" w14:textId="77777777" w:rsidR="00D02237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D02237" w:rsidRPr="00AF43FE" w14:paraId="3165C4EA" w14:textId="77777777" w:rsidTr="00AF43FE">
        <w:tc>
          <w:tcPr>
            <w:tcW w:w="2552" w:type="dxa"/>
            <w:shd w:val="clear" w:color="auto" w:fill="auto"/>
          </w:tcPr>
          <w:p w14:paraId="6AD0B368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  <w:shd w:val="clear" w:color="auto" w:fill="auto"/>
          </w:tcPr>
          <w:p w14:paraId="637F9AE2" w14:textId="72EA7A85" w:rsidR="00D02237" w:rsidRPr="00AF43FE" w:rsidRDefault="00AF43FE" w:rsidP="00054AA1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GRENT CZ a.s.</w:t>
            </w:r>
          </w:p>
        </w:tc>
      </w:tr>
      <w:tr w:rsidR="00D02237" w:rsidRPr="00AF43FE" w14:paraId="3AE19E4E" w14:textId="77777777" w:rsidTr="00AF43FE">
        <w:tc>
          <w:tcPr>
            <w:tcW w:w="2552" w:type="dxa"/>
            <w:shd w:val="clear" w:color="auto" w:fill="auto"/>
          </w:tcPr>
          <w:p w14:paraId="284025AB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  <w:shd w:val="clear" w:color="auto" w:fill="auto"/>
          </w:tcPr>
          <w:p w14:paraId="3FF1D0BC" w14:textId="6F49DEA0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251 05 019</w:t>
            </w:r>
          </w:p>
        </w:tc>
      </w:tr>
      <w:tr w:rsidR="00D02237" w:rsidRPr="00AF43FE" w14:paraId="0437A88A" w14:textId="77777777" w:rsidTr="00AF43FE">
        <w:tc>
          <w:tcPr>
            <w:tcW w:w="2552" w:type="dxa"/>
            <w:shd w:val="clear" w:color="auto" w:fill="auto"/>
          </w:tcPr>
          <w:p w14:paraId="7C82E049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  <w:shd w:val="clear" w:color="auto" w:fill="auto"/>
          </w:tcPr>
          <w:p w14:paraId="43E35B70" w14:textId="7C73DE60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CZ25105019</w:t>
            </w:r>
          </w:p>
        </w:tc>
      </w:tr>
      <w:tr w:rsidR="00D02237" w:rsidRPr="00AF43FE" w14:paraId="087492E9" w14:textId="77777777" w:rsidTr="00AF43FE">
        <w:tc>
          <w:tcPr>
            <w:tcW w:w="2552" w:type="dxa"/>
            <w:shd w:val="clear" w:color="auto" w:fill="auto"/>
          </w:tcPr>
          <w:p w14:paraId="6649693B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  <w:shd w:val="clear" w:color="auto" w:fill="auto"/>
          </w:tcPr>
          <w:p w14:paraId="2956F7FE" w14:textId="75C59670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Na Radouči 1450, 293 01 Mladá Boleslav</w:t>
            </w:r>
          </w:p>
        </w:tc>
      </w:tr>
      <w:tr w:rsidR="00D02237" w:rsidRPr="00AF43FE" w14:paraId="72E9FC0B" w14:textId="77777777" w:rsidTr="00AF43FE">
        <w:tc>
          <w:tcPr>
            <w:tcW w:w="2552" w:type="dxa"/>
            <w:shd w:val="clear" w:color="auto" w:fill="auto"/>
          </w:tcPr>
          <w:p w14:paraId="7B349AA1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  <w:shd w:val="clear" w:color="auto" w:fill="auto"/>
          </w:tcPr>
          <w:p w14:paraId="2C1D1637" w14:textId="2ADC8605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Ernest Horváth, statutární ředitel</w:t>
            </w:r>
          </w:p>
        </w:tc>
      </w:tr>
      <w:tr w:rsidR="00D02237" w:rsidRPr="00AF43FE" w14:paraId="5B5BB2B1" w14:textId="77777777" w:rsidTr="00AF43FE">
        <w:tc>
          <w:tcPr>
            <w:tcW w:w="2552" w:type="dxa"/>
            <w:shd w:val="clear" w:color="auto" w:fill="auto"/>
          </w:tcPr>
          <w:p w14:paraId="15771774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  <w:shd w:val="clear" w:color="auto" w:fill="auto"/>
          </w:tcPr>
          <w:p w14:paraId="14CB6E85" w14:textId="26B6C03C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Komerční banka, a.s.</w:t>
            </w:r>
          </w:p>
        </w:tc>
      </w:tr>
      <w:tr w:rsidR="00D02237" w:rsidRPr="00AF43FE" w14:paraId="6DE3435B" w14:textId="77777777" w:rsidTr="00AF43FE">
        <w:tc>
          <w:tcPr>
            <w:tcW w:w="2552" w:type="dxa"/>
            <w:shd w:val="clear" w:color="auto" w:fill="auto"/>
          </w:tcPr>
          <w:p w14:paraId="67E309FD" w14:textId="7777777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  <w:shd w:val="clear" w:color="auto" w:fill="auto"/>
          </w:tcPr>
          <w:p w14:paraId="0C031903" w14:textId="48D9AD47" w:rsidR="00D02237" w:rsidRPr="00AF43FE" w:rsidRDefault="00AF43FE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19-7263940207/0100</w:t>
            </w:r>
          </w:p>
        </w:tc>
      </w:tr>
      <w:tr w:rsidR="00D02237" w:rsidRPr="00AF43FE" w14:paraId="7302637F" w14:textId="77777777" w:rsidTr="00AF43FE">
        <w:tc>
          <w:tcPr>
            <w:tcW w:w="9178" w:type="dxa"/>
            <w:gridSpan w:val="2"/>
            <w:shd w:val="clear" w:color="auto" w:fill="auto"/>
          </w:tcPr>
          <w:p w14:paraId="429BEDE6" w14:textId="7D190BB7" w:rsidR="00D02237" w:rsidRPr="00AF43FE" w:rsidRDefault="00D02237" w:rsidP="00054AA1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AF43FE">
              <w:rPr>
                <w:sz w:val="20"/>
                <w:szCs w:val="20"/>
                <w:lang w:eastAsia="cs-CZ"/>
              </w:rPr>
              <w:t>Městského</w:t>
            </w:r>
            <w:r w:rsidRPr="00AF43FE">
              <w:rPr>
                <w:sz w:val="20"/>
                <w:szCs w:val="20"/>
                <w:lang w:eastAsia="cs-CZ"/>
              </w:rPr>
              <w:t xml:space="preserve"> soudu v </w:t>
            </w:r>
            <w:r w:rsidR="00AF43FE">
              <w:rPr>
                <w:sz w:val="20"/>
                <w:szCs w:val="20"/>
                <w:lang w:eastAsia="cs-CZ"/>
              </w:rPr>
              <w:t>Praze</w:t>
            </w:r>
            <w:r w:rsidRPr="00AF43FE">
              <w:rPr>
                <w:sz w:val="20"/>
                <w:szCs w:val="20"/>
                <w:lang w:eastAsia="cs-CZ"/>
              </w:rPr>
              <w:t xml:space="preserve">, oddíl </w:t>
            </w:r>
            <w:r w:rsidR="00AF43FE">
              <w:rPr>
                <w:sz w:val="20"/>
                <w:szCs w:val="20"/>
                <w:lang w:eastAsia="cs-CZ"/>
              </w:rPr>
              <w:t>B</w:t>
            </w:r>
            <w:r w:rsidRPr="00AF43FE">
              <w:rPr>
                <w:sz w:val="20"/>
                <w:szCs w:val="20"/>
                <w:lang w:eastAsia="cs-CZ"/>
              </w:rPr>
              <w:t xml:space="preserve">, vložka </w:t>
            </w:r>
            <w:r w:rsidR="00AF43FE">
              <w:rPr>
                <w:sz w:val="20"/>
                <w:szCs w:val="20"/>
                <w:lang w:eastAsia="cs-CZ"/>
              </w:rPr>
              <w:t>22359</w:t>
            </w:r>
          </w:p>
        </w:tc>
      </w:tr>
    </w:tbl>
    <w:p w14:paraId="3DB00243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4539963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dále jen „</w:t>
      </w:r>
      <w:r w:rsidRPr="00AF43FE">
        <w:rPr>
          <w:rFonts w:eastAsia="Times New Roman"/>
          <w:b/>
          <w:sz w:val="20"/>
          <w:szCs w:val="20"/>
          <w:lang w:eastAsia="cs-CZ"/>
        </w:rPr>
        <w:t>prodávající</w:t>
      </w:r>
      <w:r w:rsidRPr="00AF43FE">
        <w:rPr>
          <w:rFonts w:eastAsia="Times New Roman"/>
          <w:sz w:val="20"/>
          <w:szCs w:val="20"/>
          <w:lang w:eastAsia="cs-CZ"/>
        </w:rPr>
        <w:t>“ na straně jedné</w:t>
      </w:r>
    </w:p>
    <w:p w14:paraId="363024A9" w14:textId="77777777" w:rsidR="00D02237" w:rsidRPr="00AF43FE" w:rsidRDefault="00D02237" w:rsidP="00D0223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FFB3BFC" w14:textId="77777777" w:rsidR="00D02237" w:rsidRPr="00AF43FE" w:rsidRDefault="00D02237" w:rsidP="00D0223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a</w:t>
      </w:r>
    </w:p>
    <w:p w14:paraId="14393586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71C71CA2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Společnost:</w:t>
      </w:r>
      <w:r w:rsidRPr="00AF43FE">
        <w:rPr>
          <w:rFonts w:eastAsia="Times New Roman"/>
          <w:sz w:val="20"/>
          <w:szCs w:val="20"/>
          <w:lang w:eastAsia="cs-CZ"/>
        </w:rPr>
        <w:tab/>
      </w:r>
      <w:r w:rsidRPr="00AF43F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AF43F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EA27393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IČO:</w:t>
      </w:r>
      <w:r w:rsidRPr="00AF43FE">
        <w:rPr>
          <w:rFonts w:eastAsia="Times New Roman"/>
          <w:sz w:val="20"/>
          <w:szCs w:val="20"/>
          <w:lang w:eastAsia="cs-CZ"/>
        </w:rPr>
        <w:tab/>
        <w:t>272 56 456</w:t>
      </w:r>
    </w:p>
    <w:p w14:paraId="3938D101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DIČ:</w:t>
      </w:r>
      <w:r w:rsidRPr="00AF43F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3B6DDEB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Se sídlem:</w:t>
      </w:r>
      <w:r w:rsidRPr="00AF43F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96C4FF2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Zastoupená:</w:t>
      </w:r>
      <w:r w:rsidRPr="00AF43F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B43CD02" w14:textId="77777777" w:rsidR="00D02237" w:rsidRPr="00AF43FE" w:rsidRDefault="00D02237" w:rsidP="00D02237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 w:rsidRPr="00AF43FE">
        <w:rPr>
          <w:sz w:val="20"/>
          <w:szCs w:val="20"/>
          <w:lang w:eastAsia="cs-CZ"/>
        </w:rPr>
        <w:t>Mgr. Daniel Marek</w:t>
      </w:r>
      <w:r w:rsidRPr="00AF43FE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31C9441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Bankovní spojení:</w:t>
      </w:r>
      <w:r w:rsidRPr="00AF43F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A7042E0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Číslo účtu:</w:t>
      </w:r>
      <w:r w:rsidRPr="00AF43F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FC26D3B" w14:textId="77777777" w:rsidR="00D02237" w:rsidRPr="00AF43FE" w:rsidRDefault="00D02237" w:rsidP="00D0223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0E552D1" w14:textId="77777777" w:rsidR="00D02237" w:rsidRPr="00AF43FE" w:rsidRDefault="00D02237" w:rsidP="00D02237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8A6E26F" w14:textId="77777777" w:rsidR="00D02237" w:rsidRPr="00AF43FE" w:rsidRDefault="00D02237" w:rsidP="00D02237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dále jen „</w:t>
      </w:r>
      <w:r w:rsidRPr="00AF43FE">
        <w:rPr>
          <w:rFonts w:eastAsia="Times New Roman"/>
          <w:b/>
          <w:sz w:val="20"/>
          <w:szCs w:val="20"/>
          <w:lang w:eastAsia="cs-CZ"/>
        </w:rPr>
        <w:t>kupující</w:t>
      </w:r>
      <w:r w:rsidRPr="00AF43FE">
        <w:rPr>
          <w:rFonts w:eastAsia="Times New Roman"/>
          <w:sz w:val="20"/>
          <w:szCs w:val="20"/>
          <w:lang w:eastAsia="cs-CZ"/>
        </w:rPr>
        <w:t>“ na straně druhé,</w:t>
      </w:r>
    </w:p>
    <w:p w14:paraId="4549933E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AF43FE">
        <w:rPr>
          <w:rFonts w:eastAsia="Times New Roman"/>
          <w:b/>
          <w:sz w:val="20"/>
          <w:szCs w:val="20"/>
          <w:lang w:eastAsia="cs-CZ"/>
        </w:rPr>
        <w:t>smluvní strany</w:t>
      </w:r>
      <w:r w:rsidRPr="00AF43FE">
        <w:rPr>
          <w:rFonts w:eastAsia="Times New Roman"/>
          <w:sz w:val="20"/>
          <w:szCs w:val="20"/>
          <w:lang w:eastAsia="cs-CZ"/>
        </w:rPr>
        <w:t>“</w:t>
      </w:r>
    </w:p>
    <w:p w14:paraId="32A27FF9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F14541E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491FD99" w14:textId="5C7F6EB0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AF43FE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3FBAA089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AD8C52" w14:textId="77777777" w:rsidR="00D02237" w:rsidRPr="00AF43FE" w:rsidRDefault="00D02237" w:rsidP="00D0223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DED1CDA" w14:textId="77777777" w:rsidR="00D02237" w:rsidRPr="00AF43FE" w:rsidRDefault="00D02237" w:rsidP="00D0223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AF43F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smlouva</w:t>
      </w:r>
    </w:p>
    <w:p w14:paraId="2C78A2CD" w14:textId="77777777" w:rsidR="00D02237" w:rsidRPr="00AF43FE" w:rsidRDefault="00D02237" w:rsidP="00D0223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AF43F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B0A5084" w14:textId="77777777" w:rsidR="00D02237" w:rsidRPr="00AF43FE" w:rsidRDefault="00D02237" w:rsidP="00D0223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5BF9AB7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Předmět smlouvy</w:t>
      </w:r>
    </w:p>
    <w:p w14:paraId="629F3240" w14:textId="5748D3B6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Předmětem této smlouvy je závazek prodávajícího dodat kupujícímu </w:t>
      </w:r>
      <w:r w:rsidR="006000A1" w:rsidRPr="00AF43FE">
        <w:rPr>
          <w:rFonts w:ascii="Verdana" w:hAnsi="Verdana"/>
          <w:b/>
          <w:bCs/>
          <w:sz w:val="20"/>
          <w:lang w:eastAsia="cs-CZ"/>
        </w:rPr>
        <w:t>176 ks konferenčních židlí s velmi pevnou skořepinou z bukové překližky, 15 ks jídelních stolů s deskou 1200x800x750 mm a 14 ks jídelních stolů s deskou 800x800x750 mm</w:t>
      </w:r>
      <w:r w:rsidR="006000A1" w:rsidRPr="00AF43FE">
        <w:rPr>
          <w:rFonts w:ascii="Verdana" w:hAnsi="Verdana"/>
          <w:sz w:val="20"/>
          <w:lang w:eastAsia="cs-CZ"/>
        </w:rPr>
        <w:t xml:space="preserve"> </w:t>
      </w:r>
      <w:r w:rsidRPr="00AF43FE">
        <w:rPr>
          <w:rFonts w:ascii="Verdana" w:hAnsi="Verdana"/>
          <w:sz w:val="20"/>
          <w:lang w:eastAsia="cs-CZ"/>
        </w:rPr>
        <w:t>(</w:t>
      </w:r>
      <w:r w:rsidR="006000A1" w:rsidRPr="00AF43FE">
        <w:rPr>
          <w:rFonts w:ascii="Verdana" w:hAnsi="Verdana"/>
          <w:sz w:val="20"/>
          <w:lang w:eastAsia="cs-CZ"/>
        </w:rPr>
        <w:t xml:space="preserve">dále jen jako </w:t>
      </w:r>
      <w:r w:rsidRPr="00AF43FE">
        <w:rPr>
          <w:rFonts w:ascii="Verdana" w:hAnsi="Verdana"/>
          <w:sz w:val="20"/>
          <w:lang w:eastAsia="cs-CZ"/>
        </w:rPr>
        <w:t>„</w:t>
      </w:r>
      <w:r w:rsidR="006000A1" w:rsidRPr="00AF43FE">
        <w:rPr>
          <w:rFonts w:ascii="Verdana" w:hAnsi="Verdana"/>
          <w:b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>“), a umožnit kupujícímu nabytí vlastnického práva k</w:t>
      </w:r>
      <w:r w:rsidR="006000A1" w:rsidRPr="00AF43FE">
        <w:rPr>
          <w:rFonts w:ascii="Verdana" w:hAnsi="Verdana"/>
          <w:sz w:val="20"/>
          <w:lang w:eastAsia="cs-CZ"/>
        </w:rPr>
        <w:t xml:space="preserve"> nábytku </w:t>
      </w:r>
      <w:r w:rsidRPr="00AF43FE">
        <w:rPr>
          <w:rFonts w:ascii="Verdana" w:hAnsi="Verdana"/>
          <w:sz w:val="20"/>
          <w:lang w:eastAsia="cs-CZ"/>
        </w:rPr>
        <w:t>a dále závazek kupujícího řádně dodan</w:t>
      </w:r>
      <w:r w:rsidR="006000A1" w:rsidRPr="00AF43FE">
        <w:rPr>
          <w:rFonts w:ascii="Verdana" w:hAnsi="Verdana"/>
          <w:sz w:val="20"/>
          <w:lang w:eastAsia="cs-CZ"/>
        </w:rPr>
        <w:t>ý</w:t>
      </w:r>
      <w:r w:rsidRPr="00AF43FE">
        <w:rPr>
          <w:rFonts w:ascii="Verdana" w:hAnsi="Verdana"/>
          <w:sz w:val="20"/>
          <w:lang w:eastAsia="cs-CZ"/>
        </w:rPr>
        <w:t xml:space="preserve"> </w:t>
      </w:r>
      <w:r w:rsidR="006000A1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převzít a zaplatit za něj prodávajícímu sjednanou kupní cenu.</w:t>
      </w:r>
    </w:p>
    <w:p w14:paraId="10579DF1" w14:textId="2B50F0C1" w:rsidR="00D02237" w:rsidRPr="00AF43FE" w:rsidRDefault="006000A1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Nábytek</w:t>
      </w:r>
      <w:r w:rsidR="00D02237" w:rsidRPr="00AF43FE">
        <w:rPr>
          <w:rFonts w:ascii="Verdana" w:hAnsi="Verdana"/>
          <w:sz w:val="20"/>
          <w:lang w:eastAsia="cs-CZ"/>
        </w:rPr>
        <w:t xml:space="preserve"> je blíže specifikován v</w:t>
      </w:r>
      <w:r w:rsidR="006150A3" w:rsidRPr="00AF43FE">
        <w:rPr>
          <w:rFonts w:ascii="Verdana" w:hAnsi="Verdana"/>
          <w:sz w:val="20"/>
          <w:lang w:eastAsia="cs-CZ"/>
        </w:rPr>
        <w:t xml:space="preserve"> nabídce prodávajícího ze dne </w:t>
      </w:r>
      <w:r w:rsidR="00AF43FE">
        <w:rPr>
          <w:rFonts w:ascii="Verdana" w:hAnsi="Verdana"/>
          <w:sz w:val="20"/>
          <w:lang w:eastAsia="cs-CZ"/>
        </w:rPr>
        <w:t>_T/068/22 z 25.02.2022,</w:t>
      </w:r>
      <w:r w:rsidR="006150A3" w:rsidRPr="00AF43FE">
        <w:rPr>
          <w:rFonts w:ascii="Verdana" w:hAnsi="Verdana"/>
          <w:sz w:val="20"/>
          <w:lang w:eastAsia="cs-CZ"/>
        </w:rPr>
        <w:t xml:space="preserve"> která je </w:t>
      </w:r>
      <w:r w:rsidR="00D02237" w:rsidRPr="00AF43FE">
        <w:rPr>
          <w:rFonts w:ascii="Verdana" w:hAnsi="Verdana"/>
          <w:sz w:val="20"/>
          <w:lang w:eastAsia="cs-CZ"/>
        </w:rPr>
        <w:t>přílo</w:t>
      </w:r>
      <w:r w:rsidR="006150A3" w:rsidRPr="00AF43FE">
        <w:rPr>
          <w:rFonts w:ascii="Verdana" w:hAnsi="Verdana"/>
          <w:sz w:val="20"/>
          <w:lang w:eastAsia="cs-CZ"/>
        </w:rPr>
        <w:t>hou</w:t>
      </w:r>
      <w:r w:rsidR="00D02237" w:rsidRPr="00AF43FE">
        <w:rPr>
          <w:rFonts w:ascii="Verdana" w:hAnsi="Verdana"/>
          <w:sz w:val="20"/>
          <w:lang w:eastAsia="cs-CZ"/>
        </w:rPr>
        <w:t xml:space="preserve"> č. 1 této smlouvy.</w:t>
      </w:r>
    </w:p>
    <w:p w14:paraId="0C52CE1E" w14:textId="02573434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Prodávající prohlašuje, že </w:t>
      </w:r>
      <w:r w:rsidR="00487CC4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je/bude vyroben dle příslušných norem platných v EU. Prodávající zejména zaručuje, že </w:t>
      </w:r>
      <w:r w:rsidR="00487CC4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 a EN, především zákonu č. 22/1997 Sb., o technických požadavcích na výrobky, ve znění pozdějších </w:t>
      </w:r>
      <w:r w:rsidRPr="00AF43FE">
        <w:rPr>
          <w:rFonts w:ascii="Verdana" w:hAnsi="Verdana"/>
          <w:sz w:val="20"/>
          <w:lang w:eastAsia="cs-CZ"/>
        </w:rPr>
        <w:lastRenderedPageBreak/>
        <w:t xml:space="preserve">předpisů, a je vybaven všemi potřebnými doklady a certifikáty. Součástí dodávky </w:t>
      </w:r>
      <w:r w:rsidR="00A4277B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je </w:t>
      </w:r>
      <w:bookmarkStart w:id="0" w:name="_Hlk99708014"/>
      <w:r w:rsidR="00A4277B" w:rsidRPr="00AF43FE">
        <w:rPr>
          <w:rFonts w:ascii="Verdana" w:hAnsi="Verdana"/>
          <w:sz w:val="20"/>
          <w:lang w:eastAsia="cs-CZ"/>
        </w:rPr>
        <w:t>montážní návod</w:t>
      </w:r>
      <w:r w:rsidRPr="00AF43FE">
        <w:rPr>
          <w:rFonts w:ascii="Verdana" w:hAnsi="Verdana"/>
          <w:sz w:val="20"/>
          <w:lang w:eastAsia="cs-CZ"/>
        </w:rPr>
        <w:t xml:space="preserve"> v českém jazyce (v tištěné a elektronické podobě)</w:t>
      </w:r>
      <w:bookmarkEnd w:id="0"/>
      <w:r w:rsidRPr="00AF43FE">
        <w:rPr>
          <w:rFonts w:ascii="Verdana" w:hAnsi="Verdana"/>
          <w:sz w:val="20"/>
          <w:lang w:eastAsia="cs-CZ"/>
        </w:rPr>
        <w:t>, který bude volnou přílohou č. 2 této smlouvy a prohlášení o shodě, které bude volnou přílohou č. 3 této smlouvy.</w:t>
      </w:r>
    </w:p>
    <w:p w14:paraId="5FBA04C7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7E5622C0" w14:textId="520ADC41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</w:t>
      </w:r>
      <w:r w:rsidR="003B7047" w:rsidRPr="00AF43FE">
        <w:rPr>
          <w:rFonts w:ascii="Verdana" w:hAnsi="Verdana"/>
          <w:sz w:val="20"/>
          <w:lang w:eastAsia="cs-CZ"/>
        </w:rPr>
        <w:t xml:space="preserve"> s názvem </w:t>
      </w:r>
      <w:r w:rsidR="003B7047" w:rsidRPr="00AF43FE">
        <w:rPr>
          <w:rFonts w:ascii="Verdana" w:hAnsi="Verdana"/>
          <w:b/>
          <w:bCs/>
          <w:sz w:val="20"/>
          <w:lang w:eastAsia="cs-CZ"/>
        </w:rPr>
        <w:t xml:space="preserve">„Konferenční židle a jídelní stoly“ </w:t>
      </w:r>
      <w:r w:rsidR="003B7047" w:rsidRPr="00AF43FE">
        <w:rPr>
          <w:rFonts w:ascii="Verdana" w:hAnsi="Verdana"/>
          <w:sz w:val="20"/>
          <w:lang w:eastAsia="cs-CZ"/>
        </w:rPr>
        <w:t xml:space="preserve">(dále jen </w:t>
      </w:r>
      <w:r w:rsidR="003B7047" w:rsidRPr="00AF43FE">
        <w:rPr>
          <w:rFonts w:ascii="Verdana" w:hAnsi="Verdana"/>
          <w:b/>
          <w:bCs/>
          <w:sz w:val="20"/>
          <w:lang w:eastAsia="cs-CZ"/>
        </w:rPr>
        <w:t>„veřejná zakázka“</w:t>
      </w:r>
      <w:r w:rsidR="003B7047" w:rsidRPr="00AF43FE">
        <w:rPr>
          <w:rFonts w:ascii="Verdana" w:hAnsi="Verdana"/>
          <w:sz w:val="20"/>
          <w:lang w:eastAsia="cs-CZ"/>
        </w:rPr>
        <w:t>).</w:t>
      </w:r>
      <w:r w:rsidRPr="00AF43FE">
        <w:rPr>
          <w:rFonts w:ascii="Verdana" w:hAnsi="Verdana"/>
          <w:sz w:val="20"/>
          <w:lang w:eastAsia="cs-CZ"/>
        </w:rPr>
        <w:t xml:space="preserve">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4980257F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prodávající uvedl ve své nabídce. V případě rozporu mezi ujednáním této smlouvy a obsahem nabídky prodávajícího či příloh této smlouvy, má vždy přednost ustanovení této smlouvy.</w:t>
      </w:r>
    </w:p>
    <w:p w14:paraId="542B5BD1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seznam poddodavatelů.</w:t>
      </w:r>
    </w:p>
    <w:p w14:paraId="07161444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Doba, místo a způsob dodání</w:t>
      </w:r>
    </w:p>
    <w:p w14:paraId="75142268" w14:textId="28872095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Prodávající se zavazuje dodat </w:t>
      </w:r>
      <w:r w:rsidR="00776303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nejpozději do </w:t>
      </w:r>
      <w:r w:rsidRPr="00AF43FE">
        <w:rPr>
          <w:rFonts w:ascii="Verdana" w:hAnsi="Verdana"/>
          <w:b/>
          <w:sz w:val="20"/>
          <w:lang w:eastAsia="cs-CZ"/>
        </w:rPr>
        <w:t>6 týdnů</w:t>
      </w:r>
      <w:r w:rsidRPr="00AF43FE">
        <w:rPr>
          <w:rFonts w:ascii="Verdana" w:hAnsi="Verdana"/>
          <w:sz w:val="20"/>
          <w:lang w:eastAsia="cs-CZ"/>
        </w:rPr>
        <w:t xml:space="preserve"> od podpisu této smlouvy. Pokud nebude </w:t>
      </w:r>
      <w:r w:rsidR="00776303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prodávajícím dodán ve stanoveném termínu, je kupující oprávněn od této smlouvy odstoupit. Kupující si vyhrazuje právo v nezbytně nutném rozsahu prodloužit termín dodání </w:t>
      </w:r>
      <w:r w:rsidR="00776303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v případě výskytu nepředvídatelných okolností bránících dodávce </w:t>
      </w:r>
      <w:r w:rsidR="00776303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078E858" w14:textId="29E7D6D2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Místem dodání </w:t>
      </w:r>
      <w:r w:rsidR="00776303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je sídlo kupujícího, konkrétně </w:t>
      </w:r>
      <w:r w:rsidR="002F76AC" w:rsidRPr="00AF43FE">
        <w:rPr>
          <w:rFonts w:ascii="Verdana" w:hAnsi="Verdana"/>
          <w:bCs/>
          <w:sz w:val="20"/>
          <w:lang w:eastAsia="cs-CZ"/>
        </w:rPr>
        <w:t>sklad MTZ</w:t>
      </w:r>
      <w:r w:rsidRPr="00AF43FE">
        <w:rPr>
          <w:rFonts w:ascii="Verdana" w:hAnsi="Verdana"/>
          <w:sz w:val="20"/>
          <w:lang w:eastAsia="cs-CZ"/>
        </w:rPr>
        <w:t>.</w:t>
      </w:r>
    </w:p>
    <w:p w14:paraId="5976357C" w14:textId="496CAED9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Součástí předmětu plnění je rovněž doprava </w:t>
      </w:r>
      <w:r w:rsidR="00F84DF4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do místa plnění, kompletace, montáž</w:t>
      </w:r>
      <w:r w:rsidR="00536379" w:rsidRPr="00AF43FE">
        <w:rPr>
          <w:rFonts w:ascii="Verdana" w:hAnsi="Verdana"/>
          <w:sz w:val="20"/>
          <w:lang w:eastAsia="cs-CZ"/>
        </w:rPr>
        <w:t xml:space="preserve"> a</w:t>
      </w:r>
      <w:r w:rsidRPr="00AF43FE">
        <w:rPr>
          <w:rFonts w:ascii="Verdana" w:hAnsi="Verdana"/>
          <w:sz w:val="20"/>
          <w:lang w:eastAsia="cs-CZ"/>
        </w:rPr>
        <w:t xml:space="preserve"> likvidace obalů.</w:t>
      </w:r>
    </w:p>
    <w:p w14:paraId="26EEB4C2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Součástí plnění dle této smlouvy je dále:</w:t>
      </w:r>
    </w:p>
    <w:p w14:paraId="56ACEB01" w14:textId="77777777" w:rsidR="00D02237" w:rsidRPr="00AF43FE" w:rsidRDefault="00D02237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AF43FE">
        <w:rPr>
          <w:rFonts w:asciiTheme="minorHAnsi" w:hAnsiTheme="minorHAnsi" w:cstheme="minorHAnsi"/>
          <w:szCs w:val="24"/>
        </w:rPr>
        <w:t>pojištění spojené s dodávkou zboží</w:t>
      </w:r>
    </w:p>
    <w:p w14:paraId="501CFA37" w14:textId="77777777" w:rsidR="00F778A6" w:rsidRPr="00AF43FE" w:rsidRDefault="00F778A6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AF43FE">
        <w:rPr>
          <w:rFonts w:asciiTheme="minorHAnsi" w:hAnsiTheme="minorHAnsi" w:cstheme="minorHAnsi"/>
          <w:szCs w:val="24"/>
        </w:rPr>
        <w:t>montážní návod v českém jazyce (v tištěné a elektronické podobě)</w:t>
      </w:r>
    </w:p>
    <w:p w14:paraId="6D3E6F73" w14:textId="3786F976" w:rsidR="00D02237" w:rsidRPr="00AF43FE" w:rsidRDefault="00D02237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AF43FE">
        <w:rPr>
          <w:rFonts w:asciiTheme="minorHAnsi" w:hAnsiTheme="minorHAnsi" w:cstheme="minorHAnsi"/>
          <w:szCs w:val="24"/>
        </w:rPr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0F469008" w14:textId="060742CB" w:rsidR="00D02237" w:rsidRPr="00AF43FE" w:rsidRDefault="00D02237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AF43FE">
        <w:rPr>
          <w:rFonts w:asciiTheme="minorHAnsi" w:hAnsiTheme="minorHAnsi" w:cstheme="minorHAnsi"/>
          <w:szCs w:val="24"/>
        </w:rPr>
        <w:t>prohlášení o shodě od výrobce, tj. ES prohlášení o shodě (CE Conformity Declaration)</w:t>
      </w:r>
      <w:r w:rsidR="00F778A6" w:rsidRPr="00AF43FE">
        <w:rPr>
          <w:rFonts w:asciiTheme="minorHAnsi" w:hAnsiTheme="minorHAnsi" w:cstheme="minorHAnsi"/>
          <w:szCs w:val="24"/>
        </w:rPr>
        <w:t>.</w:t>
      </w:r>
      <w:r w:rsidRPr="00AF43FE">
        <w:rPr>
          <w:rFonts w:asciiTheme="minorHAnsi" w:hAnsiTheme="minorHAnsi" w:cstheme="minorHAnsi"/>
          <w:szCs w:val="24"/>
        </w:rPr>
        <w:t xml:space="preserve"> </w:t>
      </w:r>
    </w:p>
    <w:p w14:paraId="07EBC94B" w14:textId="1FCE5FA6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O průběhu a výsledku předávací</w:t>
      </w:r>
      <w:r w:rsidR="00352B08" w:rsidRPr="00AF43FE">
        <w:rPr>
          <w:rFonts w:ascii="Verdana" w:hAnsi="Verdana"/>
          <w:sz w:val="20"/>
          <w:lang w:eastAsia="cs-CZ"/>
        </w:rPr>
        <w:t>ho</w:t>
      </w:r>
      <w:r w:rsidRPr="00AF43FE">
        <w:rPr>
          <w:rFonts w:ascii="Verdana" w:hAnsi="Verdana"/>
          <w:sz w:val="20"/>
          <w:lang w:eastAsia="cs-CZ"/>
        </w:rPr>
        <w:t xml:space="preserve"> řízení bude sepsán písemný předávací protokol. </w:t>
      </w:r>
    </w:p>
    <w:p w14:paraId="7B95EB3B" w14:textId="1D8A7AAB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352B08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v případě:</w:t>
      </w:r>
    </w:p>
    <w:p w14:paraId="416E1DFC" w14:textId="7119B292" w:rsidR="00D02237" w:rsidRPr="00AF43FE" w:rsidRDefault="00D02237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výskytu vad </w:t>
      </w:r>
      <w:r w:rsidR="00352B08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nebo jeho částí,</w:t>
      </w:r>
    </w:p>
    <w:p w14:paraId="38812796" w14:textId="1B98A4AF" w:rsidR="00D02237" w:rsidRPr="00AF43FE" w:rsidRDefault="00D02237" w:rsidP="00D0223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nesplnění všech povinnost</w:t>
      </w:r>
      <w:r w:rsidR="00352B08" w:rsidRPr="00AF43FE">
        <w:rPr>
          <w:rFonts w:ascii="Verdana" w:hAnsi="Verdana"/>
          <w:sz w:val="20"/>
          <w:lang w:eastAsia="cs-CZ"/>
        </w:rPr>
        <w:t>í</w:t>
      </w:r>
      <w:r w:rsidRPr="00AF43FE">
        <w:rPr>
          <w:rFonts w:ascii="Verdana" w:hAnsi="Verdana"/>
          <w:sz w:val="20"/>
          <w:lang w:eastAsia="cs-CZ"/>
        </w:rPr>
        <w:t xml:space="preserve"> prodávajícího vztahujících se k předání </w:t>
      </w:r>
      <w:r w:rsidR="00352B08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dle této smlouvy.</w:t>
      </w:r>
    </w:p>
    <w:p w14:paraId="4DD87391" w14:textId="726286AB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lastRenderedPageBreak/>
        <w:t xml:space="preserve">Převezme-li kupující </w:t>
      </w:r>
      <w:r w:rsidR="00184B3E" w:rsidRPr="00AF43FE">
        <w:rPr>
          <w:rFonts w:ascii="Verdana" w:hAnsi="Verdana"/>
          <w:sz w:val="20"/>
          <w:lang w:eastAsia="cs-CZ"/>
        </w:rPr>
        <w:t>nábytek</w:t>
      </w:r>
      <w:r w:rsidRPr="00AF43FE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03D665DC" w14:textId="17695848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Nebezpečí škody na </w:t>
      </w:r>
      <w:r w:rsidR="00506306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a vlastnické právo k </w:t>
      </w:r>
      <w:r w:rsidR="00506306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přechází na kupujícího okamžikem převzetí </w:t>
      </w:r>
      <w:r w:rsidR="00506306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530E56C7" w14:textId="7DE3FC0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Prodávající je povinen při dodávce a </w:t>
      </w:r>
      <w:r w:rsidR="00506306" w:rsidRPr="00AF43FE">
        <w:rPr>
          <w:rFonts w:ascii="Verdana" w:hAnsi="Verdana"/>
          <w:sz w:val="20"/>
          <w:lang w:eastAsia="cs-CZ"/>
        </w:rPr>
        <w:t>montáži nábytku</w:t>
      </w:r>
      <w:r w:rsidRPr="00AF43FE">
        <w:rPr>
          <w:rFonts w:ascii="Verdana" w:hAnsi="Verdana"/>
          <w:sz w:val="20"/>
          <w:lang w:eastAsia="cs-CZ"/>
        </w:rPr>
        <w:t xml:space="preserve"> postupovat v těsné spolupráci s kupujícím tak, aby nebyl narušován provoz zdravotnického zařízení kupujícího nad míru nezbytně nutnou.</w:t>
      </w:r>
    </w:p>
    <w:p w14:paraId="6823F06D" w14:textId="0D108BDA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Dojde-li při </w:t>
      </w:r>
      <w:r w:rsidR="00CF36EE" w:rsidRPr="00AF43FE">
        <w:rPr>
          <w:rFonts w:ascii="Verdana" w:hAnsi="Verdana"/>
          <w:sz w:val="20"/>
          <w:lang w:eastAsia="cs-CZ"/>
        </w:rPr>
        <w:t>dodávce či montáži nábytku</w:t>
      </w:r>
      <w:r w:rsidRPr="00AF43FE">
        <w:rPr>
          <w:rFonts w:ascii="Verdana" w:hAnsi="Verdana"/>
          <w:sz w:val="20"/>
          <w:lang w:eastAsia="cs-CZ"/>
        </w:rPr>
        <w:t xml:space="preserve"> prodávajícím či v její souvislosti k poškození majetku kupujícího či třetích osob (např. poškození podlahy, stěny, výmalby apod.), zavazuje se prodávající bezodkladně poškozené věci opravit a uvést do původního stavu, případně nahradit vzniklou škodu.</w:t>
      </w:r>
    </w:p>
    <w:p w14:paraId="45CB6129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Kupní cena a platební podmínky</w:t>
      </w:r>
    </w:p>
    <w:p w14:paraId="265B3A63" w14:textId="1A738286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Celková kupní cena </w:t>
      </w:r>
      <w:r w:rsidR="00CF36EE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činí </w:t>
      </w:r>
      <w:r w:rsidR="00671779" w:rsidRPr="00AF43FE">
        <w:rPr>
          <w:rFonts w:ascii="Verdana" w:hAnsi="Verdana"/>
          <w:b/>
          <w:sz w:val="20"/>
          <w:lang w:eastAsia="cs-CZ"/>
        </w:rPr>
        <w:t>406 746, 25</w:t>
      </w:r>
      <w:r w:rsidRPr="00AF43FE">
        <w:rPr>
          <w:rFonts w:ascii="Verdana" w:hAnsi="Verdana"/>
          <w:b/>
          <w:sz w:val="20"/>
          <w:lang w:eastAsia="cs-CZ"/>
        </w:rPr>
        <w:t xml:space="preserve"> Kč bez DPH</w:t>
      </w:r>
      <w:r w:rsidRPr="00AF43FE">
        <w:rPr>
          <w:rFonts w:ascii="Verdana" w:hAnsi="Verdana"/>
          <w:sz w:val="20"/>
          <w:lang w:eastAsia="cs-CZ"/>
        </w:rPr>
        <w:t xml:space="preserve">, DPH </w:t>
      </w:r>
      <w:r w:rsidR="00671779" w:rsidRPr="00AF43FE">
        <w:rPr>
          <w:rFonts w:ascii="Verdana" w:hAnsi="Verdana"/>
          <w:sz w:val="20"/>
          <w:lang w:eastAsia="cs-CZ"/>
        </w:rPr>
        <w:t>21</w:t>
      </w:r>
      <w:r w:rsidRPr="00AF43FE">
        <w:rPr>
          <w:rFonts w:ascii="Verdana" w:hAnsi="Verdana"/>
          <w:sz w:val="20"/>
          <w:lang w:eastAsia="cs-CZ"/>
        </w:rPr>
        <w:t xml:space="preserve"> % je </w:t>
      </w:r>
      <w:r w:rsidR="00671779" w:rsidRPr="00AF43FE">
        <w:rPr>
          <w:rFonts w:ascii="Verdana" w:hAnsi="Verdana"/>
          <w:sz w:val="20"/>
          <w:lang w:eastAsia="cs-CZ"/>
        </w:rPr>
        <w:t>85 416,71</w:t>
      </w:r>
      <w:r w:rsidRPr="00AF43FE">
        <w:rPr>
          <w:rFonts w:ascii="Verdana" w:hAnsi="Verdana"/>
          <w:sz w:val="20"/>
          <w:lang w:eastAsia="cs-CZ"/>
        </w:rPr>
        <w:t xml:space="preserve">Kč, kupní cena vč. DPH činí </w:t>
      </w:r>
      <w:r w:rsidR="00671779" w:rsidRPr="00AF43FE">
        <w:rPr>
          <w:rFonts w:ascii="Verdana" w:hAnsi="Verdana"/>
          <w:sz w:val="20"/>
          <w:lang w:eastAsia="cs-CZ"/>
        </w:rPr>
        <w:t xml:space="preserve">492 162,96 </w:t>
      </w:r>
      <w:r w:rsidRPr="00AF43FE">
        <w:rPr>
          <w:rFonts w:ascii="Verdana" w:hAnsi="Verdana"/>
          <w:sz w:val="20"/>
          <w:lang w:eastAsia="cs-CZ"/>
        </w:rPr>
        <w:t xml:space="preserve">Kč. Prodávající ručí za uplatnění správné sazby DPH vztahující se na dodávku </w:t>
      </w:r>
      <w:r w:rsidR="00CF36EE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dle této smlouvy.</w:t>
      </w:r>
    </w:p>
    <w:p w14:paraId="14DBAF4D" w14:textId="0F32520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Kupní cena </w:t>
      </w:r>
      <w:r w:rsidR="00CF36EE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je stanovena dohodou jako cena konečná, maximální, nejvýše přípustná a zahrnuje rovněž dopravu </w:t>
      </w:r>
      <w:r w:rsidR="00CF36EE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do místa plnění, kompletaci, montáž, likvidaci obalů a případné další náklady související s plněním předmětu této smlouvy.</w:t>
      </w:r>
    </w:p>
    <w:p w14:paraId="4AE0CD73" w14:textId="2B0E4092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Úhrada kupní ceny bude kupujícím provedena bezhotovostním převodem nebo vkladem na účet prodávajícího uvedený v záhlaví této smlouvy, a to na základě faktury vystavené prodávajícím v souladu s dodacím listem. Kupující je oprávněn pozdržet úhradu kupní ceny až do doby úplného odstranění všech vad </w:t>
      </w:r>
      <w:r w:rsidR="0037076C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>.</w:t>
      </w:r>
    </w:p>
    <w:p w14:paraId="2D36A2A0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Splatnost faktury je do </w:t>
      </w:r>
      <w:r w:rsidRPr="00AF43FE">
        <w:rPr>
          <w:rFonts w:ascii="Verdana" w:hAnsi="Verdana"/>
          <w:b/>
          <w:sz w:val="20"/>
          <w:lang w:eastAsia="cs-CZ"/>
        </w:rPr>
        <w:t>30 dnů</w:t>
      </w:r>
      <w:r w:rsidRPr="00AF43FE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2409928B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V případě prodlení kupujícího s úhradou kupní ceny či její části je prodávající oprávněn požadovat zaplacení úroku z prodlení v souladu s ustanovením § 1970 občanského zákoníku.</w:t>
      </w:r>
    </w:p>
    <w:p w14:paraId="1E479DBD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3C7B1AD3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Odpovědnost za vady, záruka za jakost</w:t>
      </w:r>
    </w:p>
    <w:p w14:paraId="59C0EF36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59A5CD4C" w14:textId="7D49BF5A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Na dodan</w:t>
      </w:r>
      <w:r w:rsidR="0037076C" w:rsidRPr="00AF43FE">
        <w:rPr>
          <w:rFonts w:ascii="Verdana" w:hAnsi="Verdana"/>
          <w:sz w:val="20"/>
          <w:lang w:eastAsia="cs-CZ"/>
        </w:rPr>
        <w:t xml:space="preserve">ý nábytek </w:t>
      </w:r>
      <w:r w:rsidRPr="00AF43FE">
        <w:rPr>
          <w:rFonts w:ascii="Verdana" w:hAnsi="Verdana"/>
          <w:sz w:val="20"/>
          <w:lang w:eastAsia="cs-CZ"/>
        </w:rPr>
        <w:t xml:space="preserve">poskytuje prodávající záruku za jakost v délce </w:t>
      </w:r>
      <w:r w:rsidRPr="00AF43FE">
        <w:rPr>
          <w:rFonts w:ascii="Verdana" w:hAnsi="Verdana"/>
          <w:b/>
          <w:sz w:val="20"/>
          <w:lang w:eastAsia="cs-CZ"/>
        </w:rPr>
        <w:t>24 měsíců</w:t>
      </w:r>
      <w:r w:rsidRPr="00AF43FE">
        <w:rPr>
          <w:rFonts w:ascii="Verdana" w:hAnsi="Verdana"/>
          <w:sz w:val="20"/>
          <w:lang w:eastAsia="cs-CZ"/>
        </w:rPr>
        <w:t xml:space="preserve">. Záruční doba běží od okamžiku převzetí </w:t>
      </w:r>
      <w:r w:rsidR="009B7C76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kupujícím. Záruční doba se prodlužuje o dobu trvání vady, která brání řádnému užívání </w:t>
      </w:r>
      <w:r w:rsidR="009B7C76" w:rsidRPr="00AF43FE">
        <w:rPr>
          <w:rFonts w:ascii="Verdana" w:hAnsi="Verdana"/>
          <w:sz w:val="20"/>
          <w:lang w:eastAsia="cs-CZ"/>
        </w:rPr>
        <w:t>vadného kusu nábytku</w:t>
      </w:r>
      <w:r w:rsidRPr="00AF43FE">
        <w:rPr>
          <w:rFonts w:ascii="Verdana" w:hAnsi="Verdana"/>
          <w:sz w:val="20"/>
          <w:lang w:eastAsia="cs-CZ"/>
        </w:rPr>
        <w:t xml:space="preserve">. V případě dodání nového </w:t>
      </w:r>
      <w:r w:rsidR="009B7C76" w:rsidRPr="00AF43FE">
        <w:rPr>
          <w:rFonts w:ascii="Verdana" w:hAnsi="Verdana"/>
          <w:sz w:val="20"/>
          <w:lang w:eastAsia="cs-CZ"/>
        </w:rPr>
        <w:t>kusu nábytku</w:t>
      </w:r>
      <w:r w:rsidRPr="00AF43FE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440D64AA" w14:textId="47FFE89C" w:rsidR="00C62EF4" w:rsidRPr="00AF43FE" w:rsidRDefault="00C62EF4" w:rsidP="003517BD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lastRenderedPageBreak/>
        <w:t>Kupující je oprávněn reklamovat vady nábytku kdykoliv v průběhu záruční doby.</w:t>
      </w:r>
    </w:p>
    <w:p w14:paraId="158D82EF" w14:textId="16CB4834" w:rsidR="00C62EF4" w:rsidRPr="00AF43FE" w:rsidRDefault="003517BD" w:rsidP="0008071F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V záruční lhůtě je prodávající povinen odstranit reklamované závady na vlastní náklad bez zbytečného odkladu, nejpozději však do 15 dnů od doručení reklamace kupujícím. </w:t>
      </w:r>
    </w:p>
    <w:p w14:paraId="4BC5FCD6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V případě potřeby náhradních dílů či spotřebního materiálu, které nejsou běžně skladem, je prodávající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prodávající bez zbytečného odkladu po zjištění potřeby objednání náhradních dílů či spotřebního materiálu tuto skutečnost neoznámí kupujícímu.</w:t>
      </w:r>
    </w:p>
    <w:p w14:paraId="058171D1" w14:textId="2CF5BF46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Ukáže-li se, že vada </w:t>
      </w:r>
      <w:r w:rsidR="000E41B8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je neodstranitelná, nebo v případě, že prodávající neodstraní vady </w:t>
      </w:r>
      <w:r w:rsidR="000E41B8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včas, nejpozději do </w:t>
      </w:r>
      <w:r w:rsidR="000E41B8" w:rsidRPr="00AF43FE">
        <w:rPr>
          <w:rFonts w:ascii="Verdana" w:hAnsi="Verdana"/>
          <w:sz w:val="20"/>
          <w:lang w:eastAsia="cs-CZ"/>
        </w:rPr>
        <w:t>15</w:t>
      </w:r>
      <w:r w:rsidRPr="00AF43FE">
        <w:rPr>
          <w:rFonts w:ascii="Verdana" w:hAnsi="Verdana"/>
          <w:sz w:val="20"/>
          <w:lang w:eastAsia="cs-CZ"/>
        </w:rPr>
        <w:t xml:space="preserve"> dnů od dne oznámení, je kupující oprávněn požadovat dodání nového </w:t>
      </w:r>
      <w:r w:rsidR="00CE6134" w:rsidRPr="00AF43FE">
        <w:rPr>
          <w:rFonts w:ascii="Verdana" w:hAnsi="Verdana"/>
          <w:sz w:val="20"/>
          <w:lang w:eastAsia="cs-CZ"/>
        </w:rPr>
        <w:t>kusu nábytku</w:t>
      </w:r>
      <w:r w:rsidRPr="00AF43FE">
        <w:rPr>
          <w:rFonts w:ascii="Verdana" w:hAnsi="Verdana"/>
          <w:sz w:val="20"/>
          <w:lang w:eastAsia="cs-CZ"/>
        </w:rPr>
        <w:t xml:space="preserve"> shodných nebo lepších parametrů, nebo od této smlouvy odstoupit.</w:t>
      </w:r>
    </w:p>
    <w:p w14:paraId="51F80AC2" w14:textId="0ECDAE83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Náklady spojené s odstraňováním vad </w:t>
      </w:r>
      <w:r w:rsidR="00CE6134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>, za které odpovídá prodávající, hradí v plné výši prodávající (cestovné, náhradní díly, materiál, apod.).</w:t>
      </w:r>
    </w:p>
    <w:p w14:paraId="70B9DA4C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Obecná ustanovení</w:t>
      </w:r>
    </w:p>
    <w:p w14:paraId="24F88E3F" w14:textId="61B53388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3B7047" w:rsidRPr="00AF43FE">
        <w:rPr>
          <w:rFonts w:ascii="Verdana" w:hAnsi="Verdana"/>
          <w:sz w:val="20"/>
        </w:rPr>
        <w:t>y</w:t>
      </w:r>
      <w:r w:rsidRPr="00AF43FE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6E75CB72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Vzhledem k tomu,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80AB5F9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 nebo závazek zachovávat mlčenlivost.</w:t>
      </w:r>
    </w:p>
    <w:p w14:paraId="0DF3D81E" w14:textId="0C331BC6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BB4D4A" w:rsidRPr="00AF43FE">
        <w:rPr>
          <w:rFonts w:ascii="Verdana" w:hAnsi="Verdana"/>
          <w:sz w:val="20"/>
          <w:lang w:eastAsia="cs-CZ"/>
        </w:rPr>
        <w:t>nábytku</w:t>
      </w:r>
      <w:r w:rsidRPr="00AF43FE">
        <w:rPr>
          <w:rFonts w:ascii="Verdana" w:hAnsi="Verdana"/>
          <w:sz w:val="20"/>
          <w:lang w:eastAsia="cs-CZ"/>
        </w:rPr>
        <w:t xml:space="preserve"> bez DPH, kterého se prodlení týká. Zaplacením smluvní pokuty není dotčen nárok kupujícího na náhradu škody v plné výši.</w:t>
      </w:r>
    </w:p>
    <w:p w14:paraId="5EB6B563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V případě, že se kterékoliv z prohlášení prodávajícího uvedené v čl. 1 této smlouvy ukáže být nepravdivým, hrubě zkresleným či v podstatném ohledu zavádějícím je prodávající povinen uhradit kupujícímu smluvní pokutu ve výši 50.000,- Kč za každý jednotlivý případ porušení.</w:t>
      </w:r>
    </w:p>
    <w:p w14:paraId="5F18002D" w14:textId="10EF8AB9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 xml:space="preserve">Prodávající bere na vědomí, že se podpisem této smlouvy stává, v souladu s ustanovením § 2 písm. e) zákona č. 320/2001 Sb., o finanční kontrole ve veřejné správě a o změně některých zákonů, ve znění pozdějších předpisů, osobou povinnou </w:t>
      </w:r>
      <w:r w:rsidRPr="00AF43FE">
        <w:rPr>
          <w:rFonts w:ascii="Verdana" w:hAnsi="Verdana"/>
          <w:sz w:val="20"/>
          <w:lang w:eastAsia="cs-CZ"/>
        </w:rPr>
        <w:lastRenderedPageBreak/>
        <w:t>spolupůsobit při výkonu finanční kontroly prováděné v souvislosti s úhradou zařízení nebo služeb z veřejných výdajů nebo z veřejné finanční podpory.</w:t>
      </w:r>
    </w:p>
    <w:p w14:paraId="36CB9D48" w14:textId="77777777" w:rsidR="00D02237" w:rsidRPr="00AF43FE" w:rsidRDefault="00D02237" w:rsidP="00D02237">
      <w:pPr>
        <w:pStyle w:val="Nadpis1"/>
        <w:keepNext w:val="0"/>
        <w:keepLines w:val="0"/>
        <w:rPr>
          <w:rFonts w:ascii="Verdana" w:hAnsi="Verdana"/>
          <w:sz w:val="20"/>
        </w:rPr>
      </w:pPr>
      <w:r w:rsidRPr="00AF43FE">
        <w:rPr>
          <w:rFonts w:ascii="Verdana" w:hAnsi="Verdana"/>
          <w:sz w:val="20"/>
        </w:rPr>
        <w:t>Závěrečná ustanovení</w:t>
      </w:r>
    </w:p>
    <w:p w14:paraId="3C5DB251" w14:textId="7777777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718E9B20" w14:textId="7777777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06E20254" w14:textId="7777777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78012FB" w14:textId="7777777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7764DF14" w14:textId="670C7D3E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BB4D4A" w:rsidRPr="00AF43FE">
        <w:rPr>
          <w:rFonts w:ascii="Verdana" w:hAnsi="Verdana"/>
          <w:sz w:val="20"/>
          <w:lang w:eastAsia="cs-CZ"/>
        </w:rPr>
        <w:t xml:space="preserve"> číslovaných dodatků</w:t>
      </w:r>
      <w:r w:rsidRPr="00AF43FE"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73CEEF6F" w14:textId="77777777" w:rsidR="00D02237" w:rsidRPr="00AF43FE" w:rsidRDefault="00D02237" w:rsidP="00D02237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Tato smlouva nabývá platnosti dnem jejího podpisu a účinnosti dnem uveřejnění v registru smluv.</w:t>
      </w:r>
    </w:p>
    <w:p w14:paraId="64C46830" w14:textId="7F98F1EA" w:rsidR="00D02237" w:rsidRPr="00AF43FE" w:rsidRDefault="00D02237" w:rsidP="00BB4D4A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  <w:r w:rsidR="00BB4D4A" w:rsidRPr="00AF43FE">
        <w:rPr>
          <w:rFonts w:ascii="Verdana" w:hAnsi="Verdana"/>
          <w:sz w:val="20"/>
          <w:lang w:eastAsia="cs-CZ"/>
        </w:rPr>
        <w:t xml:space="preserve"> V případě elektronického podpisu je tato smlouva vypracována v jednom vyhotovení podepsaném elektronicky oběma smluvními stranami.</w:t>
      </w:r>
    </w:p>
    <w:p w14:paraId="5DDDE4CF" w14:textId="77777777" w:rsidR="00D02237" w:rsidRPr="00AF43FE" w:rsidRDefault="00D02237" w:rsidP="00D0223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F43FE"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249FBE34" w14:textId="77777777" w:rsidR="00D02237" w:rsidRPr="00AF43FE" w:rsidRDefault="00D02237" w:rsidP="00D0223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3D8236E" w14:textId="6BB010BF" w:rsidR="00D02237" w:rsidRPr="00AF43FE" w:rsidRDefault="000E20E2" w:rsidP="000E20E2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  <w:r w:rsidRPr="00AF43FE">
        <w:rPr>
          <w:snapToGrid w:val="0"/>
          <w:sz w:val="20"/>
          <w:szCs w:val="20"/>
          <w:lang w:eastAsia="cs-CZ"/>
        </w:rPr>
        <w:t xml:space="preserve">Přílohy: 1) </w:t>
      </w:r>
      <w:r w:rsidR="006150A3" w:rsidRPr="00AF43FE">
        <w:rPr>
          <w:snapToGrid w:val="0"/>
          <w:sz w:val="20"/>
          <w:szCs w:val="20"/>
          <w:lang w:eastAsia="cs-CZ"/>
        </w:rPr>
        <w:t>specifikace nábytku</w:t>
      </w:r>
    </w:p>
    <w:p w14:paraId="45D43902" w14:textId="4F5AB6F8" w:rsidR="00D02237" w:rsidRPr="00AF43FE" w:rsidRDefault="000E20E2" w:rsidP="000E20E2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AF43FE">
        <w:rPr>
          <w:snapToGrid w:val="0"/>
          <w:sz w:val="20"/>
          <w:szCs w:val="20"/>
          <w:lang w:eastAsia="cs-CZ"/>
        </w:rPr>
        <w:t>montážní návod</w:t>
      </w:r>
      <w:r w:rsidR="00D02237" w:rsidRPr="00AF43FE">
        <w:rPr>
          <w:snapToGrid w:val="0"/>
          <w:sz w:val="20"/>
          <w:szCs w:val="20"/>
          <w:lang w:eastAsia="cs-CZ"/>
        </w:rPr>
        <w:t xml:space="preserve"> (volná příloha)</w:t>
      </w:r>
    </w:p>
    <w:p w14:paraId="799BD9EA" w14:textId="5AA93934" w:rsidR="00D02237" w:rsidRPr="00AF43FE" w:rsidRDefault="00D02237" w:rsidP="000E20E2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AF43FE">
        <w:rPr>
          <w:snapToGrid w:val="0"/>
          <w:sz w:val="20"/>
          <w:szCs w:val="20"/>
          <w:lang w:eastAsia="cs-CZ"/>
        </w:rPr>
        <w:t>prohlášení o shodě (volná příloha)</w:t>
      </w:r>
    </w:p>
    <w:p w14:paraId="6B03DE31" w14:textId="6CF41AAB" w:rsidR="00D02237" w:rsidRPr="00AF43FE" w:rsidRDefault="00D02237" w:rsidP="000E20E2">
      <w:pPr>
        <w:pStyle w:val="Odstavecseseznamem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AF43FE">
        <w:rPr>
          <w:snapToGrid w:val="0"/>
          <w:sz w:val="20"/>
          <w:szCs w:val="20"/>
          <w:lang w:eastAsia="cs-CZ"/>
        </w:rPr>
        <w:t>seznam poddodavatelů</w:t>
      </w:r>
    </w:p>
    <w:p w14:paraId="75B5E90B" w14:textId="77777777" w:rsidR="00D02237" w:rsidRPr="00AF43FE" w:rsidRDefault="00D02237" w:rsidP="00D02237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D02237" w:rsidRPr="00AF43FE" w14:paraId="3C4FD5F4" w14:textId="77777777" w:rsidTr="00054AA1">
        <w:trPr>
          <w:jc w:val="center"/>
        </w:trPr>
        <w:tc>
          <w:tcPr>
            <w:tcW w:w="4606" w:type="dxa"/>
          </w:tcPr>
          <w:p w14:paraId="5EBA44D4" w14:textId="1F2DD4A4" w:rsidR="00D02237" w:rsidRPr="00AF43FE" w:rsidRDefault="00D02237" w:rsidP="00054AA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V</w:t>
            </w:r>
            <w:r w:rsidR="00AF43FE">
              <w:rPr>
                <w:sz w:val="20"/>
                <w:szCs w:val="20"/>
                <w:lang w:eastAsia="cs-CZ"/>
              </w:rPr>
              <w:t> Mladé Boleslavi</w:t>
            </w:r>
            <w:r w:rsidRPr="00AF43FE">
              <w:rPr>
                <w:sz w:val="20"/>
                <w:szCs w:val="20"/>
                <w:lang w:eastAsia="cs-CZ"/>
              </w:rPr>
              <w:t xml:space="preserve"> dne _______________</w:t>
            </w:r>
          </w:p>
        </w:tc>
        <w:tc>
          <w:tcPr>
            <w:tcW w:w="4606" w:type="dxa"/>
          </w:tcPr>
          <w:p w14:paraId="2AEF6058" w14:textId="77777777" w:rsidR="00D02237" w:rsidRPr="00AF43FE" w:rsidRDefault="00D02237" w:rsidP="00054AA1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V Mladé Boleslavi dne ________________</w:t>
            </w:r>
          </w:p>
        </w:tc>
      </w:tr>
      <w:tr w:rsidR="00D02237" w:rsidRPr="00AF43FE" w14:paraId="65754CA2" w14:textId="77777777" w:rsidTr="00054AA1">
        <w:trPr>
          <w:trHeight w:val="120"/>
          <w:jc w:val="center"/>
        </w:trPr>
        <w:tc>
          <w:tcPr>
            <w:tcW w:w="4606" w:type="dxa"/>
          </w:tcPr>
          <w:p w14:paraId="72047EE8" w14:textId="77777777" w:rsidR="00D02237" w:rsidRPr="00AF43FE" w:rsidRDefault="00D02237" w:rsidP="000E20E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18588E9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AE22B95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1AEE446" w14:textId="4D84B406" w:rsidR="00D02237" w:rsidRPr="00AF43FE" w:rsidRDefault="00AF43FE" w:rsidP="00054AA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AF43FE">
              <w:rPr>
                <w:b/>
                <w:sz w:val="20"/>
                <w:szCs w:val="20"/>
                <w:lang w:eastAsia="cs-CZ"/>
              </w:rPr>
              <w:t>GRENT CZ a.s,</w:t>
            </w:r>
            <w:r w:rsidRPr="00AF43FE">
              <w:rPr>
                <w:bCs/>
                <w:sz w:val="20"/>
                <w:szCs w:val="20"/>
                <w:lang w:eastAsia="cs-CZ"/>
              </w:rPr>
              <w:br/>
              <w:t>Ernest Horváth</w:t>
            </w:r>
            <w:r w:rsidRPr="00AF43FE">
              <w:rPr>
                <w:bCs/>
                <w:sz w:val="20"/>
                <w:szCs w:val="20"/>
                <w:lang w:eastAsia="cs-CZ"/>
              </w:rPr>
              <w:br/>
              <w:t>statutární ředitel</w:t>
            </w:r>
          </w:p>
        </w:tc>
        <w:tc>
          <w:tcPr>
            <w:tcW w:w="4606" w:type="dxa"/>
          </w:tcPr>
          <w:p w14:paraId="2D780FB2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F229A0" w14:textId="77777777" w:rsidR="00D02237" w:rsidRPr="00AF43FE" w:rsidRDefault="00D02237" w:rsidP="000E20E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333C9AC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4CCB091" w14:textId="77777777" w:rsidR="00D02237" w:rsidRPr="00AF43FE" w:rsidRDefault="00D02237" w:rsidP="00054AA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F43FE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B9E5F6D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JUDr. Ladislav Řípa</w:t>
            </w:r>
          </w:p>
          <w:p w14:paraId="45BFADA4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02237" w:rsidRPr="00882036" w14:paraId="4C23A997" w14:textId="77777777" w:rsidTr="00054AA1">
        <w:trPr>
          <w:trHeight w:val="120"/>
          <w:jc w:val="center"/>
        </w:trPr>
        <w:tc>
          <w:tcPr>
            <w:tcW w:w="4606" w:type="dxa"/>
          </w:tcPr>
          <w:p w14:paraId="6009DDCF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4A48E9E" w14:textId="77777777" w:rsidR="000E20E2" w:rsidRPr="00AF43FE" w:rsidRDefault="000E20E2" w:rsidP="000E20E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0D158F69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F2B5A15" w14:textId="77777777" w:rsidR="00D02237" w:rsidRPr="00AF43FE" w:rsidRDefault="00D02237" w:rsidP="00054AA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AF43FE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D2B8E2E" w14:textId="77777777" w:rsidR="00D02237" w:rsidRPr="00AF43FE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Mgr. Daniel Marek</w:t>
            </w:r>
          </w:p>
          <w:p w14:paraId="5AFA372D" w14:textId="77777777" w:rsidR="00D02237" w:rsidRPr="00882036" w:rsidRDefault="00D02237" w:rsidP="00054AA1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AF43FE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30019B0" w14:textId="77777777" w:rsidR="00934757" w:rsidRDefault="00934757" w:rsidP="000E20E2"/>
    <w:sectPr w:rsidR="00934757" w:rsidSect="00D02237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8AF2" w14:textId="77777777" w:rsidR="00AC5B8A" w:rsidRDefault="00AC5B8A" w:rsidP="00AC5B8A">
      <w:pPr>
        <w:spacing w:after="0" w:line="240" w:lineRule="auto"/>
      </w:pPr>
      <w:r>
        <w:separator/>
      </w:r>
    </w:p>
  </w:endnote>
  <w:endnote w:type="continuationSeparator" w:id="0">
    <w:p w14:paraId="0CB0D1CD" w14:textId="77777777" w:rsidR="00AC5B8A" w:rsidRDefault="00AC5B8A" w:rsidP="00AC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4001" w14:textId="77777777" w:rsidR="00E835B7" w:rsidRDefault="0067177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E2588F" w14:textId="77777777" w:rsidR="00E835B7" w:rsidRDefault="00AF43FE" w:rsidP="00A57CF7">
    <w:pPr>
      <w:pStyle w:val="Zpat"/>
      <w:ind w:right="360"/>
    </w:pPr>
  </w:p>
  <w:p w14:paraId="4B6C1288" w14:textId="77777777" w:rsidR="00E835B7" w:rsidRDefault="00AF43FE"/>
  <w:p w14:paraId="0C0FC82C" w14:textId="77777777" w:rsidR="00E835B7" w:rsidRDefault="00AF43FE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1014" w14:textId="77777777" w:rsidR="00E835B7" w:rsidRPr="00E45928" w:rsidRDefault="00671779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6C2285BC" w14:textId="77777777" w:rsidR="00E835B7" w:rsidRDefault="0067177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2A1E1B7" wp14:editId="775D13B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8CAB623" wp14:editId="23BA486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CA6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34E8" w14:textId="77777777" w:rsidR="00AC5B8A" w:rsidRDefault="00AC5B8A" w:rsidP="00AC5B8A">
      <w:pPr>
        <w:spacing w:after="0" w:line="240" w:lineRule="auto"/>
      </w:pPr>
      <w:r>
        <w:separator/>
      </w:r>
    </w:p>
  </w:footnote>
  <w:footnote w:type="continuationSeparator" w:id="0">
    <w:p w14:paraId="028D72EE" w14:textId="77777777" w:rsidR="00AC5B8A" w:rsidRDefault="00AC5B8A" w:rsidP="00AC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3ADE" w14:textId="77777777" w:rsidR="00E835B7" w:rsidRPr="00F7628A" w:rsidRDefault="00671779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43605D5" wp14:editId="178A812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789F85B" wp14:editId="43099B9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8E482B" w14:textId="77777777" w:rsidR="00E835B7" w:rsidRDefault="00AF43FE"/>
  <w:p w14:paraId="5573544A" w14:textId="77777777" w:rsidR="00E835B7" w:rsidRDefault="00AF43FE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29BB"/>
    <w:multiLevelType w:val="hybridMultilevel"/>
    <w:tmpl w:val="CC52F93E"/>
    <w:lvl w:ilvl="0" w:tplc="CB5646E4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463405">
    <w:abstractNumId w:val="2"/>
  </w:num>
  <w:num w:numId="2" w16cid:durableId="322583416">
    <w:abstractNumId w:val="0"/>
  </w:num>
  <w:num w:numId="3" w16cid:durableId="1837836894">
    <w:abstractNumId w:val="3"/>
  </w:num>
  <w:num w:numId="4" w16cid:durableId="48563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37"/>
    <w:rsid w:val="00044408"/>
    <w:rsid w:val="000E20E2"/>
    <w:rsid w:val="000E41B8"/>
    <w:rsid w:val="00184B3E"/>
    <w:rsid w:val="001A79F5"/>
    <w:rsid w:val="002F76AC"/>
    <w:rsid w:val="003517BD"/>
    <w:rsid w:val="00352B08"/>
    <w:rsid w:val="0037076C"/>
    <w:rsid w:val="003B7047"/>
    <w:rsid w:val="00487CC4"/>
    <w:rsid w:val="00506306"/>
    <w:rsid w:val="00536379"/>
    <w:rsid w:val="00565462"/>
    <w:rsid w:val="006000A1"/>
    <w:rsid w:val="00600140"/>
    <w:rsid w:val="006150A3"/>
    <w:rsid w:val="00671779"/>
    <w:rsid w:val="006D7883"/>
    <w:rsid w:val="00776303"/>
    <w:rsid w:val="00793EB7"/>
    <w:rsid w:val="00934757"/>
    <w:rsid w:val="009B7C76"/>
    <w:rsid w:val="00A4277B"/>
    <w:rsid w:val="00AC5B8A"/>
    <w:rsid w:val="00AF43FE"/>
    <w:rsid w:val="00BB4D4A"/>
    <w:rsid w:val="00C177FD"/>
    <w:rsid w:val="00C62EF4"/>
    <w:rsid w:val="00CE6134"/>
    <w:rsid w:val="00CF36EE"/>
    <w:rsid w:val="00D02237"/>
    <w:rsid w:val="00E0641F"/>
    <w:rsid w:val="00E47CED"/>
    <w:rsid w:val="00F778A6"/>
    <w:rsid w:val="00F84DF4"/>
    <w:rsid w:val="00F9711C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11D2"/>
  <w15:chartTrackingRefBased/>
  <w15:docId w15:val="{25F3809A-46BF-402A-B26F-6F15DAB5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37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D0223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D0223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D02237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D0223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D0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02237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D0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02237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D02237"/>
  </w:style>
  <w:style w:type="paragraph" w:styleId="Odstavecseseznamem">
    <w:name w:val="List Paragraph"/>
    <w:basedOn w:val="Normln"/>
    <w:uiPriority w:val="99"/>
    <w:qFormat/>
    <w:rsid w:val="00D022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D71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1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7175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1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175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1924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7</cp:revision>
  <cp:lastPrinted>2022-04-21T06:42:00Z</cp:lastPrinted>
  <dcterms:created xsi:type="dcterms:W3CDTF">2022-04-01T06:34:00Z</dcterms:created>
  <dcterms:modified xsi:type="dcterms:W3CDTF">2022-04-22T10:40:00Z</dcterms:modified>
</cp:coreProperties>
</file>