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471044EE"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EndPr/>
        <w:sdtContent>
          <w:r w:rsidR="006F25F8">
            <w:rPr>
              <w:rFonts w:ascii="Arial" w:hAnsi="Arial" w:cs="Arial"/>
              <w:b/>
              <w:bCs/>
              <w:sz w:val="44"/>
              <w:szCs w:val="44"/>
            </w:rPr>
            <w:t>22</w:t>
          </w:r>
          <w:r w:rsidR="00BF7303">
            <w:rPr>
              <w:rFonts w:ascii="Arial" w:hAnsi="Arial" w:cs="Arial"/>
              <w:b/>
              <w:bCs/>
              <w:sz w:val="44"/>
              <w:szCs w:val="44"/>
            </w:rPr>
            <w:t>/</w:t>
          </w:r>
          <w:r w:rsidR="009E5A4F">
            <w:rPr>
              <w:rFonts w:ascii="Arial" w:hAnsi="Arial" w:cs="Arial"/>
              <w:b/>
              <w:bCs/>
              <w:sz w:val="44"/>
              <w:szCs w:val="44"/>
            </w:rPr>
            <w:t>1</w:t>
          </w:r>
          <w:r w:rsidR="006F25F8">
            <w:rPr>
              <w:rFonts w:ascii="Arial" w:hAnsi="Arial" w:cs="Arial"/>
              <w:b/>
              <w:bCs/>
              <w:sz w:val="44"/>
              <w:szCs w:val="44"/>
            </w:rPr>
            <w:t>2</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EA70983" w:rsidR="007A77C6" w:rsidRP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282BA8BF" w14:textId="5EA4B94E" w:rsidR="007A77C6" w:rsidRPr="007A77C6" w:rsidRDefault="007A77C6" w:rsidP="007A77C6">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E90510">
        <w:rPr>
          <w:rFonts w:eastAsia="MS Mincho"/>
        </w:rPr>
        <w:t>XXX</w:t>
      </w:r>
      <w:r w:rsidRPr="007A77C6">
        <w:rPr>
          <w:rFonts w:eastAsia="MS Mincho"/>
        </w:rPr>
        <w:t xml:space="preserve"> </w:t>
      </w:r>
    </w:p>
    <w:p w14:paraId="2DF57876" w14:textId="43D7435C"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E90510">
        <w:rPr>
          <w:rFonts w:eastAsia="MS Mincho"/>
        </w:rPr>
        <w:t>XXX</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75E52C0D" w:rsidR="00BE4E7A" w:rsidRPr="006C2A4B" w:rsidRDefault="001F4F46"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EndPr/>
        <w:sdtContent>
          <w:proofErr w:type="spellStart"/>
          <w:r w:rsidR="000B5E3E">
            <w:rPr>
              <w:rFonts w:ascii="Arial" w:hAnsi="Arial" w:cs="Arial"/>
              <w:b/>
              <w:i w:val="0"/>
              <w:iCs w:val="0"/>
              <w:sz w:val="22"/>
              <w:szCs w:val="22"/>
            </w:rPr>
            <w:t>Tudos</w:t>
          </w:r>
          <w:proofErr w:type="spellEnd"/>
          <w:r w:rsidR="000B5E3E">
            <w:rPr>
              <w:rFonts w:ascii="Arial" w:hAnsi="Arial" w:cs="Arial"/>
              <w:b/>
              <w:i w:val="0"/>
              <w:iCs w:val="0"/>
              <w:sz w:val="22"/>
              <w:szCs w:val="22"/>
            </w:rPr>
            <w:t xml:space="preserve"> </w:t>
          </w:r>
          <w:proofErr w:type="spellStart"/>
          <w:r w:rsidR="000B5E3E">
            <w:rPr>
              <w:rFonts w:ascii="Arial" w:hAnsi="Arial" w:cs="Arial"/>
              <w:b/>
              <w:i w:val="0"/>
              <w:iCs w:val="0"/>
              <w:sz w:val="22"/>
              <w:szCs w:val="22"/>
            </w:rPr>
            <w:t>Solution</w:t>
          </w:r>
          <w:proofErr w:type="spellEnd"/>
          <w:r w:rsidR="000B5E3E">
            <w:rPr>
              <w:rFonts w:ascii="Arial" w:hAnsi="Arial" w:cs="Arial"/>
              <w:b/>
              <w:i w:val="0"/>
              <w:iCs w:val="0"/>
              <w:sz w:val="22"/>
              <w:szCs w:val="22"/>
            </w:rPr>
            <w:t xml:space="preserve"> s.r.o.</w:t>
          </w:r>
        </w:sdtContent>
      </w:sdt>
      <w:r w:rsidR="00BE4E7A" w:rsidRPr="006C2A4B">
        <w:rPr>
          <w:rFonts w:ascii="Arial" w:hAnsi="Arial" w:cs="Arial"/>
          <w:b/>
          <w:i w:val="0"/>
          <w:iCs w:val="0"/>
          <w:sz w:val="22"/>
          <w:szCs w:val="22"/>
        </w:rPr>
        <w:tab/>
        <w:t xml:space="preserve"> </w:t>
      </w:r>
    </w:p>
    <w:p w14:paraId="7D125907" w14:textId="560222B9"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EndPr/>
        <w:sdtContent>
          <w:r w:rsidR="000B5E3E">
            <w:rPr>
              <w:rFonts w:ascii="Arial" w:hAnsi="Arial" w:cs="Arial"/>
              <w:i w:val="0"/>
              <w:iCs w:val="0"/>
              <w:sz w:val="22"/>
              <w:szCs w:val="22"/>
            </w:rPr>
            <w:t>Klánovická 591/1, Hloubětín, 198 00, Praha 9</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534492E4"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EndPr/>
        <w:sdtContent>
          <w:r w:rsidR="000B5E3E">
            <w:rPr>
              <w:rFonts w:ascii="Arial" w:hAnsi="Arial" w:cs="Arial"/>
              <w:i w:val="0"/>
              <w:iCs w:val="0"/>
              <w:sz w:val="22"/>
              <w:szCs w:val="22"/>
            </w:rPr>
            <w:t>Ing. David Vacek</w:t>
          </w:r>
          <w:r w:rsidRPr="00BE4E7A">
            <w:rPr>
              <w:rFonts w:ascii="Arial" w:hAnsi="Arial" w:cs="Arial"/>
              <w:i w:val="0"/>
              <w:iCs w:val="0"/>
              <w:sz w:val="22"/>
              <w:szCs w:val="22"/>
            </w:rPr>
            <w:t xml:space="preserve"> – jednatel</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3C36C6E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Městským soudem v Praze vložka </w:t>
      </w:r>
      <w:sdt>
        <w:sdtPr>
          <w:rPr>
            <w:rFonts w:ascii="Arial" w:hAnsi="Arial" w:cs="Arial"/>
            <w:i w:val="0"/>
            <w:iCs w:val="0"/>
            <w:sz w:val="22"/>
            <w:szCs w:val="22"/>
          </w:rPr>
          <w:id w:val="400180081"/>
          <w:placeholder>
            <w:docPart w:val="DefaultPlaceholder_-1854013440"/>
          </w:placeholder>
          <w:text/>
        </w:sdtPr>
        <w:sdtEndPr/>
        <w:sdtContent>
          <w:r w:rsidRPr="00BE4E7A">
            <w:rPr>
              <w:rFonts w:ascii="Arial" w:hAnsi="Arial" w:cs="Arial"/>
              <w:i w:val="0"/>
              <w:iCs w:val="0"/>
              <w:sz w:val="22"/>
              <w:szCs w:val="22"/>
            </w:rPr>
            <w:t xml:space="preserve">C </w:t>
          </w:r>
          <w:r w:rsidR="000B5E3E">
            <w:rPr>
              <w:rFonts w:ascii="Arial" w:hAnsi="Arial" w:cs="Arial"/>
              <w:i w:val="0"/>
              <w:iCs w:val="0"/>
              <w:sz w:val="22"/>
              <w:szCs w:val="22"/>
            </w:rPr>
            <w:t>358847</w:t>
          </w:r>
        </w:sdtContent>
      </w:sdt>
      <w:r w:rsidRPr="00BE4E7A">
        <w:rPr>
          <w:rFonts w:ascii="Arial" w:hAnsi="Arial" w:cs="Arial"/>
          <w:i w:val="0"/>
          <w:iCs w:val="0"/>
          <w:sz w:val="22"/>
          <w:szCs w:val="22"/>
        </w:rPr>
        <w:t xml:space="preserve"> </w:t>
      </w:r>
    </w:p>
    <w:p w14:paraId="2721FDCF" w14:textId="3FBD4A4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EndPr/>
        <w:sdtContent>
          <w:r w:rsidR="000B5E3E">
            <w:rPr>
              <w:rFonts w:ascii="Arial" w:hAnsi="Arial" w:cs="Arial"/>
              <w:i w:val="0"/>
              <w:iCs w:val="0"/>
              <w:sz w:val="22"/>
              <w:szCs w:val="22"/>
            </w:rPr>
            <w:t>14011158</w:t>
          </w:r>
        </w:sdtContent>
      </w:sdt>
      <w:r w:rsidRPr="00BE4E7A">
        <w:rPr>
          <w:rFonts w:ascii="Arial" w:hAnsi="Arial" w:cs="Arial"/>
          <w:i w:val="0"/>
          <w:iCs w:val="0"/>
          <w:sz w:val="22"/>
          <w:szCs w:val="22"/>
        </w:rPr>
        <w:tab/>
      </w:r>
    </w:p>
    <w:p w14:paraId="5E12BE25" w14:textId="5C11182C" w:rsidR="00BE4E7A" w:rsidRPr="00BE4E7A" w:rsidRDefault="001F4F46"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EndPr/>
        <w:sdtContent>
          <w:r w:rsidR="00BE4E7A" w:rsidRPr="00BE4E7A">
            <w:rPr>
              <w:rFonts w:ascii="Arial" w:hAnsi="Arial" w:cs="Arial"/>
              <w:i w:val="0"/>
              <w:iCs w:val="0"/>
              <w:sz w:val="22"/>
              <w:szCs w:val="22"/>
            </w:rPr>
            <w:t>DIČ: CZ</w:t>
          </w:r>
          <w:r w:rsidR="0029563B">
            <w:rPr>
              <w:rFonts w:ascii="Arial" w:hAnsi="Arial" w:cs="Arial"/>
              <w:i w:val="0"/>
              <w:iCs w:val="0"/>
              <w:sz w:val="22"/>
              <w:szCs w:val="22"/>
            </w:rPr>
            <w:t>14011158</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7FC3D1E0"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EndPr/>
        <w:sdtContent>
          <w:r w:rsidR="00E90510">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6EF9C320"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i w:val="0"/>
            <w:iCs w:val="0"/>
            <w:sz w:val="22"/>
            <w:szCs w:val="22"/>
          </w:rPr>
          <w:id w:val="-1883854531"/>
          <w:placeholder>
            <w:docPart w:val="DefaultPlaceholder_-1854013440"/>
          </w:placeholder>
          <w:text/>
        </w:sdtPr>
        <w:sdtEndPr/>
        <w:sdtContent>
          <w:r w:rsidR="00E90510">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1EB5331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EndPr/>
        <w:sdtContent>
          <w:r w:rsidR="00E90510">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1A2BFA5E"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EndPr/>
        <w:sdtContent>
          <w:r w:rsidR="00E90510">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5DC1DDD" w14:textId="77777777" w:rsidR="007233C6" w:rsidRPr="007A3FF7" w:rsidRDefault="007233C6"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6B75ED8C"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EndPr/>
        <w:sdtContent>
          <w:r w:rsidR="00293259">
            <w:rPr>
              <w:rFonts w:ascii="Arial" w:hAnsi="Arial" w:cs="Arial"/>
              <w:sz w:val="22"/>
              <w:szCs w:val="22"/>
            </w:rPr>
            <w:t xml:space="preserve">bytové jednotky č. </w:t>
          </w:r>
          <w:r w:rsidR="0029563B">
            <w:rPr>
              <w:rFonts w:ascii="Arial" w:hAnsi="Arial" w:cs="Arial"/>
              <w:sz w:val="22"/>
              <w:szCs w:val="22"/>
            </w:rPr>
            <w:t>14</w:t>
          </w:r>
        </w:sdtContent>
      </w:sdt>
      <w:bookmarkStart w:id="0"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EndPr/>
        <w:sdtContent>
          <w:r w:rsidR="0029563B">
            <w:rPr>
              <w:rFonts w:ascii="Arial" w:hAnsi="Arial" w:cs="Arial"/>
              <w:sz w:val="22"/>
              <w:szCs w:val="22"/>
            </w:rPr>
            <w:t>3</w:t>
          </w:r>
          <w:r w:rsidRPr="00BE4E7A">
            <w:rPr>
              <w:rFonts w:ascii="Arial" w:hAnsi="Arial" w:cs="Arial"/>
              <w:sz w:val="22"/>
              <w:szCs w:val="22"/>
            </w:rPr>
            <w:t>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EndPr/>
        <w:sdtContent>
          <w:r w:rsidR="00151A15">
            <w:rPr>
              <w:rFonts w:ascii="Arial" w:hAnsi="Arial" w:cs="Arial"/>
              <w:sz w:val="22"/>
              <w:szCs w:val="22"/>
            </w:rPr>
            <w:t>927</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EndPr/>
        <w:sdtContent>
          <w:r w:rsidR="00151A15">
            <w:rPr>
              <w:rFonts w:ascii="Arial" w:hAnsi="Arial" w:cs="Arial"/>
              <w:sz w:val="22"/>
              <w:szCs w:val="22"/>
            </w:rPr>
            <w:t>U Průhonu</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EndPr/>
        <w:sdtContent>
          <w:r w:rsidR="00151A15">
            <w:rPr>
              <w:rFonts w:ascii="Arial" w:hAnsi="Arial" w:cs="Arial"/>
              <w:sz w:val="22"/>
              <w:szCs w:val="22"/>
            </w:rPr>
            <w:t>823/2</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End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EndPr/>
        <w:sdtContent>
          <w:r w:rsidRPr="00BE4E7A">
            <w:rPr>
              <w:rFonts w:ascii="Arial" w:hAnsi="Arial" w:cs="Arial"/>
              <w:sz w:val="22"/>
              <w:szCs w:val="22"/>
            </w:rPr>
            <w:t xml:space="preserve">byt č. </w:t>
          </w:r>
          <w:r w:rsidR="00151A15">
            <w:rPr>
              <w:rFonts w:ascii="Arial" w:hAnsi="Arial" w:cs="Arial"/>
              <w:sz w:val="22"/>
              <w:szCs w:val="22"/>
            </w:rPr>
            <w:t>927</w:t>
          </w:r>
          <w:r w:rsidRPr="00BE4E7A">
            <w:rPr>
              <w:rFonts w:ascii="Arial" w:hAnsi="Arial" w:cs="Arial"/>
              <w:sz w:val="22"/>
              <w:szCs w:val="22"/>
            </w:rPr>
            <w:t>/</w:t>
          </w:r>
          <w:r w:rsidR="00151A15">
            <w:rPr>
              <w:rFonts w:ascii="Arial" w:hAnsi="Arial" w:cs="Arial"/>
              <w:sz w:val="22"/>
              <w:szCs w:val="22"/>
            </w:rPr>
            <w:t>14</w:t>
          </w:r>
        </w:sdtContent>
      </w:sdt>
      <w:r w:rsidRPr="00BE4E7A">
        <w:rPr>
          <w:rFonts w:ascii="Arial" w:hAnsi="Arial" w:cs="Arial"/>
          <w:sz w:val="22"/>
          <w:szCs w:val="22"/>
        </w:rPr>
        <w:t>)</w:t>
      </w:r>
      <w:bookmarkEnd w:id="0"/>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4DCC279F"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tvoří nedílnou součást této smlouvy, jako jeho příloha č. 1. Předmětem plnění jsou stavební práce a dodávky spočívající v opravě </w:t>
      </w:r>
      <w:sdt>
        <w:sdtPr>
          <w:rPr>
            <w:rFonts w:ascii="Arial" w:hAnsi="Arial" w:cs="Arial"/>
            <w:sz w:val="22"/>
            <w:szCs w:val="22"/>
          </w:rPr>
          <w:id w:val="-474672738"/>
          <w:placeholder>
            <w:docPart w:val="DefaultPlaceholder_-1854013440"/>
          </w:placeholder>
          <w:text/>
        </w:sdtPr>
        <w:sdtEnd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EndPr/>
        <w:sdtContent>
          <w:r w:rsidRPr="00BE4E7A">
            <w:rPr>
              <w:rFonts w:ascii="Arial" w:hAnsi="Arial" w:cs="Arial"/>
              <w:sz w:val="22"/>
              <w:szCs w:val="22"/>
            </w:rPr>
            <w:t xml:space="preserve">drobné stavební a </w:t>
          </w:r>
          <w:r w:rsidRPr="00BE4E7A">
            <w:rPr>
              <w:rFonts w:ascii="Arial" w:hAnsi="Arial" w:cs="Arial"/>
              <w:sz w:val="22"/>
              <w:szCs w:val="22"/>
            </w:rPr>
            <w:lastRenderedPageBreak/>
            <w:t>bourací práce, repase výplní otvorů, opravy stěn a stropů, úpravy podlah, výměny zařizovacích předmětů,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63BAEF81"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69E39492"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EndPr/>
        <w:sdtContent>
          <w:r w:rsidR="00151A15">
            <w:rPr>
              <w:rFonts w:ascii="Arial" w:eastAsia="Calibri" w:hAnsi="Arial" w:cs="Arial"/>
              <w:sz w:val="22"/>
              <w:szCs w:val="22"/>
            </w:rPr>
            <w:t>14</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EndPr/>
        <w:sdtContent>
          <w:r w:rsidR="00151A15">
            <w:rPr>
              <w:rFonts w:ascii="Arial" w:eastAsia="Calibri" w:hAnsi="Arial" w:cs="Arial"/>
              <w:sz w:val="22"/>
              <w:szCs w:val="22"/>
            </w:rPr>
            <w:t>3</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EndPr/>
        <w:sdtContent>
          <w:r w:rsidR="00151A15">
            <w:rPr>
              <w:rFonts w:ascii="Arial" w:eastAsia="Calibri" w:hAnsi="Arial" w:cs="Arial"/>
              <w:sz w:val="22"/>
              <w:szCs w:val="22"/>
            </w:rPr>
            <w:t>927</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EndPr/>
        <w:sdtContent>
          <w:r w:rsidR="00151A15">
            <w:rPr>
              <w:rFonts w:ascii="Arial" w:eastAsia="Calibri" w:hAnsi="Arial" w:cs="Arial"/>
              <w:sz w:val="22"/>
              <w:szCs w:val="22"/>
            </w:rPr>
            <w:t>U Průhonu</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EndPr/>
        <w:sdtContent>
          <w:r w:rsidR="00151A15">
            <w:rPr>
              <w:rFonts w:ascii="Arial" w:eastAsia="Calibri" w:hAnsi="Arial" w:cs="Arial"/>
              <w:sz w:val="22"/>
              <w:szCs w:val="22"/>
            </w:rPr>
            <w:t>823/2</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End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EndPr/>
        <w:sdtContent>
          <w:r w:rsidR="00697B56" w:rsidRPr="00697B56">
            <w:rPr>
              <w:rFonts w:ascii="Arial" w:eastAsia="Calibri" w:hAnsi="Arial" w:cs="Arial"/>
              <w:sz w:val="22"/>
              <w:szCs w:val="22"/>
            </w:rPr>
            <w:t xml:space="preserve">byt č. </w:t>
          </w:r>
          <w:r w:rsidR="00151A15">
            <w:rPr>
              <w:rFonts w:ascii="Arial" w:eastAsia="Calibri" w:hAnsi="Arial" w:cs="Arial"/>
              <w:sz w:val="22"/>
              <w:szCs w:val="22"/>
            </w:rPr>
            <w:t>927</w:t>
          </w:r>
          <w:r w:rsidR="00697B56" w:rsidRPr="00697B56">
            <w:rPr>
              <w:rFonts w:ascii="Arial" w:eastAsia="Calibri" w:hAnsi="Arial" w:cs="Arial"/>
              <w:sz w:val="22"/>
              <w:szCs w:val="22"/>
            </w:rPr>
            <w:t>/</w:t>
          </w:r>
          <w:r w:rsidR="00151A15">
            <w:rPr>
              <w:rFonts w:ascii="Arial" w:eastAsia="Calibri" w:hAnsi="Arial" w:cs="Arial"/>
              <w:sz w:val="22"/>
              <w:szCs w:val="22"/>
            </w:rPr>
            <w:t>14</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End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36410D19"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EndPr/>
        <w:sdtContent>
          <w:r w:rsidR="00151A15">
            <w:rPr>
              <w:rFonts w:ascii="Arial" w:hAnsi="Arial" w:cs="Arial"/>
              <w:sz w:val="22"/>
              <w:szCs w:val="22"/>
            </w:rPr>
            <w:t>50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14:paraId="11A078DF" w14:textId="3FD984BC" w:rsidR="007233C6" w:rsidRDefault="007233C6" w:rsidP="00517885">
      <w:pPr>
        <w:rPr>
          <w:rFonts w:ascii="Arial" w:hAnsi="Arial" w:cs="Arial"/>
          <w:b/>
          <w:sz w:val="22"/>
          <w:szCs w:val="22"/>
        </w:rPr>
      </w:pP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lastRenderedPageBreak/>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19"/>
        <w:gridCol w:w="1400"/>
        <w:gridCol w:w="3644"/>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0A0E00AE" w:rsidR="007309E3" w:rsidRPr="006C2A4B" w:rsidRDefault="001F4F46"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EndPr/>
              <w:sdtContent>
                <w:r w:rsidR="00151A15">
                  <w:rPr>
                    <w:rFonts w:ascii="Arial" w:hAnsi="Arial" w:cs="Arial"/>
                    <w:b/>
                    <w:bCs/>
                    <w:sz w:val="22"/>
                    <w:szCs w:val="22"/>
                  </w:rPr>
                  <w:t>296 691,51</w:t>
                </w:r>
              </w:sdtContent>
            </w:sdt>
            <w:r w:rsidR="007309E3" w:rsidRPr="006C2A4B">
              <w:rPr>
                <w:rFonts w:ascii="Arial" w:hAnsi="Arial" w:cs="Arial"/>
                <w:b/>
                <w:bCs/>
                <w:sz w:val="22"/>
                <w:szCs w:val="22"/>
              </w:rPr>
              <w:t>,-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42DA63FC" w:rsidR="007309E3" w:rsidRPr="007309E3" w:rsidRDefault="001F4F46"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End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14:paraId="3CCF5F34" w14:textId="0CF5948B" w:rsidR="007309E3" w:rsidRPr="006C2A4B" w:rsidRDefault="001F4F46"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EndPr/>
              <w:sdtContent>
                <w:r w:rsidR="00151A15">
                  <w:rPr>
                    <w:rFonts w:ascii="Arial" w:hAnsi="Arial" w:cs="Arial"/>
                    <w:b/>
                    <w:bCs/>
                    <w:sz w:val="22"/>
                    <w:szCs w:val="22"/>
                  </w:rPr>
                  <w:t>44 503,72</w:t>
                </w:r>
              </w:sdtContent>
            </w:sdt>
            <w:r w:rsidR="007309E3" w:rsidRPr="006C2A4B">
              <w:rPr>
                <w:rFonts w:ascii="Arial" w:hAnsi="Arial" w:cs="Arial"/>
                <w:b/>
                <w:bCs/>
                <w:sz w:val="22"/>
                <w:szCs w:val="22"/>
              </w:rPr>
              <w:t>,-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1266FA60" w:rsidR="007309E3" w:rsidRPr="006C2A4B" w:rsidRDefault="001F4F46"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EndPr/>
              <w:sdtContent>
                <w:r w:rsidR="00151A15">
                  <w:rPr>
                    <w:rFonts w:ascii="Arial" w:hAnsi="Arial" w:cs="Arial"/>
                    <w:b/>
                    <w:bCs/>
                    <w:sz w:val="22"/>
                    <w:szCs w:val="22"/>
                  </w:rPr>
                  <w:t>341 195,23</w:t>
                </w:r>
              </w:sdtContent>
            </w:sdt>
            <w:r w:rsidR="007309E3" w:rsidRPr="006C2A4B">
              <w:rPr>
                <w:rFonts w:ascii="Arial" w:hAnsi="Arial" w:cs="Arial"/>
                <w:b/>
                <w:bCs/>
                <w:sz w:val="22"/>
                <w:szCs w:val="22"/>
              </w:rPr>
              <w:t>,-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77777777"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1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proofErr w:type="gramStart"/>
      <w:r w:rsidR="00232225">
        <w:rPr>
          <w:rFonts w:ascii="Arial" w:hAnsi="Arial" w:cs="Arial"/>
          <w:sz w:val="22"/>
          <w:szCs w:val="22"/>
        </w:rPr>
        <w:t xml:space="preserve">“) </w:t>
      </w:r>
      <w:r w:rsidR="00FE305E" w:rsidRPr="00B63F18">
        <w:rPr>
          <w:rFonts w:ascii="Arial" w:hAnsi="Arial" w:cs="Arial"/>
          <w:sz w:val="22"/>
          <w:szCs w:val="22"/>
        </w:rPr>
        <w:t xml:space="preserve"> </w:t>
      </w:r>
      <w:r w:rsidRPr="00B63F18">
        <w:rPr>
          <w:rFonts w:ascii="Arial" w:hAnsi="Arial" w:cs="Arial"/>
          <w:sz w:val="22"/>
          <w:szCs w:val="22"/>
        </w:rPr>
        <w:t>k</w:t>
      </w:r>
      <w:proofErr w:type="gramEnd"/>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7777777"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w:t>
      </w:r>
      <w:proofErr w:type="gramStart"/>
      <w:r w:rsidRPr="007A3FF7">
        <w:rPr>
          <w:rFonts w:ascii="Arial" w:hAnsi="Arial" w:cs="Arial"/>
          <w:sz w:val="22"/>
          <w:szCs w:val="22"/>
        </w:rPr>
        <w:t>prací</w:t>
      </w:r>
      <w:r w:rsidR="00232225">
        <w:rPr>
          <w:rFonts w:ascii="Arial" w:hAnsi="Arial" w:cs="Arial"/>
          <w:sz w:val="22"/>
          <w:szCs w:val="22"/>
        </w:rPr>
        <w:t xml:space="preserve">, </w:t>
      </w:r>
      <w:r w:rsidRPr="007A3FF7">
        <w:rPr>
          <w:rFonts w:ascii="Arial" w:hAnsi="Arial" w:cs="Arial"/>
          <w:sz w:val="22"/>
          <w:szCs w:val="22"/>
        </w:rPr>
        <w:t xml:space="preserve"> dodávek</w:t>
      </w:r>
      <w:proofErr w:type="gramEnd"/>
      <w:r w:rsidRPr="007A3FF7">
        <w:rPr>
          <w:rFonts w:ascii="Arial" w:hAnsi="Arial" w:cs="Arial"/>
          <w:sz w:val="22"/>
          <w:szCs w:val="22"/>
        </w:rPr>
        <w:t xml:space="preserve">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 xml:space="preserve">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77777777"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77777777"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w:t>
      </w:r>
      <w:r w:rsidRPr="007A3FF7">
        <w:rPr>
          <w:rFonts w:ascii="Arial" w:hAnsi="Arial" w:cs="Arial"/>
          <w:sz w:val="22"/>
          <w:szCs w:val="22"/>
        </w:rPr>
        <w:lastRenderedPageBreak/>
        <w:t xml:space="preserve">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77777777"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proofErr w:type="gramStart"/>
      <w:r w:rsidRPr="00E268AF">
        <w:rPr>
          <w:rFonts w:ascii="Arial" w:hAnsi="Arial"/>
          <w:sz w:val="22"/>
        </w:rPr>
        <w:t>podepíší</w:t>
      </w:r>
      <w:proofErr w:type="gramEnd"/>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77777777"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proofErr w:type="gramStart"/>
      <w:r w:rsidRPr="007A3FF7">
        <w:rPr>
          <w:rFonts w:ascii="Arial" w:hAnsi="Arial" w:cs="Arial"/>
          <w:sz w:val="22"/>
          <w:szCs w:val="22"/>
        </w:rPr>
        <w:t>opatření,</w:t>
      </w:r>
      <w:proofErr w:type="gramEnd"/>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315FAA">
        <w:rPr>
          <w:rFonts w:ascii="Arial" w:hAnsi="Arial" w:cs="Arial"/>
          <w:sz w:val="22"/>
          <w:szCs w:val="22"/>
        </w:rPr>
        <w:lastRenderedPageBreak/>
        <w:t xml:space="preserve">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lastRenderedPageBreak/>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1A237692"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lastRenderedPageBreak/>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7777777"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lastRenderedPageBreak/>
        <w:t xml:space="preserve"> </w:t>
      </w:r>
      <w:proofErr w:type="gramStart"/>
      <w:r w:rsidRPr="007A3FF7">
        <w:rPr>
          <w:rFonts w:ascii="Arial" w:hAnsi="Arial" w:cs="Arial"/>
          <w:sz w:val="22"/>
          <w:szCs w:val="22"/>
        </w:rPr>
        <w:t>je- li</w:t>
      </w:r>
      <w:proofErr w:type="gramEnd"/>
      <w:r w:rsidRPr="007A3FF7">
        <w:rPr>
          <w:rFonts w:ascii="Arial" w:hAnsi="Arial" w:cs="Arial"/>
          <w:sz w:val="22"/>
          <w:szCs w:val="22"/>
        </w:rPr>
        <w:t xml:space="preserve"> vadné plnění nepodstatným porušením smlouvy, má objednatel právo na odstranění vady nebo na slevu z ceny díla,</w:t>
      </w:r>
    </w:p>
    <w:p w14:paraId="4C7387BB" w14:textId="77777777"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proofErr w:type="gramStart"/>
      <w:r w:rsidR="007233C6" w:rsidRPr="007A3FF7">
        <w:rPr>
          <w:rFonts w:ascii="Arial" w:hAnsi="Arial" w:cs="Arial"/>
          <w:sz w:val="22"/>
          <w:szCs w:val="22"/>
        </w:rPr>
        <w:t>právo  na</w:t>
      </w:r>
      <w:proofErr w:type="gramEnd"/>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77777777"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proofErr w:type="gramStart"/>
      <w:r w:rsidRPr="007A3FF7">
        <w:rPr>
          <w:rFonts w:ascii="Arial" w:hAnsi="Arial" w:cs="Arial"/>
          <w:sz w:val="22"/>
          <w:szCs w:val="22"/>
        </w:rPr>
        <w:t>vady</w:t>
      </w:r>
      <w:proofErr w:type="gramEnd"/>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w:t>
      </w:r>
      <w:proofErr w:type="gramStart"/>
      <w:r w:rsidRPr="007A3FF7">
        <w:rPr>
          <w:rFonts w:ascii="Arial" w:hAnsi="Arial" w:cs="Arial"/>
          <w:sz w:val="22"/>
          <w:szCs w:val="22"/>
        </w:rPr>
        <w:t>částích  součástích</w:t>
      </w:r>
      <w:proofErr w:type="gramEnd"/>
      <w:r w:rsidRPr="007A3FF7">
        <w:rPr>
          <w:rFonts w:ascii="Arial" w:hAnsi="Arial" w:cs="Arial"/>
          <w:sz w:val="22"/>
          <w:szCs w:val="22"/>
        </w:rPr>
        <w:t xml:space="preserve">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7819F64C" w14:textId="01EDAEDC" w:rsidR="00EB54DD" w:rsidRPr="006C2A4B" w:rsidRDefault="007233C6" w:rsidP="006C2A4B">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1" w:name="_Ref59517080"/>
      <w:r w:rsidRPr="007A3FF7">
        <w:rPr>
          <w:rFonts w:ascii="Arial" w:hAnsi="Arial" w:cs="Arial"/>
          <w:sz w:val="22"/>
          <w:szCs w:val="22"/>
        </w:rPr>
        <w:t xml:space="preserve"> </w:t>
      </w:r>
    </w:p>
    <w:bookmarkEnd w:id="1"/>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1D6F5674"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lastRenderedPageBreak/>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66E38413"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EndPr/>
        <w:sdtContent>
          <w:r w:rsidR="00C1212F" w:rsidRPr="00C1212F">
            <w:rPr>
              <w:rFonts w:ascii="Arial" w:hAnsi="Arial" w:cs="Arial"/>
              <w:sz w:val="22"/>
              <w:szCs w:val="22"/>
            </w:rPr>
            <w:t xml:space="preserve">Mgr. Tomáš Trnka, jednatel 7U s.r.o., tel.: </w:t>
          </w:r>
          <w:r w:rsidR="00E90510">
            <w:rPr>
              <w:rFonts w:ascii="Arial" w:hAnsi="Arial" w:cs="Arial"/>
              <w:sz w:val="22"/>
              <w:szCs w:val="22"/>
            </w:rPr>
            <w:t>XXX</w:t>
          </w:r>
          <w:r w:rsidR="00C1212F" w:rsidRPr="00C1212F">
            <w:rPr>
              <w:rFonts w:ascii="Arial" w:hAnsi="Arial" w:cs="Arial"/>
              <w:sz w:val="22"/>
              <w:szCs w:val="22"/>
            </w:rPr>
            <w:t xml:space="preserve">, e-mail: </w:t>
          </w:r>
          <w:r w:rsidR="00E90510">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545A9830" w:rsidR="00BE1667" w:rsidRDefault="001F4F46"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EndPr/>
        <w:sdtContent>
          <w:r w:rsidR="00E90510">
            <w:rPr>
              <w:rFonts w:ascii="Arial" w:hAnsi="Arial" w:cs="Arial"/>
              <w:sz w:val="22"/>
              <w:szCs w:val="22"/>
            </w:rPr>
            <w:t>XXX</w:t>
          </w:r>
          <w:r w:rsidR="00BE1667" w:rsidRPr="00F3736C">
            <w:rPr>
              <w:rFonts w:ascii="Arial" w:hAnsi="Arial" w:cs="Arial"/>
              <w:sz w:val="22"/>
              <w:szCs w:val="22"/>
            </w:rPr>
            <w:t xml:space="preserve">, </w:t>
          </w:r>
          <w:r w:rsidR="00BE1667">
            <w:rPr>
              <w:rFonts w:ascii="Arial" w:hAnsi="Arial" w:cs="Arial"/>
              <w:sz w:val="22"/>
              <w:szCs w:val="22"/>
            </w:rPr>
            <w:t xml:space="preserve">technik 7U </w:t>
          </w:r>
          <w:proofErr w:type="spellStart"/>
          <w:proofErr w:type="gramStart"/>
          <w:r w:rsidR="00BE1667">
            <w:rPr>
              <w:rFonts w:ascii="Arial" w:hAnsi="Arial" w:cs="Arial"/>
              <w:sz w:val="22"/>
              <w:szCs w:val="22"/>
            </w:rPr>
            <w:t>s.r.o.</w:t>
          </w:r>
          <w:r w:rsidR="00BE1667" w:rsidRPr="00F3736C">
            <w:rPr>
              <w:rFonts w:ascii="Arial" w:hAnsi="Arial" w:cs="Arial"/>
              <w:sz w:val="22"/>
              <w:szCs w:val="22"/>
            </w:rPr>
            <w:t>,</w:t>
          </w:r>
          <w:r w:rsidR="00151A15">
            <w:rPr>
              <w:rFonts w:ascii="Arial" w:hAnsi="Arial" w:cs="Arial"/>
              <w:sz w:val="22"/>
              <w:szCs w:val="22"/>
            </w:rPr>
            <w:t>tel</w:t>
          </w:r>
          <w:proofErr w:type="spellEnd"/>
          <w:r w:rsidR="00151A15">
            <w:rPr>
              <w:rFonts w:ascii="Arial" w:hAnsi="Arial" w:cs="Arial"/>
              <w:sz w:val="22"/>
              <w:szCs w:val="22"/>
            </w:rPr>
            <w:t>.</w:t>
          </w:r>
          <w:proofErr w:type="gramEnd"/>
          <w:r w:rsidR="00151A15">
            <w:rPr>
              <w:rFonts w:ascii="Arial" w:hAnsi="Arial" w:cs="Arial"/>
              <w:sz w:val="22"/>
              <w:szCs w:val="22"/>
            </w:rPr>
            <w:t xml:space="preserve">: </w:t>
          </w:r>
          <w:r w:rsidR="00E90510">
            <w:rPr>
              <w:rFonts w:ascii="Arial" w:hAnsi="Arial" w:cs="Arial"/>
              <w:sz w:val="22"/>
              <w:szCs w:val="22"/>
            </w:rPr>
            <w:t>XXX</w:t>
          </w:r>
          <w:r w:rsidR="00BE1667" w:rsidRPr="00F3736C">
            <w:rPr>
              <w:rFonts w:ascii="Arial" w:hAnsi="Arial" w:cs="Arial"/>
              <w:sz w:val="22"/>
              <w:szCs w:val="22"/>
            </w:rPr>
            <w:t xml:space="preserve"> e-mail:</w:t>
          </w:r>
          <w:r w:rsidR="00BE1667">
            <w:rPr>
              <w:rFonts w:ascii="Arial" w:hAnsi="Arial" w:cs="Arial"/>
              <w:sz w:val="22"/>
              <w:szCs w:val="22"/>
            </w:rPr>
            <w:t xml:space="preserve"> </w:t>
          </w:r>
          <w:r w:rsidR="00E90510">
            <w:rPr>
              <w:rFonts w:ascii="Arial" w:hAnsi="Arial" w:cs="Arial"/>
              <w:sz w:val="22"/>
              <w:szCs w:val="22"/>
            </w:rPr>
            <w:t>XXX</w:t>
          </w:r>
        </w:sdtContent>
      </w:sdt>
      <w:hyperlink r:id="rId9" w:history="1"/>
    </w:p>
    <w:p w14:paraId="5E6E6A53" w14:textId="2DC1371A"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EndPr/>
        <w:sdtContent>
          <w:r w:rsidR="00E90510">
            <w:rPr>
              <w:rFonts w:ascii="Arial" w:hAnsi="Arial" w:cs="Arial"/>
              <w:sz w:val="22"/>
              <w:szCs w:val="22"/>
            </w:rPr>
            <w:t>XXX</w:t>
          </w:r>
          <w:r w:rsidR="00CA7A13">
            <w:rPr>
              <w:rFonts w:ascii="Arial" w:hAnsi="Arial" w:cs="Arial"/>
              <w:sz w:val="22"/>
              <w:szCs w:val="22"/>
            </w:rPr>
            <w:t xml:space="preserve"> </w:t>
          </w:r>
          <w:proofErr w:type="spellStart"/>
          <w:r w:rsidR="00CA7A13">
            <w:rPr>
              <w:rFonts w:ascii="Arial" w:hAnsi="Arial" w:cs="Arial"/>
              <w:sz w:val="22"/>
              <w:szCs w:val="22"/>
            </w:rPr>
            <w:t>tel.:</w:t>
          </w:r>
          <w:r w:rsidR="00E90510">
            <w:rPr>
              <w:rFonts w:ascii="Arial" w:hAnsi="Arial" w:cs="Arial"/>
              <w:sz w:val="22"/>
              <w:szCs w:val="22"/>
            </w:rPr>
            <w:t>XXX</w:t>
          </w:r>
          <w:proofErr w:type="spellEnd"/>
          <w:r w:rsidR="00CA7A13">
            <w:rPr>
              <w:rFonts w:ascii="Arial" w:hAnsi="Arial" w:cs="Arial"/>
              <w:sz w:val="22"/>
              <w:szCs w:val="22"/>
            </w:rPr>
            <w:t xml:space="preserve">, e-mail: </w:t>
          </w:r>
          <w:r w:rsidR="00E90510">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214D7A62"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EndPr/>
        <w:sdtContent>
          <w:r w:rsidR="00B617C9" w:rsidRPr="00AE6A4C">
            <w:rPr>
              <w:rFonts w:ascii="Arial" w:hAnsi="Arial" w:cs="Arial"/>
              <w:sz w:val="22"/>
              <w:szCs w:val="22"/>
            </w:rPr>
            <w:t xml:space="preserve"> </w:t>
          </w:r>
          <w:r w:rsidR="00151A15">
            <w:rPr>
              <w:rFonts w:ascii="Arial" w:hAnsi="Arial" w:cs="Arial"/>
              <w:sz w:val="22"/>
              <w:szCs w:val="22"/>
            </w:rPr>
            <w:t xml:space="preserve">Ing. David </w:t>
          </w:r>
          <w:proofErr w:type="gramStart"/>
          <w:r w:rsidR="00151A15">
            <w:rPr>
              <w:rFonts w:ascii="Arial" w:hAnsi="Arial" w:cs="Arial"/>
              <w:sz w:val="22"/>
              <w:szCs w:val="22"/>
            </w:rPr>
            <w:t xml:space="preserve">Vacek </w:t>
          </w:r>
          <w:r w:rsidR="00670C71">
            <w:rPr>
              <w:rFonts w:ascii="Arial" w:hAnsi="Arial" w:cs="Arial"/>
              <w:sz w:val="22"/>
              <w:szCs w:val="22"/>
            </w:rPr>
            <w:t>,</w:t>
          </w:r>
          <w:proofErr w:type="gramEnd"/>
          <w:r w:rsidR="00670C71">
            <w:rPr>
              <w:rFonts w:ascii="Arial" w:hAnsi="Arial" w:cs="Arial"/>
              <w:sz w:val="22"/>
              <w:szCs w:val="22"/>
            </w:rPr>
            <w:t xml:space="preserve"> </w:t>
          </w:r>
          <w:r w:rsidR="00E90510">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38DE0B16" w:rsidR="00ED0DB3" w:rsidRDefault="00AF2553" w:rsidP="00AF2553">
      <w:pPr>
        <w:tabs>
          <w:tab w:val="left" w:pos="284"/>
        </w:tabs>
        <w:rPr>
          <w:rFonts w:ascii="Arial" w:hAnsi="Arial" w:cs="Arial"/>
          <w:sz w:val="22"/>
          <w:szCs w:val="22"/>
        </w:rPr>
      </w:pPr>
      <w:r w:rsidRPr="00AE6A4C">
        <w:rPr>
          <w:rFonts w:ascii="Arial" w:hAnsi="Arial" w:cs="Arial"/>
          <w:sz w:val="22"/>
          <w:szCs w:val="22"/>
        </w:rPr>
        <w:lastRenderedPageBreak/>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EndPr/>
        <w:sdtContent>
          <w:r w:rsidR="00151A15">
            <w:rPr>
              <w:rFonts w:ascii="Arial" w:hAnsi="Arial" w:cs="Arial"/>
              <w:sz w:val="22"/>
              <w:szCs w:val="22"/>
            </w:rPr>
            <w:t>Ing. David Vacek</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w:t>
      </w:r>
      <w:proofErr w:type="gramStart"/>
      <w:r>
        <w:rPr>
          <w:rFonts w:ascii="Arial" w:hAnsi="Arial" w:cs="Arial"/>
          <w:sz w:val="22"/>
          <w:szCs w:val="22"/>
        </w:rPr>
        <w:t>strany  výslovně</w:t>
      </w:r>
      <w:proofErr w:type="gramEnd"/>
      <w:r>
        <w:rPr>
          <w:rFonts w:ascii="Arial" w:hAnsi="Arial" w:cs="Arial"/>
          <w:sz w:val="22"/>
          <w:szCs w:val="22"/>
        </w:rPr>
        <w:t xml:space="preserve">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77777777"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registru </w:t>
      </w:r>
      <w:proofErr w:type="gramStart"/>
      <w:r w:rsidRPr="007A3FF7">
        <w:rPr>
          <w:rFonts w:ascii="Arial" w:hAnsi="Arial" w:cs="Arial"/>
          <w:sz w:val="22"/>
          <w:szCs w:val="22"/>
        </w:rPr>
        <w:t>smluv  a</w:t>
      </w:r>
      <w:proofErr w:type="gramEnd"/>
      <w:r w:rsidRPr="007A3FF7">
        <w:rPr>
          <w:rFonts w:ascii="Arial" w:hAnsi="Arial" w:cs="Arial"/>
          <w:sz w:val="22"/>
          <w:szCs w:val="22"/>
        </w:rPr>
        <w:t xml:space="preserve">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09E3DA02"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14:paraId="7F0A6208" w14:textId="5E3D03ED" w:rsidR="006F5147" w:rsidRPr="007A3FF7" w:rsidRDefault="00474576" w:rsidP="006C2A4B">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18CA912" w14:textId="77777777" w:rsidR="007A0E1C" w:rsidRDefault="007A0E1C" w:rsidP="007233C6">
      <w:pPr>
        <w:rPr>
          <w:rFonts w:ascii="Arial" w:hAnsi="Arial" w:cs="Arial"/>
          <w:sz w:val="22"/>
          <w:szCs w:val="22"/>
        </w:rPr>
      </w:pP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0B183451"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dateFormat w:val="dd.MM.yyyy"/>
            <w:lid w:val="cs-CZ"/>
            <w:storeMappedDataAs w:val="dateTime"/>
            <w:calendar w:val="gregorian"/>
          </w:date>
        </w:sdtPr>
        <w:sdtEndPr/>
        <w:sdtContent>
          <w:r w:rsidR="00151A15">
            <w:rPr>
              <w:rFonts w:ascii="Arial" w:hAnsi="Arial" w:cs="Arial"/>
              <w:sz w:val="22"/>
              <w:szCs w:val="22"/>
            </w:rPr>
            <w:t>:</w:t>
          </w:r>
        </w:sdtContent>
      </w:sdt>
      <w:r w:rsidR="00AF2553">
        <w:rPr>
          <w:rFonts w:ascii="Arial" w:hAnsi="Arial" w:cs="Arial"/>
          <w:sz w:val="22"/>
          <w:szCs w:val="22"/>
        </w:rPr>
        <w:tab/>
      </w:r>
      <w:r w:rsidR="00E90510">
        <w:rPr>
          <w:rFonts w:ascii="Arial" w:hAnsi="Arial" w:cs="Arial"/>
          <w:sz w:val="22"/>
          <w:szCs w:val="22"/>
        </w:rPr>
        <w:t>20.04.2022</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EndPr/>
        <w:sdtContent>
          <w:r w:rsidR="00151A15">
            <w:rPr>
              <w:rFonts w:ascii="Arial" w:hAnsi="Arial" w:cs="Arial"/>
              <w:sz w:val="22"/>
              <w:szCs w:val="22"/>
            </w:rPr>
            <w:t>:</w:t>
          </w:r>
        </w:sdtContent>
      </w:sdt>
      <w:r w:rsidR="00AF2553" w:rsidRPr="006C2A4B">
        <w:rPr>
          <w:rFonts w:ascii="Arial" w:hAnsi="Arial" w:cs="Arial"/>
          <w:sz w:val="22"/>
          <w:szCs w:val="22"/>
        </w:rPr>
        <w:t xml:space="preserve">  </w:t>
      </w:r>
      <w:r w:rsidR="00E90510">
        <w:rPr>
          <w:rFonts w:ascii="Arial" w:hAnsi="Arial" w:cs="Arial"/>
          <w:sz w:val="22"/>
          <w:szCs w:val="22"/>
        </w:rPr>
        <w:t>20.04.2022</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7A0533B2" w:rsidR="007233C6" w:rsidRPr="007A3FF7" w:rsidRDefault="00E90510"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6137B935" w:rsidR="00EB54DD" w:rsidRPr="009D66C2" w:rsidRDefault="00EB54DD" w:rsidP="00F3736C">
      <w:pPr>
        <w:tabs>
          <w:tab w:val="left" w:pos="0"/>
        </w:tabs>
        <w:rPr>
          <w:rFonts w:ascii="Arial" w:hAnsi="Arial" w:cs="Arial"/>
          <w:sz w:val="22"/>
          <w:szCs w:val="22"/>
        </w:rPr>
      </w:pPr>
      <w:r w:rsidRPr="009D66C2">
        <w:rPr>
          <w:rFonts w:ascii="Arial" w:hAnsi="Arial" w:cs="Arial"/>
          <w:sz w:val="22"/>
          <w:szCs w:val="22"/>
        </w:rPr>
        <w:t>zast.</w:t>
      </w:r>
      <w:r>
        <w:rPr>
          <w:rFonts w:ascii="Arial" w:hAnsi="Arial" w:cs="Arial"/>
          <w:sz w:val="22"/>
          <w:szCs w:val="22"/>
        </w:rPr>
        <w:t xml:space="preserve"> n</w:t>
      </w:r>
      <w:r w:rsidRPr="009D66C2">
        <w:rPr>
          <w:rFonts w:ascii="Arial" w:hAnsi="Arial" w:cs="Arial"/>
          <w:sz w:val="22"/>
          <w:szCs w:val="22"/>
        </w:rPr>
        <w:t xml:space="preserve">a základě plné moci </w:t>
      </w:r>
      <w:r w:rsidRPr="00191C65">
        <w:rPr>
          <w:rFonts w:ascii="Arial" w:hAnsi="Arial" w:cs="Arial"/>
          <w:sz w:val="22"/>
          <w:szCs w:val="22"/>
        </w:rPr>
        <w:t>ze dne</w:t>
      </w:r>
      <w:r w:rsidR="00191C65">
        <w:rPr>
          <w:rFonts w:ascii="Arial" w:hAnsi="Arial" w:cs="Arial"/>
          <w:sz w:val="22"/>
          <w:szCs w:val="22"/>
        </w:rPr>
        <w:t xml:space="preserve"> </w:t>
      </w:r>
      <w:r w:rsidR="00CA7A13">
        <w:rPr>
          <w:rFonts w:ascii="Arial" w:hAnsi="Arial" w:cs="Arial"/>
          <w:sz w:val="22"/>
          <w:szCs w:val="22"/>
        </w:rPr>
        <w:t>29.03.2022</w:t>
      </w:r>
      <w:r w:rsidR="006C2A4B">
        <w:rPr>
          <w:rFonts w:ascii="Arial" w:hAnsi="Arial" w:cs="Arial"/>
          <w:sz w:val="22"/>
          <w:szCs w:val="22"/>
        </w:rPr>
        <w:tab/>
      </w:r>
      <w:sdt>
        <w:sdtPr>
          <w:rPr>
            <w:rFonts w:ascii="Arial" w:hAnsi="Arial" w:cs="Arial"/>
            <w:b/>
            <w:sz w:val="22"/>
            <w:szCs w:val="22"/>
          </w:rPr>
          <w:id w:val="1065994536"/>
          <w:placeholder>
            <w:docPart w:val="DefaultPlaceholder_-1854013440"/>
          </w:placeholder>
          <w:text/>
        </w:sdtPr>
        <w:sdtEndPr/>
        <w:sdtContent>
          <w:proofErr w:type="spellStart"/>
          <w:r w:rsidR="00151A15">
            <w:rPr>
              <w:rFonts w:ascii="Arial" w:hAnsi="Arial" w:cs="Arial"/>
              <w:b/>
              <w:sz w:val="22"/>
              <w:szCs w:val="22"/>
            </w:rPr>
            <w:t>Tudos</w:t>
          </w:r>
          <w:proofErr w:type="spellEnd"/>
          <w:r w:rsidR="00151A15">
            <w:rPr>
              <w:rFonts w:ascii="Arial" w:hAnsi="Arial" w:cs="Arial"/>
              <w:b/>
              <w:sz w:val="22"/>
              <w:szCs w:val="22"/>
            </w:rPr>
            <w:t xml:space="preserve"> </w:t>
          </w:r>
          <w:proofErr w:type="spellStart"/>
          <w:r w:rsidR="00151A15">
            <w:rPr>
              <w:rFonts w:ascii="Arial" w:hAnsi="Arial" w:cs="Arial"/>
              <w:b/>
              <w:sz w:val="22"/>
              <w:szCs w:val="22"/>
            </w:rPr>
            <w:t>Solution</w:t>
          </w:r>
          <w:proofErr w:type="spellEnd"/>
          <w:r w:rsidR="00151A15">
            <w:rPr>
              <w:rFonts w:ascii="Arial" w:hAnsi="Arial" w:cs="Arial"/>
              <w:b/>
              <w:sz w:val="22"/>
              <w:szCs w:val="22"/>
            </w:rPr>
            <w:t xml:space="preserve"> s.r.o.</w:t>
          </w:r>
        </w:sdtContent>
      </w:sdt>
    </w:p>
    <w:p w14:paraId="5A1DF6AD" w14:textId="7779BE37" w:rsidR="00F3736C" w:rsidRPr="00F3736C" w:rsidRDefault="00D63B3A" w:rsidP="00F3736C">
      <w:pPr>
        <w:tabs>
          <w:tab w:val="left" w:pos="0"/>
        </w:tabs>
        <w:rPr>
          <w:rFonts w:ascii="Arial" w:hAnsi="Arial" w:cs="Arial"/>
          <w:bCs/>
          <w:sz w:val="22"/>
          <w:szCs w:val="22"/>
        </w:rPr>
      </w:pPr>
      <w:r>
        <w:rPr>
          <w:rFonts w:ascii="Arial" w:hAnsi="Arial" w:cs="Arial"/>
          <w:b/>
          <w:sz w:val="22"/>
          <w:szCs w:val="22"/>
        </w:rPr>
        <w:t>7U s.r.o.</w:t>
      </w:r>
      <w:r w:rsidR="00F230ED" w:rsidRPr="00F3736C">
        <w:rPr>
          <w:rFonts w:ascii="Arial" w:hAnsi="Arial" w:cs="Arial"/>
          <w:b/>
          <w:sz w:val="22"/>
          <w:szCs w:val="22"/>
        </w:rPr>
        <w:tab/>
      </w:r>
      <w:r w:rsidR="00F230ED" w:rsidRPr="00F3736C">
        <w:rPr>
          <w:rFonts w:ascii="Arial" w:hAnsi="Arial" w:cs="Arial"/>
          <w:b/>
          <w:sz w:val="22"/>
          <w:szCs w:val="22"/>
        </w:rPr>
        <w:tab/>
      </w:r>
      <w:r w:rsidR="00F230ED" w:rsidRPr="00F3736C">
        <w:rPr>
          <w:rFonts w:ascii="Arial" w:hAnsi="Arial" w:cs="Arial"/>
          <w:b/>
          <w:sz w:val="22"/>
          <w:szCs w:val="22"/>
        </w:rPr>
        <w:tab/>
        <w:t xml:space="preserve">       </w:t>
      </w:r>
      <w:r w:rsidR="00F230ED" w:rsidRPr="00F3736C">
        <w:rPr>
          <w:rFonts w:ascii="Arial" w:hAnsi="Arial" w:cs="Arial"/>
          <w:b/>
          <w:sz w:val="22"/>
          <w:szCs w:val="22"/>
        </w:rPr>
        <w:tab/>
      </w:r>
      <w:r w:rsidR="00F230ED" w:rsidRPr="00F3736C">
        <w:rPr>
          <w:rFonts w:ascii="Arial" w:hAnsi="Arial" w:cs="Arial"/>
          <w:b/>
          <w:sz w:val="22"/>
          <w:szCs w:val="22"/>
        </w:rPr>
        <w:tab/>
      </w:r>
      <w:r>
        <w:rPr>
          <w:rFonts w:ascii="Arial" w:hAnsi="Arial" w:cs="Arial"/>
          <w:b/>
          <w:sz w:val="22"/>
          <w:szCs w:val="22"/>
        </w:rPr>
        <w:tab/>
      </w:r>
      <w:sdt>
        <w:sdtPr>
          <w:rPr>
            <w:rFonts w:ascii="Arial" w:hAnsi="Arial" w:cs="Arial"/>
            <w:sz w:val="22"/>
            <w:szCs w:val="22"/>
          </w:rPr>
          <w:id w:val="-248663843"/>
          <w:placeholder>
            <w:docPart w:val="DefaultPlaceholder_-1854013440"/>
          </w:placeholder>
          <w:text/>
        </w:sdtPr>
        <w:sdtEndPr/>
        <w:sdtContent>
          <w:r w:rsidR="00151A15">
            <w:rPr>
              <w:rFonts w:ascii="Arial" w:hAnsi="Arial" w:cs="Arial"/>
              <w:sz w:val="22"/>
              <w:szCs w:val="22"/>
            </w:rPr>
            <w:t xml:space="preserve">Ing. David Vacek </w:t>
          </w:r>
        </w:sdtContent>
      </w:sdt>
    </w:p>
    <w:p w14:paraId="4A8D2416" w14:textId="5E70D84A" w:rsidR="00F230ED" w:rsidRPr="00F3736C" w:rsidRDefault="00D63B3A" w:rsidP="00F3736C">
      <w:pPr>
        <w:tabs>
          <w:tab w:val="left" w:pos="0"/>
        </w:tabs>
        <w:rPr>
          <w:rFonts w:ascii="Arial" w:hAnsi="Arial" w:cs="Arial"/>
          <w:bCs/>
          <w:sz w:val="22"/>
          <w:szCs w:val="22"/>
        </w:rPr>
      </w:pPr>
      <w:r>
        <w:rPr>
          <w:rFonts w:ascii="Arial" w:hAnsi="Arial" w:cs="Arial"/>
          <w:bCs/>
          <w:sz w:val="22"/>
          <w:szCs w:val="22"/>
        </w:rPr>
        <w:t>Mgr. Tomáš Trnka</w:t>
      </w:r>
      <w:r w:rsidR="00F230ED" w:rsidRPr="00F3736C">
        <w:rPr>
          <w:rFonts w:ascii="Arial" w:hAnsi="Arial" w:cs="Arial"/>
          <w:sz w:val="22"/>
          <w:szCs w:val="22"/>
        </w:rPr>
        <w:t xml:space="preserve">                                           </w:t>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EndPr/>
        <w:sdtContent>
          <w:r w:rsidR="006C2A4B">
            <w:rPr>
              <w:rFonts w:ascii="Arial" w:hAnsi="Arial" w:cs="Arial"/>
              <w:sz w:val="22"/>
              <w:szCs w:val="22"/>
            </w:rPr>
            <w:t>jednatel</w:t>
          </w:r>
        </w:sdtContent>
      </w:sdt>
    </w:p>
    <w:p w14:paraId="6FD8FBEF" w14:textId="48CF1AFF" w:rsidR="007233C6" w:rsidRPr="006C2A4B" w:rsidRDefault="00D63B3A" w:rsidP="006C2A4B">
      <w:pPr>
        <w:tabs>
          <w:tab w:val="left" w:pos="284"/>
        </w:tabs>
        <w:rPr>
          <w:rFonts w:ascii="Arial" w:hAnsi="Arial" w:cs="Arial"/>
          <w:bCs/>
          <w:sz w:val="22"/>
          <w:szCs w:val="22"/>
        </w:rPr>
      </w:pPr>
      <w:r>
        <w:rPr>
          <w:rFonts w:ascii="Arial" w:hAnsi="Arial" w:cs="Arial"/>
          <w:sz w:val="22"/>
          <w:szCs w:val="22"/>
        </w:rPr>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BF84" w14:textId="77777777" w:rsidR="001F4F46" w:rsidRDefault="001F4F46">
      <w:r>
        <w:separator/>
      </w:r>
    </w:p>
  </w:endnote>
  <w:endnote w:type="continuationSeparator" w:id="0">
    <w:p w14:paraId="2E8E65B9" w14:textId="77777777" w:rsidR="001F4F46" w:rsidRDefault="001F4F46">
      <w:r>
        <w:continuationSeparator/>
      </w:r>
    </w:p>
  </w:endnote>
  <w:endnote w:type="continuationNotice" w:id="1">
    <w:p w14:paraId="0724BBBC" w14:textId="77777777" w:rsidR="001F4F46" w:rsidRDefault="001F4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50A3" w14:textId="77777777" w:rsidR="001F4F46" w:rsidRDefault="001F4F46">
      <w:r>
        <w:separator/>
      </w:r>
    </w:p>
  </w:footnote>
  <w:footnote w:type="continuationSeparator" w:id="0">
    <w:p w14:paraId="6909E771" w14:textId="77777777" w:rsidR="001F4F46" w:rsidRDefault="001F4F46">
      <w:r>
        <w:continuationSeparator/>
      </w:r>
    </w:p>
  </w:footnote>
  <w:footnote w:type="continuationNotice" w:id="1">
    <w:p w14:paraId="04B10498" w14:textId="77777777" w:rsidR="001F4F46" w:rsidRDefault="001F4F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379784497">
    <w:abstractNumId w:val="18"/>
  </w:num>
  <w:num w:numId="2" w16cid:durableId="2141337330">
    <w:abstractNumId w:val="21"/>
  </w:num>
  <w:num w:numId="3" w16cid:durableId="1513186198">
    <w:abstractNumId w:val="20"/>
  </w:num>
  <w:num w:numId="4" w16cid:durableId="1504471480">
    <w:abstractNumId w:val="17"/>
  </w:num>
  <w:num w:numId="5" w16cid:durableId="927497338">
    <w:abstractNumId w:val="13"/>
  </w:num>
  <w:num w:numId="6" w16cid:durableId="1315526021">
    <w:abstractNumId w:val="6"/>
  </w:num>
  <w:num w:numId="7" w16cid:durableId="802115523">
    <w:abstractNumId w:val="4"/>
  </w:num>
  <w:num w:numId="8" w16cid:durableId="211628960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7636902">
    <w:abstractNumId w:val="0"/>
  </w:num>
  <w:num w:numId="10" w16cid:durableId="1445733992">
    <w:abstractNumId w:val="28"/>
  </w:num>
  <w:num w:numId="11" w16cid:durableId="15010188">
    <w:abstractNumId w:val="16"/>
  </w:num>
  <w:num w:numId="12" w16cid:durableId="414253402">
    <w:abstractNumId w:val="23"/>
  </w:num>
  <w:num w:numId="13" w16cid:durableId="603348810">
    <w:abstractNumId w:val="8"/>
  </w:num>
  <w:num w:numId="14" w16cid:durableId="337736464">
    <w:abstractNumId w:val="19"/>
  </w:num>
  <w:num w:numId="15" w16cid:durableId="968509015">
    <w:abstractNumId w:val="12"/>
  </w:num>
  <w:num w:numId="16" w16cid:durableId="1219167119">
    <w:abstractNumId w:val="20"/>
  </w:num>
  <w:num w:numId="17" w16cid:durableId="585042794">
    <w:abstractNumId w:val="27"/>
  </w:num>
  <w:num w:numId="18" w16cid:durableId="1722364854">
    <w:abstractNumId w:val="15"/>
  </w:num>
  <w:num w:numId="19" w16cid:durableId="2018270641">
    <w:abstractNumId w:val="14"/>
  </w:num>
  <w:num w:numId="20" w16cid:durableId="491726989">
    <w:abstractNumId w:val="2"/>
  </w:num>
  <w:num w:numId="21" w16cid:durableId="1379163847">
    <w:abstractNumId w:val="25"/>
  </w:num>
  <w:num w:numId="22" w16cid:durableId="133571375">
    <w:abstractNumId w:val="11"/>
  </w:num>
  <w:num w:numId="23" w16cid:durableId="458063103">
    <w:abstractNumId w:val="22"/>
  </w:num>
  <w:num w:numId="24" w16cid:durableId="1587154448">
    <w:abstractNumId w:val="24"/>
  </w:num>
  <w:num w:numId="25" w16cid:durableId="727463234">
    <w:abstractNumId w:val="3"/>
  </w:num>
  <w:num w:numId="26" w16cid:durableId="104270199">
    <w:abstractNumId w:val="10"/>
  </w:num>
  <w:num w:numId="27" w16cid:durableId="1066297919">
    <w:abstractNumId w:val="9"/>
  </w:num>
  <w:num w:numId="28" w16cid:durableId="1837647766">
    <w:abstractNumId w:val="7"/>
  </w:num>
  <w:num w:numId="29" w16cid:durableId="737633755">
    <w:abstractNumId w:val="25"/>
  </w:num>
  <w:num w:numId="30" w16cid:durableId="1331371581">
    <w:abstractNumId w:val="1"/>
  </w:num>
  <w:num w:numId="31" w16cid:durableId="14702461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32219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43A6"/>
    <w:rsid w:val="00064E40"/>
    <w:rsid w:val="000656B9"/>
    <w:rsid w:val="00071250"/>
    <w:rsid w:val="000803FC"/>
    <w:rsid w:val="000872FB"/>
    <w:rsid w:val="000A0194"/>
    <w:rsid w:val="000A2BE0"/>
    <w:rsid w:val="000A350C"/>
    <w:rsid w:val="000A5A63"/>
    <w:rsid w:val="000A6DA3"/>
    <w:rsid w:val="000B1CE0"/>
    <w:rsid w:val="000B4F86"/>
    <w:rsid w:val="000B5E3E"/>
    <w:rsid w:val="000B6C93"/>
    <w:rsid w:val="000C0A20"/>
    <w:rsid w:val="000C5DD9"/>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78F"/>
    <w:rsid w:val="001379B1"/>
    <w:rsid w:val="00137EFF"/>
    <w:rsid w:val="0014062C"/>
    <w:rsid w:val="00140C2F"/>
    <w:rsid w:val="001441CE"/>
    <w:rsid w:val="00145A10"/>
    <w:rsid w:val="00151538"/>
    <w:rsid w:val="00151A15"/>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4F46"/>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3259"/>
    <w:rsid w:val="002941D7"/>
    <w:rsid w:val="0029563B"/>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D58"/>
    <w:rsid w:val="006C1675"/>
    <w:rsid w:val="006C2A4B"/>
    <w:rsid w:val="006C5A0A"/>
    <w:rsid w:val="006C76E2"/>
    <w:rsid w:val="006D2EEA"/>
    <w:rsid w:val="006E017A"/>
    <w:rsid w:val="006E28F9"/>
    <w:rsid w:val="006E514B"/>
    <w:rsid w:val="006E679F"/>
    <w:rsid w:val="006F25F8"/>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13"/>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0510"/>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424944"/>
    <w:rsid w:val="00836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6109</Words>
  <Characters>36049</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2020-08-26T09:20:00Z</dcterms:created>
  <dcterms:modified xsi:type="dcterms:W3CDTF">2022-04-20T20:48:00Z</dcterms:modified>
</cp:coreProperties>
</file>