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941" w:h="216" w:wrap="none" w:hAnchor="page" w:x="9303" w:y="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3"/>
        </w:rPr>
        <w:t>2022002200</w:t>
      </w:r>
    </w:p>
    <w:p>
      <w:pPr>
        <w:widowControl w:val="0"/>
        <w:spacing w:line="360" w:lineRule="exact"/>
      </w:pPr>
      <w:r>
        <w:drawing>
          <wp:anchor distT="0" distB="234950" distL="0" distR="0" simplePos="0" relativeHeight="62914690" behindDoc="1" locked="0" layoutInCell="1" allowOverlap="1">
            <wp:simplePos x="0" y="0"/>
            <wp:positionH relativeFrom="page">
              <wp:posOffset>5723890</wp:posOffset>
            </wp:positionH>
            <wp:positionV relativeFrom="margin">
              <wp:posOffset>0</wp:posOffset>
            </wp:positionV>
            <wp:extent cx="1469390" cy="38417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469390" cy="3841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609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06" w:right="572" w:bottom="2866" w:left="1349" w:header="0" w:footer="2438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before="119" w:after="11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3" w:right="0" w:bottom="284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0" w:name="bookmark0"/>
      <w:r>
        <w:rPr>
          <w:rStyle w:val="CharStyle20"/>
          <w:b/>
          <w:bCs/>
        </w:rPr>
        <w:t>Dodatek č. 1</w:t>
      </w:r>
      <w:bookmarkEnd w:id="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center"/>
      </w:pPr>
      <w:r>
        <w:rPr>
          <w:rStyle w:val="CharStyle5"/>
        </w:rPr>
        <w:t>ke smlouvě o údržbě a servisu elektronického řídícího systému SBI ze dne 27. 7.</w:t>
        <w:br/>
        <w:t>2016, (dále jen „smlouva“), uzavřené mezi</w:t>
      </w:r>
    </w:p>
    <w:tbl>
      <w:tblPr>
        <w:tblOverlap w:val="never"/>
        <w:jc w:val="center"/>
        <w:tblLayout w:type="fixed"/>
      </w:tblPr>
      <w:tblGrid>
        <w:gridCol w:w="2328"/>
        <w:gridCol w:w="6778"/>
      </w:tblGrid>
      <w:tr>
        <w:trPr>
          <w:trHeight w:val="557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Jméno: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auto"/>
              <w:ind w:left="500" w:right="0" w:firstLine="20"/>
              <w:jc w:val="left"/>
            </w:pPr>
            <w:r>
              <w:rPr>
                <w:rStyle w:val="CharStyle35"/>
                <w:b/>
                <w:bCs/>
              </w:rPr>
              <w:t>Zdravotnická záchranná služba Jihomoravského kraje, příspěvková organizace</w:t>
            </w:r>
          </w:p>
        </w:tc>
      </w:tr>
      <w:tr>
        <w:trPr>
          <w:trHeight w:val="25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Sídlo: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35"/>
              </w:rPr>
              <w:t>Kamenice 798/1 d, 625 00 Brno</w:t>
            </w:r>
          </w:p>
        </w:tc>
      </w:tr>
      <w:tr>
        <w:trPr>
          <w:trHeight w:val="274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Jednající: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35"/>
              </w:rPr>
              <w:t>MUDr. Hana Albrechtová, ředitelka</w:t>
            </w:r>
          </w:p>
        </w:tc>
      </w:tr>
      <w:tr>
        <w:trPr>
          <w:trHeight w:val="269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Kontaktní osoba: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35"/>
                <w:spacing w:val="10"/>
                <w:shd w:val="clear" w:color="auto" w:fill="000000"/>
              </w:rPr>
              <w:t>.</w:t>
            </w:r>
            <w:r>
              <w:rPr>
                <w:rStyle w:val="CharStyle35"/>
                <w:spacing w:val="11"/>
                <w:shd w:val="clear" w:color="auto" w:fill="000000"/>
              </w:rPr>
              <w:t>.....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2"/>
                <w:shd w:val="clear" w:color="auto" w:fill="000000"/>
              </w:rPr>
              <w:t>...........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3"/>
                <w:shd w:val="clear" w:color="auto" w:fill="000000"/>
              </w:rPr>
              <w:t>........</w:t>
            </w:r>
            <w:r>
              <w:rPr>
                <w:rStyle w:val="CharStyle35"/>
                <w:spacing w:val="4"/>
                <w:shd w:val="clear" w:color="auto" w:fill="000000"/>
              </w:rPr>
              <w:t>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10"/>
                <w:shd w:val="clear" w:color="auto" w:fill="000000"/>
              </w:rPr>
              <w:t>..</w:t>
            </w:r>
            <w:r>
              <w:rPr>
                <w:rStyle w:val="CharStyle35"/>
                <w:spacing w:val="11"/>
                <w:shd w:val="clear" w:color="auto" w:fill="000000"/>
              </w:rPr>
              <w:t>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7"/>
                <w:shd w:val="clear" w:color="auto" w:fill="000000"/>
              </w:rPr>
              <w:t>..</w:t>
            </w:r>
            <w:r>
              <w:rPr>
                <w:rStyle w:val="CharStyle35"/>
                <w:spacing w:val="8"/>
                <w:shd w:val="clear" w:color="auto" w:fill="000000"/>
              </w:rPr>
              <w:t>....</w:t>
            </w:r>
            <w:r>
              <w:rPr>
                <w:rStyle w:val="CharStyle35"/>
                <w:shd w:val="clear" w:color="auto" w:fill="000000"/>
              </w:rPr>
              <w:t>​</w:t>
            </w:r>
            <w:r>
              <w:rPr>
                <w:rStyle w:val="CharStyle35"/>
                <w:spacing w:val="12"/>
                <w:shd w:val="clear" w:color="auto" w:fill="000000"/>
              </w:rPr>
              <w:t>.</w:t>
            </w:r>
            <w:r>
              <w:rPr>
                <w:rStyle w:val="CharStyle35"/>
                <w:spacing w:val="13"/>
                <w:shd w:val="clear" w:color="auto" w:fill="000000"/>
              </w:rPr>
              <w:t>....</w:t>
            </w:r>
          </w:p>
        </w:tc>
      </w:tr>
      <w:tr>
        <w:trPr>
          <w:trHeight w:val="53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IČO: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35"/>
              </w:rPr>
              <w:t>DIČ: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35"/>
              </w:rPr>
              <w:t>00346292</w:t>
            </w:r>
          </w:p>
          <w:p>
            <w:pPr>
              <w:pStyle w:val="Style34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Style w:val="CharStyle35"/>
              </w:rPr>
              <w:t>CZ00346292</w:t>
            </w:r>
          </w:p>
        </w:tc>
      </w:tr>
    </w:tbl>
    <w:p>
      <w:pPr>
        <w:pStyle w:val="Style21"/>
        <w:keepNext w:val="0"/>
        <w:keepLines w:val="0"/>
        <w:widowControl w:val="0"/>
        <w:shd w:val="clear" w:color="auto" w:fill="auto"/>
        <w:tabs>
          <w:tab w:pos="2842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rStyle w:val="CharStyle22"/>
        </w:rPr>
        <w:t>Zápis v OR:</w:t>
        <w:tab/>
        <w:t>Krajský soud v Brně sp. zn. Pr 1245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28" w:lineRule="auto"/>
        <w:ind w:left="0" w:right="0" w:firstLine="0"/>
        <w:jc w:val="left"/>
      </w:pPr>
      <w:r>
        <w:rPr>
          <w:rStyle w:val="CharStyle22"/>
        </w:rPr>
        <w:t xml:space="preserve">Bankovní spojení (číslo účtu): </w:t>
      </w:r>
      <w:r>
        <w:rPr>
          <w:rStyle w:val="CharStyle22"/>
          <w:spacing w:val="3"/>
          <w:shd w:val="clear" w:color="auto" w:fill="000000"/>
        </w:rPr>
        <w:t>..</w:t>
      </w:r>
      <w:r>
        <w:rPr>
          <w:rStyle w:val="CharStyle22"/>
          <w:spacing w:val="4"/>
          <w:shd w:val="clear" w:color="auto" w:fill="000000"/>
        </w:rPr>
        <w:t>.............</w:t>
      </w:r>
      <w:r>
        <w:rPr>
          <w:rStyle w:val="CharStyle22"/>
          <w:shd w:val="clear" w:color="auto" w:fill="000000"/>
        </w:rPr>
        <w:t>​</w:t>
      </w:r>
      <w:r>
        <w:rPr>
          <w:rStyle w:val="CharStyle22"/>
          <w:spacing w:val="4"/>
          <w:shd w:val="clear" w:color="auto" w:fill="000000"/>
        </w:rPr>
        <w:t>......</w:t>
      </w:r>
      <w:r>
        <w:rPr>
          <w:rStyle w:val="CharStyle22"/>
          <w:spacing w:val="5"/>
          <w:shd w:val="clear" w:color="auto" w:fill="000000"/>
        </w:rPr>
        <w:t>.....</w:t>
      </w:r>
      <w:r>
        <w:rPr>
          <w:rStyle w:val="CharStyle22"/>
          <w:shd w:val="clear" w:color="auto" w:fill="000000"/>
        </w:rPr>
        <w:t>​</w:t>
      </w:r>
      <w:r>
        <w:rPr>
          <w:rStyle w:val="CharStyle22"/>
          <w:spacing w:val="1"/>
          <w:shd w:val="clear" w:color="auto" w:fill="000000"/>
        </w:rPr>
        <w:t>..........</w:t>
      </w:r>
      <w:r>
        <w:rPr>
          <w:rStyle w:val="CharStyle22"/>
          <w:shd w:val="clear" w:color="auto" w:fill="000000"/>
        </w:rPr>
        <w:t>​</w:t>
      </w:r>
      <w:r>
        <w:rPr>
          <w:rStyle w:val="CharStyle22"/>
          <w:spacing w:val="7"/>
          <w:shd w:val="clear" w:color="auto" w:fill="000000"/>
        </w:rPr>
        <w:t>....</w:t>
      </w:r>
      <w:r>
        <w:rPr>
          <w:rStyle w:val="CharStyle22"/>
          <w:spacing w:val="8"/>
          <w:shd w:val="clear" w:color="auto" w:fill="000000"/>
        </w:rPr>
        <w:t>...</w:t>
      </w:r>
      <w:r>
        <w:rPr>
          <w:rStyle w:val="CharStyle22"/>
          <w:shd w:val="clear" w:color="auto" w:fill="000000"/>
        </w:rPr>
        <w:t>​</w:t>
      </w:r>
      <w:r>
        <w:rPr>
          <w:rStyle w:val="CharStyle22"/>
          <w:spacing w:val="17"/>
          <w:shd w:val="clear" w:color="auto" w:fill="000000"/>
        </w:rPr>
        <w:t>.</w:t>
      </w:r>
      <w:r>
        <w:rPr>
          <w:rStyle w:val="CharStyle22"/>
          <w:spacing w:val="18"/>
          <w:shd w:val="clear" w:color="auto" w:fill="000000"/>
        </w:rPr>
        <w:t>..</w:t>
      </w:r>
      <w:r>
        <w:rPr>
          <w:rStyle w:val="CharStyle22"/>
          <w:shd w:val="clear" w:color="auto" w:fill="000000"/>
        </w:rPr>
        <w:t>​</w:t>
      </w:r>
      <w:r>
        <w:rPr>
          <w:rStyle w:val="CharStyle22"/>
          <w:spacing w:val="22"/>
          <w:shd w:val="clear" w:color="auto" w:fill="000000"/>
        </w:rPr>
        <w:t>...</w:t>
      </w:r>
      <w:r>
        <w:rPr>
          <w:rStyle w:val="CharStyle22"/>
          <w:shd w:val="clear" w:color="auto" w:fill="000000"/>
        </w:rPr>
        <w:t>​</w:t>
      </w:r>
      <w:r>
        <w:rPr>
          <w:rStyle w:val="CharStyle22"/>
          <w:spacing w:val="1"/>
          <w:shd w:val="clear" w:color="auto" w:fill="000000"/>
        </w:rPr>
        <w:t>................</w:t>
      </w:r>
      <w:r>
        <w:rPr>
          <w:rStyle w:val="CharStyle22"/>
          <w:spacing w:val="2"/>
          <w:shd w:val="clear" w:color="auto" w:fill="000000"/>
        </w:rPr>
        <w:t>..........</w:t>
      </w:r>
    </w:p>
    <w:p>
      <w:pPr>
        <w:widowControl w:val="0"/>
        <w:spacing w:after="2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left"/>
      </w:pPr>
      <w:r>
        <w:rPr>
          <w:rStyle w:val="CharStyle5"/>
        </w:rPr>
        <w:t>(dále jen „objednatel“)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859790</wp:posOffset>
                </wp:positionH>
                <wp:positionV relativeFrom="paragraph">
                  <wp:posOffset>12700</wp:posOffset>
                </wp:positionV>
                <wp:extent cx="829310" cy="105791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29310" cy="10579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Jméno: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28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Sídlo: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Jednající: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IČO: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DIČ:</w:t>
                            </w:r>
                          </w:p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Zápis v OR: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7.700000000000003pt;margin-top:1.pt;width:65.299999999999997pt;height:83.299999999999997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Jméno: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28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Sídlo: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Jednající: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IČO: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DIČ: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Zápis v OR: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2" w:name="bookmark2"/>
      <w:r>
        <w:rPr>
          <w:rStyle w:val="CharStyle20"/>
          <w:b/>
          <w:bCs/>
        </w:rPr>
        <w:t>C.G.C., a.s.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33" w:lineRule="auto"/>
        <w:ind w:left="1340" w:right="0" w:firstLine="0"/>
        <w:jc w:val="left"/>
      </w:pPr>
      <w:r>
        <w:rPr>
          <w:rStyle w:val="CharStyle5"/>
        </w:rPr>
        <w:t>Slovenská republika, 841 01, Bratislava, Drobného 27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rStyle w:val="CharStyle5"/>
        </w:rPr>
        <w:t>Ing. Lubomír Klimek, představenstvo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rStyle w:val="CharStyle5"/>
        </w:rPr>
        <w:t>35747811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w:rPr>
          <w:rStyle w:val="CharStyle5"/>
        </w:rPr>
        <w:t>SK 2020271308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340" w:right="0" w:firstLine="0"/>
        <w:jc w:val="left"/>
      </w:pPr>
      <w:r>
        <mc:AlternateContent>
          <mc:Choice Requires="wps">
            <w:drawing>
              <wp:anchor distT="0" distB="76200" distL="114300" distR="114300" simplePos="0" relativeHeight="125829380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177800</wp:posOffset>
                </wp:positionV>
                <wp:extent cx="5017135" cy="194945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1713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</w:rPr>
                              <w:t>Bankovní spojení (číslo účtu):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.​</w:t>
                            </w:r>
                            <w:r>
                              <w:rPr>
                                <w:rStyle w:val="CharStyle5"/>
                                <w:spacing w:val="13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pacing w:val="5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7"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spacing w:val="8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3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7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pacing w:val="8"/>
                                <w:shd w:val="clear" w:color="auto" w:fill="000000"/>
                              </w:rPr>
                              <w:t>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</w:t>
                            </w:r>
                            <w:r>
                              <w:rPr>
                                <w:rStyle w:val="CharStyle5"/>
                                <w:spacing w:val="2"/>
                                <w:shd w:val="clear" w:color="auto" w:fill="000000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68.400000000000006pt;margin-top:14.pt;width:395.05000000000001pt;height:15.35pt;z-index:-125829373;mso-wrap-distance-left:9.pt;mso-wrap-distance-right:9.pt;mso-wrap-distance-bottom:6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</w:rPr>
                        <w:t>Bankovní spojení (číslo účtu):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.​</w:t>
                      </w:r>
                      <w:r>
                        <w:rPr>
                          <w:rStyle w:val="CharStyle5"/>
                          <w:spacing w:val="13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pacing w:val="5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7"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spacing w:val="8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3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7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pacing w:val="8"/>
                          <w:shd w:val="clear" w:color="auto" w:fill="000000"/>
                        </w:rPr>
                        <w:t>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</w:t>
                      </w:r>
                      <w:r>
                        <w:rPr>
                          <w:rStyle w:val="CharStyle5"/>
                          <w:spacing w:val="2"/>
                          <w:shd w:val="clear" w:color="auto" w:fill="000000"/>
                        </w:rPr>
                        <w:t>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5"/>
        </w:rPr>
        <w:t>Okresný súd Bratislava 1, vložka č. 1770/B, oddiel Sa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100" w:after="1360" w:line="240" w:lineRule="auto"/>
        <w:ind w:left="0" w:right="0" w:firstLine="0"/>
        <w:jc w:val="left"/>
      </w:pPr>
      <w:r>
        <w:rPr>
          <w:rStyle w:val="CharStyle5"/>
        </w:rPr>
        <w:t>(dále jen „poskytovatel“)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right="0" w:firstLine="340"/>
        <w:jc w:val="left"/>
      </w:pPr>
      <w:r>
        <w:rPr>
          <w:rStyle w:val="CharStyle5"/>
        </w:rPr>
        <w:t>Článek VI/1 smlouvy se mění a nadále zní takto: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4190" w:val="left"/>
        </w:tabs>
        <w:bidi w:val="0"/>
        <w:spacing w:before="0" w:after="0" w:line="240" w:lineRule="auto"/>
        <w:ind w:left="0" w:right="0" w:firstLine="420"/>
        <w:jc w:val="left"/>
      </w:pPr>
      <w:r>
        <w:rPr>
          <w:rStyle w:val="CharStyle5"/>
        </w:rPr>
        <w:t>Objednatel a Poskytovatel stanovují dohodou cenu za poskytování služeb údržby a základního servisu systému SBI dle čl. IV odst. 1 písm. a/ až g/ této smlouvy v paušální výši 18 450,-Kč. (slovy: osmnáct tisíc čtyři sta padesát Kč bez DPH) měsíčně (dále jen „poplatek za upgrade, údržbu a servis“). Tento paušální poplatek se sestává z a/ ceny za upgrade systému</w:t>
        <w:tab/>
        <w:t>ve výši 13 650,- Kč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Style w:val="CharStyle5"/>
        </w:rPr>
        <w:t>b/ ceny za údržbu a servis aplikace SBI ve výši 4 800,- Kč</w:t>
      </w:r>
      <w:r>
        <w:br w:type="page"/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 w:firstLine="0"/>
        <w:jc w:val="both"/>
        <w:rPr>
          <w:sz w:val="22"/>
          <w:szCs w:val="22"/>
        </w:rPr>
      </w:pPr>
      <w:r>
        <w:rPr>
          <w:rStyle w:val="CharStyle5"/>
          <w:sz w:val="22"/>
          <w:szCs w:val="22"/>
        </w:rPr>
        <w:t>Strany tak přitom činí s ohledem na zvětšení rozsahu poskytovaných služeb v mezidobí z důvodu postupného rozšíření souboru užívaných modulů příslušného systému o další 2 moduly a dalších 15 technologických okruhů, a analogicky podle ust. par. 222 odst. 5 zákona č. 134/2016 Sb. o zadávání veřejných zakázek, podle něhož lze změnit závazek ze smlouvy na veřejnou zakázku, pokud se nemění celková povaha veřejné zakázky, změna v osobě poskytovatele není možná zejména z technických důvodů a změna ceny nepřekračuje 50 % původní hodnoty závazku.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both"/>
      </w:pPr>
      <w:r>
        <w:rPr>
          <w:rStyle w:val="CharStyle5"/>
        </w:rPr>
        <w:t>Ostatní ujednání smlouvy nejsou tímto dodatkem nijak dotčena.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26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both"/>
      </w:pPr>
      <w:r>
        <w:rPr>
          <w:rStyle w:val="CharStyle5"/>
        </w:rPr>
        <w:t>Tento dodatek nabývá účinnosti dnem jeho uzavření.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520" w:line="240" w:lineRule="auto"/>
        <w:ind w:left="0" w:right="0" w:firstLine="0"/>
        <w:jc w:val="center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0" w:line="240" w:lineRule="auto"/>
        <w:ind w:left="0" w:right="0" w:firstLine="0"/>
        <w:jc w:val="both"/>
      </w:pPr>
      <w:r>
        <w:drawing>
          <wp:anchor distT="0" distB="496570" distL="114300" distR="114300" simplePos="0" relativeHeight="125829382" behindDoc="0" locked="0" layoutInCell="1" allowOverlap="1">
            <wp:simplePos x="0" y="0"/>
            <wp:positionH relativeFrom="page">
              <wp:posOffset>4294505</wp:posOffset>
            </wp:positionH>
            <wp:positionV relativeFrom="paragraph">
              <wp:posOffset>393700</wp:posOffset>
            </wp:positionV>
            <wp:extent cx="1896110" cy="1103630"/>
            <wp:wrapSquare wrapText="left"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896110" cy="11036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200785" distB="0" distL="370205" distR="373380" simplePos="0" relativeHeight="125829383" behindDoc="0" locked="0" layoutInCell="1" allowOverlap="1">
                <wp:simplePos x="0" y="0"/>
                <wp:positionH relativeFrom="page">
                  <wp:posOffset>4550410</wp:posOffset>
                </wp:positionH>
                <wp:positionV relativeFrom="paragraph">
                  <wp:posOffset>1594485</wp:posOffset>
                </wp:positionV>
                <wp:extent cx="1377950" cy="396240"/>
                <wp:wrapSquare wrapText="left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3962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64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5"/>
                                <w:spacing w:val="10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pacing w:val="11"/>
                                <w:shd w:val="clear" w:color="auto" w:fill="000000"/>
                              </w:rPr>
                              <w:t>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</w:t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</w:t>
                            </w:r>
                            <w:r>
                              <w:rPr>
                                <w:rStyle w:val="CharStyle5"/>
                                <w:spacing w:val="4"/>
                                <w:shd w:val="clear" w:color="auto" w:fill="000000"/>
                              </w:rPr>
                              <w:t>.</w:t>
                            </w:r>
                            <w:r>
                              <w:rPr>
                                <w:rStyle w:val="CharStyle5"/>
                                <w:spacing w:val="5"/>
                                <w:shd w:val="clear" w:color="auto" w:fill="000000"/>
                              </w:rPr>
                              <w:t>.........</w:t>
                            </w:r>
                            <w:r>
                              <w:rPr>
                                <w:rStyle w:val="CharStyle5"/>
                              </w:rPr>
                              <w:br/>
                            </w:r>
                            <w:r>
                              <w:rPr>
                                <w:rStyle w:val="CharStyle5"/>
                                <w:shd w:val="clear" w:color="auto" w:fill="000000"/>
                              </w:rPr>
                              <w:t>​.......</w:t>
                            </w:r>
                            <w:r>
                              <w:rPr>
                                <w:rStyle w:val="CharStyle5"/>
                                <w:spacing w:val="1"/>
                                <w:shd w:val="clear" w:color="auto" w:fill="000000"/>
                              </w:rPr>
                              <w:t>.................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358.30000000000001pt;margin-top:125.55pt;width:108.5pt;height:31.199999999999999pt;z-index:-125829370;mso-wrap-distance-left:29.150000000000002pt;mso-wrap-distance-top:94.549999999999997pt;mso-wrap-distance-right:29.400000000000002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64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5"/>
                          <w:spacing w:val="10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pacing w:val="11"/>
                          <w:shd w:val="clear" w:color="auto" w:fill="000000"/>
                        </w:rPr>
                        <w:t>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</w:t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</w:t>
                      </w:r>
                      <w:r>
                        <w:rPr>
                          <w:rStyle w:val="CharStyle5"/>
                          <w:spacing w:val="4"/>
                          <w:shd w:val="clear" w:color="auto" w:fill="000000"/>
                        </w:rPr>
                        <w:t>.</w:t>
                      </w:r>
                      <w:r>
                        <w:rPr>
                          <w:rStyle w:val="CharStyle5"/>
                          <w:spacing w:val="5"/>
                          <w:shd w:val="clear" w:color="auto" w:fill="000000"/>
                        </w:rPr>
                        <w:t>.........</w:t>
                      </w:r>
                      <w:r>
                        <w:rPr>
                          <w:rStyle w:val="CharStyle5"/>
                        </w:rPr>
                        <w:br/>
                      </w:r>
                      <w:r>
                        <w:rPr>
                          <w:rStyle w:val="CharStyle5"/>
                          <w:shd w:val="clear" w:color="auto" w:fill="000000"/>
                        </w:rPr>
                        <w:t>​.......</w:t>
                      </w:r>
                      <w:r>
                        <w:rPr>
                          <w:rStyle w:val="CharStyle5"/>
                          <w:spacing w:val="1"/>
                          <w:shd w:val="clear" w:color="auto" w:fill="000000"/>
                        </w:rPr>
                        <w:t>.................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5"/>
        </w:rPr>
        <w:t>Dáno v Brně dne 1. 4. 2022 ve dvou originálních písemných vyhotoveních, z nichž každá ze smluvních stran obdrží po jednom.</w:t>
      </w:r>
    </w:p>
    <w:p>
      <w:pPr>
        <w:pStyle w:val="Style48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rStyle w:val="CharStyle49"/>
          <w:b/>
          <w:bCs/>
          <w:color w:val="000000"/>
          <w:spacing w:val="1"/>
          <w:w w:val="80"/>
          <w:sz w:val="20"/>
          <w:szCs w:val="20"/>
          <w:shd w:val="clear" w:color="auto" w:fill="000000"/>
        </w:rPr>
        <w:t>.........</w:t>
      </w:r>
      <w:r>
        <w:rPr>
          <w:rStyle w:val="CharStyle49"/>
          <w:b/>
          <w:bCs/>
          <w:color w:val="000000"/>
          <w:spacing w:val="2"/>
          <w:w w:val="80"/>
          <w:sz w:val="20"/>
          <w:szCs w:val="20"/>
          <w:shd w:val="clear" w:color="auto" w:fill="000000"/>
        </w:rPr>
        <w:t>........</w:t>
      </w:r>
      <w:r>
        <w:rPr>
          <w:rStyle w:val="CharStyle49"/>
          <w:b/>
          <w:bCs/>
          <w:color w:val="000000"/>
          <w:w w:val="80"/>
          <w:sz w:val="20"/>
          <w:szCs w:val="20"/>
          <w:shd w:val="clear" w:color="auto" w:fill="000000"/>
        </w:rPr>
        <w:t>​</w:t>
      </w:r>
      <w:r>
        <w:rPr>
          <w:rStyle w:val="CharStyle49"/>
          <w:b/>
          <w:bCs/>
          <w:color w:val="000000"/>
          <w:spacing w:val="1"/>
          <w:w w:val="80"/>
          <w:sz w:val="20"/>
          <w:szCs w:val="20"/>
          <w:shd w:val="clear" w:color="auto" w:fill="000000"/>
        </w:rPr>
        <w:t>........</w:t>
      </w:r>
      <w:r>
        <w:rPr>
          <w:rStyle w:val="CharStyle49"/>
          <w:b/>
          <w:bCs/>
          <w:color w:val="000000"/>
          <w:spacing w:val="2"/>
          <w:w w:val="80"/>
          <w:sz w:val="20"/>
          <w:szCs w:val="20"/>
          <w:shd w:val="clear" w:color="auto" w:fill="000000"/>
        </w:rPr>
        <w:t>..........</w:t>
      </w:r>
      <w:r>
        <w:rPr>
          <w:rStyle w:val="CharStyle49"/>
          <w:b/>
          <w:bCs/>
          <w:color w:val="000000"/>
          <w:w w:val="80"/>
          <w:sz w:val="20"/>
          <w:szCs w:val="20"/>
          <w:shd w:val="clear" w:color="auto" w:fill="000000"/>
        </w:rPr>
        <w:t>​</w:t>
      </w:r>
      <w:r>
        <w:rPr>
          <w:rStyle w:val="CharStyle49"/>
          <w:b/>
          <w:bCs/>
          <w:color w:val="000000"/>
          <w:spacing w:val="1"/>
          <w:w w:val="80"/>
          <w:sz w:val="20"/>
          <w:szCs w:val="20"/>
          <w:shd w:val="clear" w:color="auto" w:fill="000000"/>
        </w:rPr>
        <w:t>.....</w:t>
      </w:r>
      <w:r>
        <w:rPr>
          <w:rStyle w:val="CharStyle49"/>
          <w:b/>
          <w:bCs/>
          <w:color w:val="000000"/>
          <w:spacing w:val="2"/>
          <w:w w:val="80"/>
          <w:sz w:val="20"/>
          <w:szCs w:val="20"/>
          <w:shd w:val="clear" w:color="auto" w:fill="000000"/>
        </w:rPr>
        <w:t>.</w:t>
      </w:r>
      <w:r>
        <w:rPr>
          <w:rStyle w:val="CharStyle49"/>
          <w:b/>
          <w:bCs/>
          <w:w w:val="80"/>
          <w:sz w:val="20"/>
          <w:szCs w:val="20"/>
        </w:rPr>
        <w:br/>
      </w:r>
      <w:r>
        <w:rPr>
          <w:rStyle w:val="CharStyle49"/>
          <w:color w:val="000000"/>
          <w:shd w:val="clear" w:color="auto" w:fill="000000"/>
        </w:rPr>
        <w:t>​</w:t>
      </w:r>
      <w:r>
        <w:rPr>
          <w:rStyle w:val="CharStyle49"/>
          <w:color w:val="000000"/>
          <w:spacing w:val="1"/>
          <w:shd w:val="clear" w:color="auto" w:fill="000000"/>
        </w:rPr>
        <w:t>...................</w:t>
      </w:r>
      <w:r>
        <w:rPr>
          <w:rStyle w:val="CharStyle49"/>
          <w:color w:val="000000"/>
          <w:spacing w:val="2"/>
          <w:shd w:val="clear" w:color="auto" w:fill="000000"/>
        </w:rPr>
        <w:t>......</w:t>
      </w:r>
      <w:r>
        <w:rPr>
          <w:rStyle w:val="CharStyle49"/>
          <w:color w:val="000000"/>
          <w:shd w:val="clear" w:color="auto" w:fill="000000"/>
        </w:rPr>
        <w:t>​</w:t>
      </w:r>
      <w:r>
        <w:rPr>
          <w:rStyle w:val="CharStyle49"/>
          <w:color w:val="000000"/>
          <w:spacing w:val="4"/>
          <w:shd w:val="clear" w:color="auto" w:fill="000000"/>
        </w:rPr>
        <w:t>.....</w:t>
      </w:r>
      <w:r>
        <w:rPr>
          <w:rStyle w:val="CharStyle49"/>
          <w:color w:val="000000"/>
          <w:spacing w:val="5"/>
          <w:shd w:val="clear" w:color="auto" w:fill="000000"/>
        </w:rPr>
        <w:t>....</w:t>
      </w:r>
      <w:r>
        <w:rPr>
          <w:rStyle w:val="CharStyle49"/>
          <w:color w:val="000000"/>
          <w:shd w:val="clear" w:color="auto" w:fill="000000"/>
        </w:rPr>
        <w:t>​......</w:t>
      </w:r>
    </w:p>
    <w:p>
      <w:pPr>
        <w:pStyle w:val="Style59"/>
        <w:keepNext w:val="0"/>
        <w:keepLines w:val="0"/>
        <w:widowControl w:val="0"/>
        <w:shd w:val="clear" w:color="auto" w:fill="auto"/>
        <w:tabs>
          <w:tab w:leader="hyphen" w:pos="456" w:val="left"/>
        </w:tabs>
        <w:bidi w:val="0"/>
        <w:spacing w:before="0" w:after="0" w:line="216" w:lineRule="auto"/>
        <w:ind w:left="0" w:right="0" w:firstLine="0"/>
        <w:jc w:val="left"/>
      </w:pPr>
      <w:r>
        <w:rPr>
          <w:rStyle w:val="CharStyle60"/>
          <w:b/>
          <w:bCs/>
          <w:color w:val="000000"/>
          <w:shd w:val="clear" w:color="auto" w:fill="000000"/>
        </w:rPr>
        <w:t>....</w:t>
      </w:r>
      <w:r>
        <w:rPr>
          <w:rStyle w:val="CharStyle60"/>
          <w:b/>
          <w:bCs/>
          <w:color w:val="000000"/>
          <w:spacing w:val="1"/>
          <w:shd w:val="clear" w:color="auto" w:fill="000000"/>
        </w:rPr>
        <w:t>......</w:t>
      </w:r>
    </w:p>
    <w:p>
      <w:pPr>
        <w:pStyle w:val="Style59"/>
        <w:keepNext w:val="0"/>
        <w:keepLines w:val="0"/>
        <w:widowControl w:val="0"/>
        <w:shd w:val="clear" w:color="auto" w:fill="auto"/>
        <w:bidi w:val="0"/>
        <w:spacing w:before="0" w:after="0" w:line="180" w:lineRule="auto"/>
        <w:ind w:left="0" w:right="0" w:firstLine="0"/>
        <w:jc w:val="center"/>
      </w:pPr>
      <w:r>
        <w:rPr>
          <w:rStyle w:val="CharStyle60"/>
          <w:b/>
          <w:bCs/>
          <w:color w:val="000000"/>
          <w:spacing w:val="44"/>
          <w:shd w:val="clear" w:color="auto" w:fill="000000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60" w:line="259" w:lineRule="auto"/>
        <w:ind w:left="760" w:right="0" w:hanging="760"/>
        <w:jc w:val="both"/>
      </w:pPr>
      <w:r>
        <w:rPr>
          <w:rStyle w:val="CharStyle5"/>
        </w:rPr>
        <w:t>M</w:t>
      </w:r>
      <w:r>
        <w:rPr>
          <w:rStyle w:val="CharStyle5"/>
          <w:spacing w:val="9"/>
          <w:shd w:val="clear" w:color="auto" w:fill="000000"/>
        </w:rPr>
        <w:t>.....</w:t>
      </w:r>
      <w:r>
        <w:rPr>
          <w:rStyle w:val="CharStyle5"/>
          <w:spacing w:val="10"/>
          <w:shd w:val="clear" w:color="auto" w:fill="000000"/>
        </w:rPr>
        <w:t>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2"/>
          <w:shd w:val="clear" w:color="auto" w:fill="000000"/>
        </w:rPr>
        <w:t>....</w:t>
      </w:r>
      <w:r>
        <w:rPr>
          <w:rStyle w:val="CharStyle5"/>
          <w:spacing w:val="3"/>
          <w:shd w:val="clear" w:color="auto" w:fill="000000"/>
        </w:rPr>
        <w:t>.....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3"/>
          <w:shd w:val="clear" w:color="auto" w:fill="000000"/>
        </w:rPr>
        <w:t>.............</w:t>
      </w:r>
      <w:r>
        <w:rPr>
          <w:rStyle w:val="CharStyle5"/>
          <w:spacing w:val="4"/>
          <w:shd w:val="clear" w:color="auto" w:fill="000000"/>
        </w:rPr>
        <w:t>.....</w:t>
      </w:r>
      <w:r>
        <w:rPr>
          <w:rStyle w:val="CharStyle5"/>
        </w:rPr>
        <w:t xml:space="preserve"> </w:t>
      </w:r>
      <w:r>
        <w:rPr>
          <w:rStyle w:val="CharStyle5"/>
          <w:shd w:val="clear" w:color="auto" w:fill="000000"/>
        </w:rPr>
        <w:t>​</w:t>
      </w:r>
      <w:r>
        <w:rPr>
          <w:rStyle w:val="CharStyle5"/>
          <w:spacing w:val="2"/>
          <w:shd w:val="clear" w:color="auto" w:fill="000000"/>
        </w:rPr>
        <w:t>.....</w:t>
      </w:r>
      <w:r>
        <w:rPr>
          <w:rStyle w:val="CharStyle5"/>
          <w:spacing w:val="3"/>
          <w:shd w:val="clear" w:color="auto" w:fill="000000"/>
        </w:rPr>
        <w:t>........</w:t>
      </w:r>
    </w:p>
    <w:p>
      <w:pPr>
        <w:pStyle w:val="Style19"/>
        <w:keepNext/>
        <w:keepLines/>
        <w:widowControl w:val="0"/>
        <w:shd w:val="clear" w:color="auto" w:fill="auto"/>
        <w:bidi w:val="0"/>
        <w:spacing w:before="0" w:after="0" w:line="240" w:lineRule="auto"/>
        <w:ind w:left="4380" w:right="0" w:firstLine="0"/>
        <w:jc w:val="both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43" w:right="1416" w:bottom="2841" w:left="1344" w:header="0" w:footer="2413" w:gutter="0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125829385" behindDoc="0" locked="0" layoutInCell="1" allowOverlap="1">
                <wp:simplePos x="0" y="0"/>
                <wp:positionH relativeFrom="page">
                  <wp:posOffset>1301750</wp:posOffset>
                </wp:positionH>
                <wp:positionV relativeFrom="paragraph">
                  <wp:posOffset>12700</wp:posOffset>
                </wp:positionV>
                <wp:extent cx="624840" cy="191770"/>
                <wp:wrapSquare wrapText="right"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24840" cy="1917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5"/>
                                <w:b/>
                                <w:bCs/>
                                <w:shd w:val="clear" w:color="auto" w:fill="000000"/>
                              </w:rPr>
                              <w:t>....</w:t>
                            </w:r>
                            <w:r>
                              <w:rPr>
                                <w:rStyle w:val="CharStyle5"/>
                                <w:b/>
                                <w:bCs/>
                                <w:spacing w:val="1"/>
                                <w:shd w:val="clear" w:color="auto" w:fill="000000"/>
                              </w:rPr>
                              <w:t>..........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02.5pt;margin-top:1.pt;width:49.200000000000003pt;height:15.1pt;z-index:-125829368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5"/>
                          <w:b/>
                          <w:bCs/>
                          <w:shd w:val="clear" w:color="auto" w:fill="000000"/>
                        </w:rPr>
                        <w:t>....</w:t>
                      </w:r>
                      <w:r>
                        <w:rPr>
                          <w:rStyle w:val="CharStyle5"/>
                          <w:b/>
                          <w:bCs/>
                          <w:spacing w:val="1"/>
                          <w:shd w:val="clear" w:color="auto" w:fill="000000"/>
                        </w:rPr>
                        <w:t>..........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CharStyle20"/>
          <w:b/>
          <w:bCs/>
          <w:shd w:val="clear" w:color="auto" w:fill="000000"/>
        </w:rPr>
        <w:t>............</w:t>
      </w:r>
      <w:r>
        <w:rPr>
          <w:rStyle w:val="CharStyle20"/>
          <w:b/>
          <w:bCs/>
          <w:spacing w:val="1"/>
          <w:shd w:val="clear" w:color="auto" w:fill="000000"/>
        </w:rPr>
        <w:t>.......</w:t>
      </w:r>
      <w:bookmarkStart w:id="4" w:name="bookmark4"/>
      <w:bookmarkEnd w:id="4"/>
    </w:p>
    <w:p>
      <w:pPr>
        <w:widowControl w:val="0"/>
        <w:spacing w:line="360" w:lineRule="exact"/>
      </w:pP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2091055</wp:posOffset>
            </wp:positionH>
            <wp:positionV relativeFrom="paragraph">
              <wp:posOffset>12700</wp:posOffset>
            </wp:positionV>
            <wp:extent cx="603250" cy="53022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603250" cy="5302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467" w:right="1431" w:bottom="1467" w:left="134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upperRoman"/>
      <w:lvlText w:val="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Titulek obrázku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0">
    <w:name w:val="Nadpis #1_"/>
    <w:basedOn w:val="DefaultParagraphFont"/>
    <w:link w:val="Style19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35">
    <w:name w:val="Jiné_"/>
    <w:basedOn w:val="DefaultParagraphFont"/>
    <w:link w:val="Style3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49">
    <w:name w:val="Základní text (2)_"/>
    <w:basedOn w:val="DefaultParagraphFont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color w:val="6997DC"/>
      <w:sz w:val="18"/>
      <w:szCs w:val="18"/>
      <w:u w:val="none"/>
    </w:rPr>
  </w:style>
  <w:style w:type="character" w:customStyle="1" w:styleId="CharStyle60">
    <w:name w:val="Základní text (3)_"/>
    <w:basedOn w:val="DefaultParagraphFont"/>
    <w:link w:val="Style59"/>
    <w:rPr>
      <w:rFonts w:ascii="Arial" w:eastAsia="Arial" w:hAnsi="Arial" w:cs="Arial"/>
      <w:b/>
      <w:bCs/>
      <w:i w:val="0"/>
      <w:iCs w:val="0"/>
      <w:smallCaps w:val="0"/>
      <w:strike w:val="0"/>
      <w:color w:val="6997DC"/>
      <w:w w:val="80"/>
      <w:sz w:val="20"/>
      <w:szCs w:val="20"/>
      <w:u w:val="none"/>
    </w:rPr>
  </w:style>
  <w:style w:type="paragraph" w:customStyle="1" w:styleId="Style2">
    <w:name w:val="Titulek obrázku"/>
    <w:basedOn w:val="Normal"/>
    <w:link w:val="CharStyle3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auto"/>
      <w:spacing w:after="25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19">
    <w:name w:val="Nadpis #1"/>
    <w:basedOn w:val="Normal"/>
    <w:link w:val="CharStyle20"/>
    <w:pPr>
      <w:widowControl w:val="0"/>
      <w:shd w:val="clear" w:color="auto" w:fill="auto"/>
      <w:spacing w:after="120"/>
      <w:ind w:left="134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auto"/>
      <w:spacing w:line="233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34">
    <w:name w:val="Jiné"/>
    <w:basedOn w:val="Normal"/>
    <w:link w:val="CharStyle35"/>
    <w:pPr>
      <w:widowControl w:val="0"/>
      <w:shd w:val="clear" w:color="auto" w:fill="auto"/>
      <w:spacing w:after="250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48">
    <w:name w:val="Základní text (2)"/>
    <w:basedOn w:val="Normal"/>
    <w:link w:val="CharStyle49"/>
    <w:pPr>
      <w:widowControl w:val="0"/>
      <w:shd w:val="clear" w:color="auto" w:fill="auto"/>
      <w:spacing w:after="60" w:line="228" w:lineRule="auto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color w:val="6997DC"/>
      <w:sz w:val="18"/>
      <w:szCs w:val="18"/>
      <w:u w:val="none"/>
    </w:rPr>
  </w:style>
  <w:style w:type="paragraph" w:customStyle="1" w:styleId="Style59">
    <w:name w:val="Základní text (3)"/>
    <w:basedOn w:val="Normal"/>
    <w:link w:val="CharStyle60"/>
    <w:pPr>
      <w:widowControl w:val="0"/>
      <w:shd w:val="clear" w:color="auto" w:fill="auto"/>
      <w:spacing w:line="197" w:lineRule="auto"/>
    </w:pPr>
    <w:rPr>
      <w:rFonts w:ascii="Arial" w:eastAsia="Arial" w:hAnsi="Arial" w:cs="Arial"/>
      <w:b/>
      <w:bCs/>
      <w:i w:val="0"/>
      <w:iCs w:val="0"/>
      <w:smallCaps w:val="0"/>
      <w:strike w:val="0"/>
      <w:color w:val="6997DC"/>
      <w:w w:val="8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/Relationships>
</file>