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zajištění výkonu technického dozoru</w:t>
        <w:br/>
        <w:t>stavebníka na staveništi</w:t>
      </w:r>
    </w:p>
    <w:p>
      <w:pPr>
        <w:pStyle w:val="Style17"/>
        <w:keepNext w:val="0"/>
        <w:keepLines w:val="0"/>
        <w:widowControl w:val="0"/>
        <w:shd w:val="clear" w:color="auto" w:fill="auto"/>
        <w:bidi w:val="0"/>
        <w:spacing w:before="0"/>
        <w:ind w:left="0" w:right="0" w:firstLine="0"/>
        <w:jc w:val="center"/>
      </w:pPr>
      <w:r>
        <mc:AlternateContent>
          <mc:Choice Requires="wps">
            <w:drawing>
              <wp:anchor distT="176530" distB="0" distL="6350" distR="0" simplePos="0" relativeHeight="125829378" behindDoc="0" locked="0" layoutInCell="1" allowOverlap="1">
                <wp:simplePos x="0" y="0"/>
                <wp:positionH relativeFrom="page">
                  <wp:posOffset>737870</wp:posOffset>
                </wp:positionH>
                <wp:positionV relativeFrom="paragraph">
                  <wp:posOffset>2792730</wp:posOffset>
                </wp:positionV>
                <wp:extent cx="5632450" cy="384175"/>
                <wp:wrapTopAndBottom/>
                <wp:docPr id="1" name="Shape 1"/>
                <a:graphic xmlns:a="http://schemas.openxmlformats.org/drawingml/2006/main">
                  <a:graphicData uri="http://schemas.microsoft.com/office/word/2010/wordprocessingShape">
                    <wps:wsp>
                      <wps:cNvSpPr txBox="1"/>
                      <wps:spPr>
                        <a:xfrm>
                          <a:ext cx="5632450" cy="384175"/>
                        </a:xfrm>
                        <a:prstGeom prst="rect"/>
                        <a:noFill/>
                      </wps:spPr>
                      <wps:txbx>
                        <w:txbxContent>
                          <w:tbl>
                            <w:tblPr>
                              <w:tblOverlap w:val="never"/>
                              <w:jc w:val="left"/>
                              <w:tblLayout w:type="fixed"/>
                            </w:tblPr>
                            <w:tblGrid>
                              <w:gridCol w:w="1954"/>
                              <w:gridCol w:w="6917"/>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8.100000000000001pt;margin-top:219.90000000000001pt;width:443.5pt;height:30.25pt;z-index:-125829375;mso-wrap-distance-left:0.5pt;mso-wrap-distance-top:13.9pt;mso-wrap-distance-right:0;mso-position-horizontal-relative:page" filled="f" stroked="f">
                <v:textbox inset="0,0,0,0">
                  <w:txbxContent>
                    <w:tbl>
                      <w:tblPr>
                        <w:tblOverlap w:val="never"/>
                        <w:jc w:val="left"/>
                        <w:tblLayout w:type="fixed"/>
                      </w:tblPr>
                      <w:tblGrid>
                        <w:gridCol w:w="1954"/>
                        <w:gridCol w:w="6917"/>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731520</wp:posOffset>
                </wp:positionH>
                <wp:positionV relativeFrom="paragraph">
                  <wp:posOffset>2616200</wp:posOffset>
                </wp:positionV>
                <wp:extent cx="713105" cy="176530"/>
                <wp:wrapNone/>
                <wp:docPr id="3" name="Shape 3"/>
                <a:graphic xmlns:a="http://schemas.openxmlformats.org/drawingml/2006/main">
                  <a:graphicData uri="http://schemas.microsoft.com/office/word/2010/wordprocessingShape">
                    <wps:wsp>
                      <wps:cNvSpPr txBox="1"/>
                      <wps:spPr>
                        <a:xfrm>
                          <a:ext cx="713105"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wps:txbx>
                      <wps:bodyPr lIns="0" tIns="0" rIns="0" bIns="0">
                        <a:noAutoFit/>
                      </wps:bodyPr>
                    </wps:wsp>
                  </a:graphicData>
                </a:graphic>
              </wp:anchor>
            </w:drawing>
          </mc:Choice>
          <mc:Fallback>
            <w:pict>
              <v:shape id="_x0000_s1029" type="#_x0000_t202" style="position:absolute;margin-left:57.600000000000001pt;margin-top:206.pt;width:56.149999999999999pt;height:13.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v:textbox>
                <w10:wrap anchorx="page"/>
              </v:shape>
            </w:pict>
          </mc:Fallback>
        </mc:AlternateContent>
      </w:r>
      <w:r>
        <w:rPr>
          <w:b w:val="0"/>
          <w:bCs w:val="0"/>
          <w:color w:val="000000"/>
          <w:spacing w:val="0"/>
          <w:w w:val="100"/>
          <w:position w:val="0"/>
          <w:shd w:val="clear" w:color="auto" w:fill="auto"/>
          <w:lang w:val="cs-CZ" w:eastAsia="cs-CZ" w:bidi="cs-CZ"/>
        </w:rPr>
        <w:t>na akci</w:t>
      </w:r>
      <w:r>
        <w:rPr>
          <w:b w:val="0"/>
          <w:bCs w:val="0"/>
          <w:color w:val="000000"/>
          <w:spacing w:val="0"/>
          <w:w w:val="100"/>
          <w:position w:val="0"/>
          <w:sz w:val="32"/>
          <w:szCs w:val="3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32"/>
          <w:szCs w:val="32"/>
          <w:shd w:val="clear" w:color="auto" w:fill="auto"/>
          <w:lang w:val="cs-CZ" w:eastAsia="cs-CZ" w:bidi="cs-CZ"/>
        </w:rPr>
        <w:t>III/1311 Jihlava ul. Smrčenská most ev. č. 1311-1</w:t>
        <w:br/>
      </w:r>
      <w:r>
        <w:rPr>
          <w:color w:val="000000"/>
          <w:spacing w:val="0"/>
          <w:w w:val="100"/>
          <w:position w:val="0"/>
          <w:shd w:val="clear" w:color="auto" w:fill="auto"/>
          <w:lang w:val="cs-CZ" w:eastAsia="cs-CZ" w:bidi="cs-CZ"/>
        </w:rPr>
        <w:t>uzavřená podle § 1746 odst. 2 zákona č. 89/2012 Sb., občanský zákoník, v platném znění</w:t>
      </w:r>
    </w:p>
    <w:p>
      <w:pPr>
        <w:pStyle w:val="Style4"/>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objednatele:</w:t>
      </w:r>
    </w:p>
    <w:p>
      <w:pPr>
        <w:pStyle w:val="Style4"/>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dodavatele: 21BG10071</w:t>
      </w:r>
    </w:p>
    <w:tbl>
      <w:tblPr>
        <w:tblOverlap w:val="never"/>
        <w:jc w:val="left"/>
        <w:tblLayout w:type="fixed"/>
      </w:tblPr>
      <w:tblGrid>
        <w:gridCol w:w="1954"/>
        <w:gridCol w:w="6922"/>
      </w:tblGrid>
      <w:tr>
        <w:trPr>
          <w:trHeight w:val="66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Smluvní strany</w:t>
            </w:r>
          </w:p>
        </w:tc>
      </w:tr>
      <w:tr>
        <w:trPr>
          <w:trHeight w:val="33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Radovanem Necidem ředitelem organizace</w:t>
            </w:r>
          </w:p>
        </w:tc>
      </w:tr>
    </w:tbl>
    <w:p>
      <w:pPr>
        <w:widowControl w:val="0"/>
        <w:spacing w:line="1" w:lineRule="exact"/>
      </w:pPr>
    </w:p>
    <w:tbl>
      <w:tblPr>
        <w:tblOverlap w:val="never"/>
        <w:jc w:val="left"/>
        <w:tblLayout w:type="fixed"/>
      </w:tblPr>
      <w:tblGrid>
        <w:gridCol w:w="1954"/>
        <w:gridCol w:w="6917"/>
      </w:tblGrid>
      <w:tr>
        <w:trPr>
          <w:trHeight w:val="317" w:hRule="exact"/>
        </w:trPr>
        <w:tc>
          <w:tcPr>
            <w:tcBorders/>
            <w:shd w:val="clear" w:color="auto" w:fill="FFFFFF"/>
            <w:vAlign w:val="bottom"/>
          </w:tcPr>
          <w:p>
            <w:pPr>
              <w:pStyle w:val="Style2"/>
              <w:keepNext w:val="0"/>
              <w:keepLines w:val="0"/>
              <w:framePr w:w="8870" w:h="317" w:hSpace="10" w:vSpace="523" w:wrap="notBeside" w:vAnchor="text" w:hAnchor="text" w:x="11" w:y="524"/>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2"/>
              <w:keepNext w:val="0"/>
              <w:keepLines w:val="0"/>
              <w:framePr w:w="8870" w:h="317" w:hSpace="10" w:vSpace="523" w:wrap="notBeside" w:vAnchor="text" w:hAnchor="text" w:x="11" w:y="524"/>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Komerční banka, a.s.</w:t>
            </w:r>
          </w:p>
        </w:tc>
      </w:tr>
    </w:tbl>
    <w:p>
      <w:pPr>
        <w:pStyle w:val="Style4"/>
        <w:keepNext w:val="0"/>
        <w:keepLines w:val="0"/>
        <w:framePr w:w="5299" w:h="586" w:hSpace="4786" w:wrap="notBeside" w:vAnchor="text" w:hAnchor="text" w:y="1"/>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 technických:</w:t>
      </w:r>
    </w:p>
    <w:p>
      <w:pPr>
        <w:widowControl w:val="0"/>
        <w:spacing w:line="1" w:lineRule="exact"/>
      </w:pPr>
    </w:p>
    <w:p>
      <w:pPr>
        <w:pStyle w:val="Style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E-mail:</w:t>
      </w:r>
    </w:p>
    <w:p>
      <w:pPr>
        <w:pStyle w:val="Style6"/>
        <w:keepNext w:val="0"/>
        <w:keepLines w:val="0"/>
        <w:widowControl w:val="0"/>
        <w:shd w:val="clear" w:color="auto" w:fill="auto"/>
        <w:bidi w:val="0"/>
        <w:spacing w:before="0" w:after="120" w:line="233"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25"/>
        <w:keepNext/>
        <w:keepLines/>
        <w:widowControl w:val="0"/>
        <w:shd w:val="clear" w:color="auto" w:fill="auto"/>
        <w:bidi w:val="0"/>
        <w:spacing w:before="0" w:line="233" w:lineRule="auto"/>
        <w:ind w:left="0" w:right="0" w:firstLine="0"/>
        <w:jc w:val="left"/>
      </w:pPr>
      <w:bookmarkStart w:id="0" w:name="bookmark0"/>
      <w:bookmarkStart w:id="1" w:name="bookmark1"/>
      <w:r>
        <w:rPr>
          <w:color w:val="000000"/>
          <w:spacing w:val="0"/>
          <w:w w:val="100"/>
          <w:position w:val="0"/>
          <w:sz w:val="24"/>
          <w:szCs w:val="24"/>
          <w:shd w:val="clear" w:color="auto" w:fill="auto"/>
          <w:lang w:val="cs-CZ" w:eastAsia="cs-CZ" w:bidi="cs-CZ"/>
        </w:rPr>
        <w:t>a</w:t>
      </w:r>
      <w:bookmarkEnd w:id="0"/>
      <w:bookmarkEnd w:id="1"/>
    </w:p>
    <w:p>
      <w:pPr>
        <w:widowControl w:val="0"/>
        <w:spacing w:line="1" w:lineRule="exact"/>
      </w:pPr>
      <w:r>
        <mc:AlternateContent>
          <mc:Choice Requires="wps">
            <w:drawing>
              <wp:anchor distT="682625" distB="950595" distL="6350" distR="0" simplePos="0" relativeHeight="125829380" behindDoc="0" locked="0" layoutInCell="1" allowOverlap="1">
                <wp:simplePos x="0" y="0"/>
                <wp:positionH relativeFrom="page">
                  <wp:posOffset>737870</wp:posOffset>
                </wp:positionH>
                <wp:positionV relativeFrom="paragraph">
                  <wp:posOffset>682625</wp:posOffset>
                </wp:positionV>
                <wp:extent cx="5632450" cy="722630"/>
                <wp:wrapTopAndBottom/>
                <wp:docPr id="5" name="Shape 5"/>
                <a:graphic xmlns:a="http://schemas.openxmlformats.org/drawingml/2006/main">
                  <a:graphicData uri="http://schemas.microsoft.com/office/word/2010/wordprocessingShape">
                    <wps:wsp>
                      <wps:cNvSpPr txBox="1"/>
                      <wps:spPr>
                        <a:xfrm>
                          <a:ext cx="5632450" cy="722630"/>
                        </a:xfrm>
                        <a:prstGeom prst="rect"/>
                        <a:noFill/>
                      </wps:spPr>
                      <wps:txbx>
                        <w:txbxContent>
                          <w:tbl>
                            <w:tblPr>
                              <w:tblOverlap w:val="never"/>
                              <w:jc w:val="left"/>
                              <w:tblLayout w:type="fixed"/>
                            </w:tblPr>
                            <w:tblGrid>
                              <w:gridCol w:w="1954"/>
                              <w:gridCol w:w="6917"/>
                            </w:tblGrid>
                            <w:tr>
                              <w:trPr>
                                <w:tblHeader/>
                                <w:trHeight w:val="56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 Č.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Raiffeisenbank, a.s.</w:t>
                                  </w:r>
                                </w:p>
                              </w:tc>
                            </w:tr>
                            <w:tr>
                              <w:trPr>
                                <w:trHeight w:val="57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27454576</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CZ27454576</w:t>
                                  </w: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58.100000000000001pt;margin-top:53.75pt;width:443.5pt;height:56.899999999999999pt;z-index:-125829373;mso-wrap-distance-left:0.5pt;mso-wrap-distance-top:53.75pt;mso-wrap-distance-right:0;mso-wrap-distance-bottom:74.849999999999994pt;mso-position-horizontal-relative:page" filled="f" stroked="f">
                <v:textbox inset="0,0,0,0">
                  <w:txbxContent>
                    <w:tbl>
                      <w:tblPr>
                        <w:tblOverlap w:val="never"/>
                        <w:jc w:val="left"/>
                        <w:tblLayout w:type="fixed"/>
                      </w:tblPr>
                      <w:tblGrid>
                        <w:gridCol w:w="1954"/>
                        <w:gridCol w:w="6917"/>
                      </w:tblGrid>
                      <w:tr>
                        <w:trPr>
                          <w:tblHeader/>
                          <w:trHeight w:val="56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 Č.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Raiffeisenbank, a.s.</w:t>
                            </w:r>
                          </w:p>
                        </w:tc>
                      </w:tr>
                      <w:tr>
                        <w:trPr>
                          <w:trHeight w:val="57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27454576</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CZ27454576</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731520</wp:posOffset>
                </wp:positionH>
                <wp:positionV relativeFrom="paragraph">
                  <wp:posOffset>0</wp:posOffset>
                </wp:positionV>
                <wp:extent cx="5581015" cy="728345"/>
                <wp:wrapNone/>
                <wp:docPr id="7" name="Shape 7"/>
                <a:graphic xmlns:a="http://schemas.openxmlformats.org/drawingml/2006/main">
                  <a:graphicData uri="http://schemas.microsoft.com/office/word/2010/wordprocessingShape">
                    <wps:wsp>
                      <wps:cNvSpPr txBox="1"/>
                      <wps:spPr>
                        <a:xfrm>
                          <a:ext cx="5581015" cy="7283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vedeným Městským soudem v Praze, odd. C, vložka 113589 Osoby pověřené jednat jménem zhotovitele ve věcech smluvních: technických:</w:t>
                            </w:r>
                          </w:p>
                        </w:txbxContent>
                      </wps:txbx>
                      <wps:bodyPr lIns="0" tIns="0" rIns="0" bIns="0">
                        <a:noAutoFit/>
                      </wps:bodyPr>
                    </wps:wsp>
                  </a:graphicData>
                </a:graphic>
              </wp:anchor>
            </w:drawing>
          </mc:Choice>
          <mc:Fallback>
            <w:pict>
              <v:shape id="_x0000_s1033" type="#_x0000_t202" style="position:absolute;margin-left:57.600000000000001pt;margin-top:0;width:439.44999999999999pt;height:57.350000000000001pt;z-index:251657731;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vedeným Městským soudem v Praze, odd. C, vložka 113589 Osoby pověřené jednat jménem zhotovitele ve věcech smluvních: technických:</w:t>
                      </w:r>
                    </w:p>
                  </w:txbxContent>
                </v:textbox>
                <w10:wrap anchorx="page"/>
              </v:shape>
            </w:pict>
          </mc:Fallback>
        </mc:AlternateContent>
      </w:r>
      <w:r>
        <mc:AlternateContent>
          <mc:Choice Requires="wps">
            <w:drawing>
              <wp:anchor distT="1371600" distB="76200" distL="0" distR="0" simplePos="0" relativeHeight="125829382" behindDoc="0" locked="0" layoutInCell="1" allowOverlap="1">
                <wp:simplePos x="0" y="0"/>
                <wp:positionH relativeFrom="page">
                  <wp:posOffset>731520</wp:posOffset>
                </wp:positionH>
                <wp:positionV relativeFrom="paragraph">
                  <wp:posOffset>1371600</wp:posOffset>
                </wp:positionV>
                <wp:extent cx="1143000" cy="908050"/>
                <wp:wrapTopAndBottom/>
                <wp:docPr id="9" name="Shape 9"/>
                <a:graphic xmlns:a="http://schemas.openxmlformats.org/drawingml/2006/main">
                  <a:graphicData uri="http://schemas.microsoft.com/office/word/2010/wordprocessingShape">
                    <wps:wsp>
                      <wps:cNvSpPr txBox="1"/>
                      <wps:spPr>
                        <a:xfrm>
                          <a:ext cx="1143000" cy="9080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6"/>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„TDS “)</w:t>
                            </w:r>
                          </w:p>
                        </w:txbxContent>
                      </wps:txbx>
                      <wps:bodyPr lIns="0" tIns="0" rIns="0" bIns="0">
                        <a:noAutoFit/>
                      </wps:bodyPr>
                    </wps:wsp>
                  </a:graphicData>
                </a:graphic>
              </wp:anchor>
            </w:drawing>
          </mc:Choice>
          <mc:Fallback>
            <w:pict>
              <v:shape id="_x0000_s1035" type="#_x0000_t202" style="position:absolute;margin-left:57.600000000000001pt;margin-top:108.pt;width:90.pt;height:71.5pt;z-index:-125829371;mso-wrap-distance-left:0;mso-wrap-distance-top:108.pt;mso-wrap-distance-right:0;mso-wrap-distance-bottom:6.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6"/>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„TDS “)</w:t>
                      </w:r>
                    </w:p>
                  </w:txbxContent>
                </v:textbox>
                <w10:wrap type="topAndBottom" anchorx="page"/>
              </v:shape>
            </w:pict>
          </mc:Fallback>
        </mc:AlternateContent>
      </w:r>
    </w:p>
    <w:tbl>
      <w:tblPr>
        <w:tblOverlap w:val="never"/>
        <w:jc w:val="left"/>
        <w:tblLayout w:type="fixed"/>
      </w:tblPr>
      <w:tblGrid>
        <w:gridCol w:w="1954"/>
        <w:gridCol w:w="6917"/>
      </w:tblGrid>
      <w:tr>
        <w:trPr>
          <w:trHeight w:val="25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BUNG CZ s.r.o.</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V olšinách 2300/75, Strašnice, 100 00 Praha 10</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Miroslav Blažek - jednatel</w:t>
            </w:r>
          </w:p>
        </w:tc>
      </w:tr>
    </w:tbl>
    <w:p>
      <w:pPr>
        <w:pStyle w:val="Style6"/>
        <w:keepNext w:val="0"/>
        <w:keepLines w:val="0"/>
        <w:widowControl w:val="0"/>
        <w:shd w:val="clear" w:color="auto" w:fill="auto"/>
        <w:bidi w:val="0"/>
        <w:spacing w:before="120" w:after="120" w:line="240" w:lineRule="auto"/>
        <w:ind w:left="0" w:right="0" w:firstLine="0"/>
        <w:jc w:val="left"/>
        <w:sectPr>
          <w:headerReference w:type="default" r:id="rId5"/>
          <w:footerReference w:type="default" r:id="rId6"/>
          <w:headerReference w:type="even" r:id="rId7"/>
          <w:footerReference w:type="even" r:id="rId8"/>
          <w:footnotePr>
            <w:pos w:val="pageBottom"/>
            <w:numFmt w:val="decimal"/>
            <w:numRestart w:val="continuous"/>
          </w:footnotePr>
          <w:pgSz w:w="12240" w:h="15840"/>
          <w:pgMar w:top="1238" w:left="1152" w:right="1003" w:bottom="1276" w:header="0"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 xml:space="preserve">smlouvu, </w:t>
      </w:r>
      <w:r>
        <w:rPr>
          <w:color w:val="000000"/>
          <w:spacing w:val="0"/>
          <w:w w:val="100"/>
          <w:position w:val="0"/>
          <w:sz w:val="24"/>
          <w:szCs w:val="24"/>
          <w:shd w:val="clear" w:color="auto" w:fill="auto"/>
          <w:lang w:val="cs-CZ" w:eastAsia="cs-CZ" w:bidi="cs-CZ"/>
        </w:rPr>
        <w:t>s tím, že TDS je oprávněn provádět činnosti technického dozoru stavebníka dle zákona č. 360/1992 Sb., o výkonu povolání autorizovaných architektů</w:t>
      </w:r>
    </w:p>
    <w:p>
      <w:pPr>
        <w:pStyle w:val="Style6"/>
        <w:keepNext w:val="0"/>
        <w:keepLines w:val="0"/>
        <w:widowControl w:val="0"/>
        <w:shd w:val="clear" w:color="auto" w:fill="auto"/>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25"/>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Předmět smlouvy</w:t>
      </w:r>
      <w:bookmarkEnd w:id="2"/>
      <w:bookmarkEnd w:id="3"/>
    </w:p>
    <w:p>
      <w:pPr>
        <w:pStyle w:val="Style6"/>
        <w:keepNext w:val="0"/>
        <w:keepLines w:val="0"/>
        <w:widowControl w:val="0"/>
        <w:numPr>
          <w:ilvl w:val="0"/>
          <w:numId w:val="1"/>
        </w:numPr>
        <w:shd w:val="clear" w:color="auto" w:fill="auto"/>
        <w:tabs>
          <w:tab w:pos="710"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TDS se zavazuje pro objednatele vykonávat funkci technického dozoru stavebníka na staveništi po celou dobu přípravy a realizace stavby</w:t>
      </w:r>
    </w:p>
    <w:p>
      <w:pPr>
        <w:pStyle w:val="Style25"/>
        <w:keepNext/>
        <w:keepLines/>
        <w:widowControl w:val="0"/>
        <w:shd w:val="clear" w:color="auto" w:fill="auto"/>
        <w:bidi w:val="0"/>
        <w:spacing w:before="0" w:line="226" w:lineRule="auto"/>
        <w:ind w:left="0" w:right="0" w:firstLine="0"/>
        <w:jc w:val="both"/>
      </w:pPr>
      <w:bookmarkStart w:id="4" w:name="bookmark4"/>
      <w:bookmarkStart w:id="5" w:name="bookmark5"/>
      <w:r>
        <w:rPr>
          <w:rFonts w:ascii="Calibri" w:eastAsia="Calibri" w:hAnsi="Calibri" w:cs="Calibri"/>
          <w:b w:val="0"/>
          <w:bCs w:val="0"/>
          <w:color w:val="000000"/>
          <w:spacing w:val="0"/>
          <w:w w:val="100"/>
          <w:position w:val="0"/>
          <w:sz w:val="24"/>
          <w:szCs w:val="24"/>
          <w:shd w:val="clear" w:color="auto" w:fill="auto"/>
          <w:lang w:val="cs-CZ" w:eastAsia="cs-CZ" w:bidi="cs-CZ"/>
        </w:rPr>
        <w:t xml:space="preserve">na akci: </w:t>
      </w:r>
      <w:r>
        <w:rPr>
          <w:color w:val="000000"/>
          <w:spacing w:val="0"/>
          <w:w w:val="100"/>
          <w:position w:val="0"/>
          <w:sz w:val="24"/>
          <w:szCs w:val="24"/>
          <w:shd w:val="clear" w:color="auto" w:fill="auto"/>
          <w:lang w:val="cs-CZ" w:eastAsia="cs-CZ" w:bidi="cs-CZ"/>
        </w:rPr>
        <w:t>III/1311 Jihlava ul. Smrčenská most ev. č. 1311-1</w:t>
      </w:r>
      <w:bookmarkEnd w:id="4"/>
      <w:bookmarkEnd w:id="5"/>
    </w:p>
    <w:p>
      <w:pPr>
        <w:pStyle w:val="Style6"/>
        <w:keepNext w:val="0"/>
        <w:keepLines w:val="0"/>
        <w:widowControl w:val="0"/>
        <w:shd w:val="clear" w:color="auto" w:fill="auto"/>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podanou v rámci poptávkového řízení ze dne </w:t>
      </w:r>
      <w:r>
        <w:rPr>
          <w:b/>
          <w:bCs/>
          <w:color w:val="000000"/>
          <w:spacing w:val="0"/>
          <w:w w:val="100"/>
          <w:position w:val="0"/>
          <w:sz w:val="24"/>
          <w:szCs w:val="24"/>
          <w:shd w:val="clear" w:color="auto" w:fill="auto"/>
          <w:lang w:val="cs-CZ" w:eastAsia="cs-CZ" w:bidi="cs-CZ"/>
        </w:rPr>
        <w:t xml:space="preserve">24.3.2021 </w:t>
      </w:r>
      <w:r>
        <w:rPr>
          <w:color w:val="000000"/>
          <w:spacing w:val="0"/>
          <w:w w:val="100"/>
          <w:position w:val="0"/>
          <w:sz w:val="24"/>
          <w:szCs w:val="24"/>
          <w:shd w:val="clear" w:color="auto" w:fill="auto"/>
          <w:lang w:val="cs-CZ" w:eastAsia="cs-CZ" w:bidi="cs-CZ"/>
        </w:rPr>
        <w:t xml:space="preserve">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6"/>
        <w:keepNext w:val="0"/>
        <w:keepLines w:val="0"/>
        <w:widowControl w:val="0"/>
        <w:numPr>
          <w:ilvl w:val="0"/>
          <w:numId w:val="1"/>
        </w:numPr>
        <w:shd w:val="clear" w:color="auto" w:fill="auto"/>
        <w:tabs>
          <w:tab w:pos="71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TDS prohlašuje, že splňuje požadavky na odbornou způsobilost pro výkon technického dozoru stavebníka na staveništi.</w:t>
      </w:r>
    </w:p>
    <w:p>
      <w:pPr>
        <w:pStyle w:val="Style6"/>
        <w:keepNext w:val="0"/>
        <w:keepLines w:val="0"/>
        <w:widowControl w:val="0"/>
        <w:numPr>
          <w:ilvl w:val="0"/>
          <w:numId w:val="1"/>
        </w:numPr>
        <w:shd w:val="clear" w:color="auto" w:fill="auto"/>
        <w:tabs>
          <w:tab w:pos="710" w:val="left"/>
        </w:tabs>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25"/>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Rozsah a obsah předmětu plnění</w:t>
      </w:r>
      <w:bookmarkEnd w:id="6"/>
      <w:bookmarkEnd w:id="7"/>
    </w:p>
    <w:p>
      <w:pPr>
        <w:pStyle w:val="Style6"/>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25"/>
        <w:keepNext/>
        <w:keepLines/>
        <w:widowControl w:val="0"/>
        <w:numPr>
          <w:ilvl w:val="1"/>
          <w:numId w:val="1"/>
        </w:numPr>
        <w:shd w:val="clear" w:color="auto" w:fill="auto"/>
        <w:tabs>
          <w:tab w:pos="710" w:val="left"/>
        </w:tabs>
        <w:bidi w:val="0"/>
        <w:spacing w:before="0" w:line="240" w:lineRule="auto"/>
        <w:ind w:left="0" w:right="0" w:firstLine="0"/>
        <w:jc w:val="both"/>
      </w:pPr>
      <w:bookmarkStart w:id="8" w:name="bookmark8"/>
      <w:bookmarkStart w:id="9" w:name="bookmark9"/>
      <w:r>
        <w:rPr>
          <w:color w:val="000000"/>
          <w:spacing w:val="0"/>
          <w:w w:val="100"/>
          <w:position w:val="0"/>
          <w:sz w:val="24"/>
          <w:szCs w:val="24"/>
          <w:shd w:val="clear" w:color="auto" w:fill="auto"/>
          <w:lang w:val="cs-CZ" w:eastAsia="cs-CZ" w:bidi="cs-CZ"/>
        </w:rPr>
        <w:t>Přípravné činnosti před zahájením stavby spočívající zejména v činnostech:</w:t>
      </w:r>
      <w:bookmarkEnd w:id="8"/>
      <w:bookmarkEnd w:id="9"/>
    </w:p>
    <w:p>
      <w:pPr>
        <w:pStyle w:val="Style6"/>
        <w:keepNext w:val="0"/>
        <w:keepLines w:val="0"/>
        <w:widowControl w:val="0"/>
        <w:shd w:val="clear" w:color="auto" w:fill="auto"/>
        <w:bidi w:val="0"/>
        <w:spacing w:before="0" w:after="120" w:line="240" w:lineRule="auto"/>
        <w:ind w:left="118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seznámení se s problematikou stavby včetně znalosti projektové dokumentace dle DSP a PDPS a soupisu prací</w:t>
      </w:r>
    </w:p>
    <w:p>
      <w:pPr>
        <w:pStyle w:val="Style6"/>
        <w:keepNext w:val="0"/>
        <w:keepLines w:val="0"/>
        <w:widowControl w:val="0"/>
        <w:shd w:val="clear" w:color="auto" w:fill="auto"/>
        <w:bidi w:val="0"/>
        <w:spacing w:before="0" w:after="120" w:line="240" w:lineRule="auto"/>
        <w:ind w:left="118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získání podrobné znalosti obsahu Smlouvy o dílo včetně jejích příloh, rozpočtu a OP</w:t>
      </w:r>
    </w:p>
    <w:p>
      <w:pPr>
        <w:pStyle w:val="Style6"/>
        <w:keepNext w:val="0"/>
        <w:keepLines w:val="0"/>
        <w:widowControl w:val="0"/>
        <w:shd w:val="clear" w:color="auto" w:fill="auto"/>
        <w:bidi w:val="0"/>
        <w:spacing w:before="0" w:after="120" w:line="240" w:lineRule="auto"/>
        <w:ind w:left="118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6"/>
        <w:keepNext w:val="0"/>
        <w:keepLines w:val="0"/>
        <w:widowControl w:val="0"/>
        <w:shd w:val="clear" w:color="auto" w:fill="auto"/>
        <w:bidi w:val="0"/>
        <w:spacing w:before="0" w:after="120" w:line="240" w:lineRule="auto"/>
        <w:ind w:left="118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prohlídka staveniště před zahájením vlastních stavebních prací</w:t>
      </w:r>
    </w:p>
    <w:p>
      <w:pPr>
        <w:pStyle w:val="Style6"/>
        <w:keepNext w:val="0"/>
        <w:keepLines w:val="0"/>
        <w:widowControl w:val="0"/>
        <w:shd w:val="clear" w:color="auto" w:fill="auto"/>
        <w:bidi w:val="0"/>
        <w:spacing w:before="0" w:after="220" w:line="240" w:lineRule="auto"/>
        <w:ind w:left="118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25"/>
        <w:keepNext/>
        <w:keepLines/>
        <w:widowControl w:val="0"/>
        <w:numPr>
          <w:ilvl w:val="1"/>
          <w:numId w:val="1"/>
        </w:numPr>
        <w:shd w:val="clear" w:color="auto" w:fill="auto"/>
        <w:tabs>
          <w:tab w:pos="710" w:val="left"/>
        </w:tabs>
        <w:bidi w:val="0"/>
        <w:spacing w:before="0" w:line="240" w:lineRule="auto"/>
        <w:ind w:left="0" w:right="0" w:firstLine="0"/>
        <w:jc w:val="both"/>
      </w:pPr>
      <w:bookmarkStart w:id="10" w:name="bookmark10"/>
      <w:bookmarkStart w:id="11" w:name="bookmark11"/>
      <w:r>
        <w:rPr>
          <w:color w:val="000000"/>
          <w:spacing w:val="0"/>
          <w:w w:val="100"/>
          <w:position w:val="0"/>
          <w:sz w:val="24"/>
          <w:szCs w:val="24"/>
          <w:shd w:val="clear" w:color="auto" w:fill="auto"/>
          <w:lang w:val="cs-CZ" w:eastAsia="cs-CZ" w:bidi="cs-CZ"/>
        </w:rPr>
        <w:t>Práce spojené s prováděním stavby spočívající zejména v činnostech:</w:t>
      </w:r>
      <w:bookmarkEnd w:id="10"/>
      <w:bookmarkEnd w:id="11"/>
    </w:p>
    <w:p>
      <w:pPr>
        <w:pStyle w:val="Style6"/>
        <w:keepNext w:val="0"/>
        <w:keepLines w:val="0"/>
        <w:widowControl w:val="0"/>
        <w:shd w:val="clear" w:color="auto" w:fill="auto"/>
        <w:bidi w:val="0"/>
        <w:spacing w:before="0" w:after="120" w:line="240" w:lineRule="auto"/>
        <w:ind w:left="118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fyzická přítomnost a výkon technického dozoru stavebníka na staveništi a to </w:t>
      </w:r>
      <w:r>
        <w:rPr>
          <w:b/>
          <w:bCs/>
          <w:color w:val="000000"/>
          <w:spacing w:val="0"/>
          <w:w w:val="100"/>
          <w:position w:val="0"/>
          <w:sz w:val="24"/>
          <w:szCs w:val="24"/>
          <w:shd w:val="clear" w:color="auto" w:fill="auto"/>
          <w:lang w:val="cs-CZ" w:eastAsia="cs-CZ" w:bidi="cs-CZ"/>
        </w:rPr>
        <w:t>minimálně ve 2 dnech v průběhu kalendářního týdne</w:t>
      </w:r>
      <w:r>
        <w:rPr>
          <w:color w:val="000000"/>
          <w:spacing w:val="0"/>
          <w:w w:val="100"/>
          <w:position w:val="0"/>
          <w:sz w:val="24"/>
          <w:szCs w:val="24"/>
          <w:shd w:val="clear" w:color="auto" w:fill="auto"/>
          <w:lang w:val="cs-CZ" w:eastAsia="cs-CZ" w:bidi="cs-CZ"/>
        </w:rPr>
        <w:t>, pokud nebude se zadavatelem dohodnuto jinak</w:t>
      </w:r>
    </w:p>
    <w:p>
      <w:pPr>
        <w:pStyle w:val="Style6"/>
        <w:keepNext w:val="0"/>
        <w:keepLines w:val="0"/>
        <w:widowControl w:val="0"/>
        <w:shd w:val="clear" w:color="auto" w:fill="auto"/>
        <w:tabs>
          <w:tab w:leader="underscore" w:pos="1166" w:val="left"/>
          <w:tab w:pos="8981" w:val="left"/>
          <w:tab w:leader="underscore" w:pos="10066" w:val="left"/>
        </w:tabs>
        <w:bidi w:val="0"/>
        <w:spacing w:before="0" w:after="120" w:line="254" w:lineRule="auto"/>
        <w:ind w:left="0" w:right="0" w:firstLine="760"/>
        <w:jc w:val="both"/>
        <w:rPr>
          <w:sz w:val="20"/>
          <w:szCs w:val="20"/>
        </w:rPr>
        <w:sectPr>
          <w:headerReference w:type="default" r:id="rId9"/>
          <w:footerReference w:type="default" r:id="rId10"/>
          <w:headerReference w:type="even" r:id="rId11"/>
          <w:footerReference w:type="even" r:id="rId12"/>
          <w:footnotePr>
            <w:pos w:val="pageBottom"/>
            <w:numFmt w:val="decimal"/>
            <w:numRestart w:val="continuous"/>
          </w:footnotePr>
          <w:pgSz w:w="12240" w:h="15840"/>
          <w:pgMar w:top="1190" w:left="1118" w:right="969" w:bottom="1060" w:header="0" w:footer="3" w:gutter="0"/>
          <w:cols w:space="720"/>
          <w:noEndnote/>
          <w:rtlGutter w:val="0"/>
          <w:docGrid w:linePitch="360"/>
        </w:sectPr>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nepřetržitá fyzická přítomnost a výkon technického dozoru stavebníka na staveništi po dobu </w:t>
        <w:tab/>
      </w:r>
      <w:r>
        <w:rPr>
          <w:color w:val="000000"/>
          <w:spacing w:val="0"/>
          <w:w w:val="100"/>
          <w:position w:val="0"/>
          <w:sz w:val="24"/>
          <w:szCs w:val="24"/>
          <w:u w:val="single"/>
          <w:shd w:val="clear" w:color="auto" w:fill="auto"/>
          <w:lang w:val="cs-CZ" w:eastAsia="cs-CZ" w:bidi="cs-CZ"/>
        </w:rPr>
        <w:t>pokládky asfaltových vrstev</w:t>
      </w:r>
      <w:r>
        <w:rPr>
          <w:color w:val="000000"/>
          <w:spacing w:val="0"/>
          <w:w w:val="100"/>
          <w:position w:val="0"/>
          <w:sz w:val="24"/>
          <w:szCs w:val="24"/>
          <w:shd w:val="clear" w:color="auto" w:fill="auto"/>
          <w:lang w:val="cs-CZ" w:eastAsia="cs-CZ" w:bidi="cs-CZ"/>
        </w:rPr>
        <w:tab/>
        <w:t xml:space="preserve"> </w:t>
      </w:r>
      <w:r>
        <w:rPr>
          <w:color w:val="000000"/>
          <w:spacing w:val="0"/>
          <w:w w:val="100"/>
          <w:position w:val="0"/>
          <w:sz w:val="20"/>
          <w:szCs w:val="20"/>
          <w:shd w:val="clear" w:color="auto" w:fill="auto"/>
          <w:lang w:val="cs-CZ" w:eastAsia="cs-CZ" w:bidi="cs-CZ"/>
        </w:rPr>
        <w:t>Smlouva o zajištění výkonu TDS na staveništi</w:t>
        <w:tab/>
        <w:t>Stránka 2 z 8</w:t>
      </w:r>
    </w:p>
    <w:p>
      <w:pPr>
        <w:pStyle w:val="Style6"/>
        <w:keepNext w:val="0"/>
        <w:keepLines w:val="0"/>
        <w:widowControl w:val="0"/>
        <w:shd w:val="clear" w:color="auto" w:fill="auto"/>
        <w:bidi w:val="0"/>
        <w:spacing w:before="0" w:after="120" w:line="233" w:lineRule="auto"/>
        <w:ind w:left="1140" w:right="0" w:firstLine="0"/>
        <w:jc w:val="both"/>
      </w:pPr>
      <w:r>
        <w:rPr>
          <w:color w:val="000000"/>
          <w:spacing w:val="0"/>
          <w:w w:val="100"/>
          <w:position w:val="0"/>
          <w:sz w:val="24"/>
          <w:szCs w:val="24"/>
          <w:shd w:val="clear" w:color="auto" w:fill="auto"/>
          <w:lang w:val="cs-CZ" w:eastAsia="cs-CZ" w:bidi="cs-CZ"/>
        </w:rPr>
        <w:t>soustavná kontrola dodržování podmínek smlouvy o dílo uzavřené mezi stavebníkem a zhotovitelem</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dodržování schválených technologických postupů</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sledování dodržování platných legislativních předpisů a závazných ČSN, případně závazných částí ČSN v rámci stavby</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spolupráce s odpovědnými pracovníky zhotovitele při provádění opatření na odvrácení, nebo omezení škod při ohrožení stavby živelnými událostmi</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shromažďování, kontrola a zajištění všech dokladů o provedených předepsaných zkouškách a revizích, evidence všech protokolů a zápisů</w:t>
      </w:r>
    </w:p>
    <w:p>
      <w:pPr>
        <w:pStyle w:val="Style6"/>
        <w:keepNext w:val="0"/>
        <w:keepLines w:val="0"/>
        <w:widowControl w:val="0"/>
        <w:shd w:val="clear" w:color="auto" w:fill="auto"/>
        <w:bidi w:val="0"/>
        <w:spacing w:before="0" w:after="12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dodržení časového postupu prací a návrhy na řešení vzniklých prodlev</w:t>
      </w:r>
    </w:p>
    <w:p>
      <w:pPr>
        <w:pStyle w:val="Style6"/>
        <w:keepNext w:val="0"/>
        <w:keepLines w:val="0"/>
        <w:widowControl w:val="0"/>
        <w:shd w:val="clear" w:color="auto" w:fill="auto"/>
        <w:bidi w:val="0"/>
        <w:spacing w:before="0" w:after="12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příprava podkladů pro odevzdání a převzetí stavby, nebo její části</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provedení soupisu vad a případných nedodělků a kontrola jejich odstraňování, zápis o předání a převzetí dokončené stavby investorem</w:t>
      </w:r>
    </w:p>
    <w:p>
      <w:pPr>
        <w:pStyle w:val="Style6"/>
        <w:keepNext w:val="0"/>
        <w:keepLines w:val="0"/>
        <w:widowControl w:val="0"/>
        <w:shd w:val="clear" w:color="auto" w:fill="auto"/>
        <w:bidi w:val="0"/>
        <w:spacing w:before="0" w:after="12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kontrola vyklizení staveniště zhotovitelem</w:t>
      </w:r>
    </w:p>
    <w:p>
      <w:pPr>
        <w:pStyle w:val="Style6"/>
        <w:keepNext w:val="0"/>
        <w:keepLines w:val="0"/>
        <w:widowControl w:val="0"/>
        <w:shd w:val="clear" w:color="auto" w:fill="auto"/>
        <w:bidi w:val="0"/>
        <w:spacing w:before="0" w:after="12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uplatňování požadavků na zhotovitele vyplývající z předání a převzetí díla</w:t>
      </w:r>
    </w:p>
    <w:p>
      <w:pPr>
        <w:pStyle w:val="Style6"/>
        <w:keepNext w:val="0"/>
        <w:keepLines w:val="0"/>
        <w:widowControl w:val="0"/>
        <w:shd w:val="clear" w:color="auto" w:fill="auto"/>
        <w:bidi w:val="0"/>
        <w:spacing w:before="0" w:after="120" w:line="240" w:lineRule="auto"/>
        <w:ind w:left="1140" w:right="0" w:hanging="420"/>
        <w:jc w:val="both"/>
        <w:sectPr>
          <w:headerReference w:type="default" r:id="rId13"/>
          <w:footerReference w:type="default" r:id="rId14"/>
          <w:headerReference w:type="even" r:id="rId15"/>
          <w:footerReference w:type="even" r:id="rId16"/>
          <w:footnotePr>
            <w:pos w:val="pageBottom"/>
            <w:numFmt w:val="decimal"/>
            <w:numRestart w:val="continuous"/>
          </w:footnotePr>
          <w:pgSz w:w="12240" w:h="15840"/>
          <w:pgMar w:top="1210" w:left="1157" w:right="999" w:bottom="1277" w:header="0" w:footer="3" w:gutter="0"/>
          <w:cols w:space="720"/>
          <w:noEndnote/>
          <w:rtlGutter w:val="0"/>
          <w:docGrid w:linePitch="360"/>
        </w:sectPr>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31"/>
        <w:keepNext/>
        <w:keepLines/>
        <w:widowControl w:val="0"/>
        <w:shd w:val="clear" w:color="auto" w:fill="auto"/>
        <w:bidi w:val="0"/>
        <w:spacing w:before="0" w:after="0" w:line="240" w:lineRule="auto"/>
        <w:ind w:left="0" w:right="0" w:firstLine="0"/>
        <w:jc w:val="center"/>
      </w:pPr>
      <w:bookmarkStart w:id="12" w:name="bookmark12"/>
      <w:bookmarkStart w:id="13" w:name="bookmark13"/>
      <w:r>
        <w:rPr>
          <w:spacing w:val="0"/>
          <w:w w:val="100"/>
          <w:position w:val="0"/>
          <w:shd w:val="clear" w:color="auto" w:fill="auto"/>
          <w:lang w:val="cs-CZ" w:eastAsia="cs-CZ" w:bidi="cs-CZ"/>
        </w:rPr>
        <w:t>©sfdi</w:t>
      </w:r>
      <w:bookmarkEnd w:id="12"/>
      <w:bookmarkEnd w:id="13"/>
    </w:p>
    <w:p>
      <w:pPr>
        <w:pStyle w:val="Style33"/>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STÁTNÍ FOND DOPRAVNÍ</w:t>
      </w:r>
    </w:p>
    <w:p>
      <w:pPr>
        <w:pStyle w:val="Style33"/>
        <w:keepNext w:val="0"/>
        <w:keepLines w:val="0"/>
        <w:widowControl w:val="0"/>
        <w:shd w:val="clear" w:color="auto" w:fill="auto"/>
        <w:bidi w:val="0"/>
        <w:spacing w:before="0" w:after="0" w:line="240" w:lineRule="auto"/>
        <w:ind w:left="4200" w:right="0" w:firstLine="0"/>
        <w:jc w:val="both"/>
      </w:pPr>
      <w:r>
        <w:rPr>
          <w:spacing w:val="0"/>
          <w:w w:val="100"/>
          <w:position w:val="0"/>
          <w:shd w:val="clear" w:color="auto" w:fill="auto"/>
          <w:lang w:val="cs-CZ" w:eastAsia="cs-CZ" w:bidi="cs-CZ"/>
        </w:rPr>
        <w:t>INFRASTRUKTURY</w:t>
      </w:r>
    </w:p>
    <w:p>
      <w:pPr>
        <w:pStyle w:val="Style25"/>
        <w:keepNext/>
        <w:keepLines/>
        <w:widowControl w:val="0"/>
        <w:numPr>
          <w:ilvl w:val="1"/>
          <w:numId w:val="1"/>
        </w:numPr>
        <w:shd w:val="clear" w:color="auto" w:fill="auto"/>
        <w:tabs>
          <w:tab w:pos="604" w:val="left"/>
        </w:tabs>
        <w:bidi w:val="0"/>
        <w:spacing w:before="0" w:line="240" w:lineRule="auto"/>
        <w:ind w:left="0" w:right="0" w:firstLine="0"/>
        <w:jc w:val="left"/>
      </w:pPr>
      <w:bookmarkStart w:id="14" w:name="bookmark14"/>
      <w:bookmarkStart w:id="15" w:name="bookmark15"/>
      <w:r>
        <w:rPr>
          <w:color w:val="000000"/>
          <w:spacing w:val="0"/>
          <w:w w:val="100"/>
          <w:position w:val="0"/>
          <w:sz w:val="24"/>
          <w:szCs w:val="24"/>
          <w:shd w:val="clear" w:color="auto" w:fill="auto"/>
          <w:lang w:val="cs-CZ" w:eastAsia="cs-CZ" w:bidi="cs-CZ"/>
        </w:rPr>
        <w:t>Práce po dokončení stavby spočívající zejména v činnostech:</w:t>
      </w:r>
      <w:bookmarkEnd w:id="14"/>
      <w:bookmarkEnd w:id="15"/>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6"/>
        <w:keepNext w:val="0"/>
        <w:keepLines w:val="0"/>
        <w:widowControl w:val="0"/>
        <w:shd w:val="clear" w:color="auto" w:fill="auto"/>
        <w:bidi w:val="0"/>
        <w:spacing w:before="0" w:after="1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6"/>
        <w:keepNext w:val="0"/>
        <w:keepLines w:val="0"/>
        <w:widowControl w:val="0"/>
        <w:shd w:val="clear" w:color="auto" w:fill="auto"/>
        <w:bidi w:val="0"/>
        <w:spacing w:before="0" w:after="38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zpracování podkladů pro závěrečné vyúčtování stavby po odstranění event. kolaudačních závad.</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4</w:t>
      </w:r>
    </w:p>
    <w:p>
      <w:pPr>
        <w:pStyle w:val="Style25"/>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Čas plnění</w:t>
      </w:r>
      <w:bookmarkEnd w:id="16"/>
      <w:bookmarkEnd w:id="17"/>
    </w:p>
    <w:p>
      <w:pPr>
        <w:pStyle w:val="Style6"/>
        <w:keepNext w:val="0"/>
        <w:keepLines w:val="0"/>
        <w:widowControl w:val="0"/>
        <w:numPr>
          <w:ilvl w:val="0"/>
          <w:numId w:val="3"/>
        </w:numPr>
        <w:shd w:val="clear" w:color="auto" w:fill="auto"/>
        <w:tabs>
          <w:tab w:pos="604" w:val="left"/>
        </w:tabs>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TDS zahájí svoji činnost dnem prvního zápisu ve stavebním deníku.</w:t>
      </w:r>
    </w:p>
    <w:p>
      <w:pPr>
        <w:pStyle w:val="Style6"/>
        <w:keepNext w:val="0"/>
        <w:keepLines w:val="0"/>
        <w:widowControl w:val="0"/>
        <w:numPr>
          <w:ilvl w:val="0"/>
          <w:numId w:val="3"/>
        </w:numPr>
        <w:shd w:val="clear" w:color="auto" w:fill="auto"/>
        <w:tabs>
          <w:tab w:pos="604"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TDS ukončí činnost předáním a převzetím dokončené stavby mezi zhotovitelem a objednatelem na základě předávacího protokolu.</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25"/>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Odměna TDS, platební podmínky</w:t>
      </w:r>
      <w:bookmarkEnd w:id="18"/>
      <w:bookmarkEnd w:id="19"/>
    </w:p>
    <w:p>
      <w:pPr>
        <w:pStyle w:val="Style6"/>
        <w:keepNext w:val="0"/>
        <w:keepLines w:val="0"/>
        <w:widowControl w:val="0"/>
        <w:numPr>
          <w:ilvl w:val="0"/>
          <w:numId w:val="5"/>
        </w:numPr>
        <w:shd w:val="clear" w:color="auto" w:fill="auto"/>
        <w:tabs>
          <w:tab w:pos="604"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Objednatel se zavazuje zaplatit TDS za uskutečnění činností podle této smlouvy smluvní dohodnutou odměnu ve výši:</w:t>
      </w:r>
    </w:p>
    <w:p>
      <w:pPr>
        <w:pStyle w:val="Style6"/>
        <w:keepNext w:val="0"/>
        <w:keepLines w:val="0"/>
        <w:widowControl w:val="0"/>
        <w:shd w:val="clear" w:color="auto" w:fill="auto"/>
        <w:bidi w:val="0"/>
        <w:spacing w:before="0" w:after="380" w:line="240" w:lineRule="auto"/>
        <w:ind w:left="0" w:right="0" w:firstLine="58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TDS - práce před zahájením a po dokončení stavby</w:t>
      </w:r>
    </w:p>
    <w:tbl>
      <w:tblPr>
        <w:tblOverlap w:val="never"/>
        <w:jc w:val="center"/>
        <w:tblLayout w:type="fixed"/>
      </w:tblPr>
      <w:tblGrid>
        <w:gridCol w:w="4397"/>
        <w:gridCol w:w="1042"/>
        <w:gridCol w:w="2794"/>
      </w:tblGrid>
      <w:tr>
        <w:trPr>
          <w:trHeight w:val="50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práci před zahájením stavby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9 000,-</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Kč bez DPH</w:t>
            </w:r>
          </w:p>
        </w:tc>
      </w:tr>
      <w:tr>
        <w:trPr>
          <w:trHeight w:val="50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9 000,-</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Kč bez DPH</w:t>
            </w:r>
          </w:p>
        </w:tc>
      </w:tr>
      <w:tr>
        <w:trPr>
          <w:trHeight w:val="50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18 000,-</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Kč</w:t>
            </w:r>
          </w:p>
        </w:tc>
      </w:tr>
      <w:tr>
        <w:trPr>
          <w:trHeight w:val="43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3 780,-</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Kč</w:t>
            </w:r>
          </w:p>
        </w:tc>
      </w:tr>
      <w:tr>
        <w:trPr>
          <w:trHeight w:val="571"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21 780,-</w:t>
            </w:r>
          </w:p>
        </w:tc>
        <w:tc>
          <w:tcPr>
            <w:tcBorders>
              <w:top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Kč</w:t>
            </w:r>
          </w:p>
        </w:tc>
      </w:tr>
    </w:tbl>
    <w:p>
      <w:pPr>
        <w:widowControl w:val="0"/>
        <w:spacing w:after="379" w:line="1" w:lineRule="exact"/>
      </w:pPr>
    </w:p>
    <w:p>
      <w:pPr>
        <w:pStyle w:val="Style6"/>
        <w:keepNext w:val="0"/>
        <w:keepLines w:val="0"/>
        <w:widowControl w:val="0"/>
        <w:shd w:val="clear" w:color="auto" w:fill="auto"/>
        <w:bidi w:val="0"/>
        <w:spacing w:before="0" w:after="240" w:line="240" w:lineRule="auto"/>
        <w:ind w:left="0" w:right="0" w:firstLine="720"/>
        <w:jc w:val="left"/>
      </w:pPr>
      <w:r>
        <w:rPr>
          <w:b/>
          <w:bCs/>
          <w:color w:val="000000"/>
          <w:spacing w:val="0"/>
          <w:w w:val="100"/>
          <w:position w:val="0"/>
          <w:sz w:val="24"/>
          <w:szCs w:val="24"/>
          <w:shd w:val="clear" w:color="auto" w:fill="auto"/>
          <w:lang w:val="cs-CZ" w:eastAsia="cs-CZ" w:bidi="cs-CZ"/>
        </w:rPr>
        <w:t xml:space="preserve">b) </w:t>
      </w:r>
      <w:r>
        <w:rPr>
          <w:b/>
          <w:bCs/>
          <w:color w:val="000000"/>
          <w:spacing w:val="0"/>
          <w:w w:val="100"/>
          <w:position w:val="0"/>
          <w:sz w:val="24"/>
          <w:szCs w:val="24"/>
          <w:u w:val="single"/>
          <w:shd w:val="clear" w:color="auto" w:fill="auto"/>
          <w:lang w:val="cs-CZ" w:eastAsia="cs-CZ" w:bidi="cs-CZ"/>
        </w:rPr>
        <w:t>Výkon TDS - práce spojené s prováděním stavby</w:t>
      </w:r>
    </w:p>
    <w:tbl>
      <w:tblPr>
        <w:tblOverlap w:val="never"/>
        <w:jc w:val="center"/>
        <w:tblLayout w:type="fixed"/>
      </w:tblPr>
      <w:tblGrid>
        <w:gridCol w:w="4397"/>
        <w:gridCol w:w="821"/>
        <w:gridCol w:w="3014"/>
      </w:tblGrid>
      <w:tr>
        <w:trPr>
          <w:trHeight w:val="68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práce v kanceláři</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720,-</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Kč bez DPH</w:t>
            </w:r>
          </w:p>
        </w:tc>
      </w:tr>
      <w:tr>
        <w:trPr>
          <w:trHeight w:val="691"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na staveništi</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720,-</w:t>
            </w:r>
          </w:p>
        </w:tc>
        <w:tc>
          <w:tcPr>
            <w:tcBorders>
              <w:top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Kč bez DPH</w:t>
            </w:r>
          </w:p>
        </w:tc>
      </w:tr>
    </w:tbl>
    <w:p>
      <w:pPr>
        <w:sectPr>
          <w:footnotePr>
            <w:pos w:val="pageBottom"/>
            <w:numFmt w:val="decimal"/>
            <w:numRestart w:val="continuous"/>
          </w:footnotePr>
          <w:pgSz w:w="12240" w:h="15840"/>
          <w:pgMar w:top="110" w:left="1152" w:right="1003" w:bottom="1276" w:header="0" w:footer="3" w:gutter="0"/>
          <w:cols w:space="720"/>
          <w:noEndnote/>
          <w:rtlGutter w:val="0"/>
          <w:docGrid w:linePitch="360"/>
        </w:sectPr>
      </w:pPr>
    </w:p>
    <w:p>
      <w:pPr>
        <w:pStyle w:val="Style6"/>
        <w:keepNext w:val="0"/>
        <w:keepLines w:val="0"/>
        <w:widowControl w:val="0"/>
        <w:numPr>
          <w:ilvl w:val="0"/>
          <w:numId w:val="5"/>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pPr>
        <w:pStyle w:val="Style6"/>
        <w:keepNext w:val="0"/>
        <w:keepLines w:val="0"/>
        <w:widowControl w:val="0"/>
        <w:numPr>
          <w:ilvl w:val="0"/>
          <w:numId w:val="5"/>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6"/>
        <w:keepNext w:val="0"/>
        <w:keepLines w:val="0"/>
        <w:widowControl w:val="0"/>
        <w:numPr>
          <w:ilvl w:val="0"/>
          <w:numId w:val="5"/>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Ke sjednané ceně bez DPH za zajištění TDS bude u plátce DPH účtována daň z přidané hodnoty v zákonné výši.</w:t>
      </w:r>
    </w:p>
    <w:p>
      <w:pPr>
        <w:pStyle w:val="Style6"/>
        <w:keepNext w:val="0"/>
        <w:keepLines w:val="0"/>
        <w:widowControl w:val="0"/>
        <w:numPr>
          <w:ilvl w:val="0"/>
          <w:numId w:val="5"/>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6"/>
        <w:keepNext w:val="0"/>
        <w:keepLines w:val="0"/>
        <w:widowControl w:val="0"/>
        <w:numPr>
          <w:ilvl w:val="0"/>
          <w:numId w:val="5"/>
        </w:numPr>
        <w:shd w:val="clear" w:color="auto" w:fill="auto"/>
        <w:tabs>
          <w:tab w:pos="571" w:val="left"/>
        </w:tabs>
        <w:bidi w:val="0"/>
        <w:spacing w:before="0" w:line="221" w:lineRule="auto"/>
        <w:ind w:left="0" w:right="0" w:firstLine="0"/>
        <w:jc w:val="both"/>
      </w:pPr>
      <w:r>
        <w:rPr>
          <w:color w:val="000000"/>
          <w:spacing w:val="0"/>
          <w:w w:val="100"/>
          <w:position w:val="0"/>
          <w:sz w:val="24"/>
          <w:szCs w:val="24"/>
          <w:shd w:val="clear" w:color="auto" w:fill="auto"/>
          <w:lang w:val="cs-CZ" w:eastAsia="cs-CZ" w:bidi="cs-CZ"/>
        </w:rPr>
        <w:t>Cena za dílo může být upravena (zvýšena či snížena) dodatky k této smlouvě v případě změny zákonných sazeb DPH.</w:t>
      </w:r>
    </w:p>
    <w:p>
      <w:pPr>
        <w:pStyle w:val="Style6"/>
        <w:keepNext w:val="0"/>
        <w:keepLines w:val="0"/>
        <w:widowControl w:val="0"/>
        <w:numPr>
          <w:ilvl w:val="0"/>
          <w:numId w:val="5"/>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Dohodnutá odměna bude TDS proplacena na základě jeho daňového dokladu (faktury).</w:t>
      </w:r>
    </w:p>
    <w:p>
      <w:pPr>
        <w:pStyle w:val="Style6"/>
        <w:keepNext w:val="0"/>
        <w:keepLines w:val="0"/>
        <w:widowControl w:val="0"/>
        <w:numPr>
          <w:ilvl w:val="0"/>
          <w:numId w:val="5"/>
        </w:numPr>
        <w:shd w:val="clear" w:color="auto" w:fill="auto"/>
        <w:tabs>
          <w:tab w:pos="571" w:val="left"/>
        </w:tabs>
        <w:bidi w:val="0"/>
        <w:spacing w:before="0" w:line="226" w:lineRule="auto"/>
        <w:ind w:left="0" w:right="0" w:firstLine="0"/>
        <w:jc w:val="both"/>
      </w:pPr>
      <w:r>
        <w:rPr>
          <w:color w:val="000000"/>
          <w:spacing w:val="0"/>
          <w:w w:val="100"/>
          <w:position w:val="0"/>
          <w:sz w:val="24"/>
          <w:szCs w:val="24"/>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6"/>
        <w:keepNext w:val="0"/>
        <w:keepLines w:val="0"/>
        <w:widowControl w:val="0"/>
        <w:numPr>
          <w:ilvl w:val="0"/>
          <w:numId w:val="5"/>
        </w:numPr>
        <w:shd w:val="clear" w:color="auto" w:fill="auto"/>
        <w:tabs>
          <w:tab w:pos="571" w:val="left"/>
        </w:tabs>
        <w:bidi w:val="0"/>
        <w:spacing w:before="0" w:line="230"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6"/>
        <w:keepNext w:val="0"/>
        <w:keepLines w:val="0"/>
        <w:widowControl w:val="0"/>
        <w:numPr>
          <w:ilvl w:val="0"/>
          <w:numId w:val="5"/>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106a zákona č. 235/2004 Sb. o dani z přidané hodnoty, ve znění pozdějších předpisů (dále jen „zákon o DPH“).</w:t>
      </w:r>
    </w:p>
    <w:p>
      <w:pPr>
        <w:pStyle w:val="Style6"/>
        <w:keepNext w:val="0"/>
        <w:keepLines w:val="0"/>
        <w:widowControl w:val="0"/>
        <w:numPr>
          <w:ilvl w:val="0"/>
          <w:numId w:val="5"/>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TDS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6"/>
        <w:keepNext w:val="0"/>
        <w:keepLines w:val="0"/>
        <w:widowControl w:val="0"/>
        <w:numPr>
          <w:ilvl w:val="0"/>
          <w:numId w:val="5"/>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6"/>
        <w:keepNext w:val="0"/>
        <w:keepLines w:val="0"/>
        <w:widowControl w:val="0"/>
        <w:numPr>
          <w:ilvl w:val="0"/>
          <w:numId w:val="5"/>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ti dnů ode dne, kdy objednatel obdrží oprávněně vystavený daňový doklad.</w:t>
      </w:r>
    </w:p>
    <w:p>
      <w:pPr>
        <w:pStyle w:val="Style6"/>
        <w:keepNext w:val="0"/>
        <w:keepLines w:val="0"/>
        <w:widowControl w:val="0"/>
        <w:numPr>
          <w:ilvl w:val="0"/>
          <w:numId w:val="5"/>
        </w:numPr>
        <w:shd w:val="clear" w:color="auto" w:fill="auto"/>
        <w:tabs>
          <w:tab w:pos="625" w:val="left"/>
        </w:tabs>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25"/>
        <w:keepNext/>
        <w:keepLines/>
        <w:widowControl w:val="0"/>
        <w:shd w:val="clear" w:color="auto" w:fill="auto"/>
        <w:bidi w:val="0"/>
        <w:spacing w:before="0" w:after="10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Práva a povinnosti smluvních stran</w:t>
      </w:r>
      <w:bookmarkEnd w:id="20"/>
      <w:bookmarkEnd w:id="21"/>
    </w:p>
    <w:p>
      <w:pPr>
        <w:pStyle w:val="Style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je povinen postupovat při zařizování smluvené záležitosti s veškerou odbornou péčí, podle svých schopností a znalostí a podle pokynů objednatele.</w:t>
      </w:r>
    </w:p>
    <w:p>
      <w:pPr>
        <w:pStyle w:val="Style6"/>
        <w:keepNext w:val="0"/>
        <w:keepLines w:val="0"/>
        <w:widowControl w:val="0"/>
        <w:numPr>
          <w:ilvl w:val="0"/>
          <w:numId w:val="7"/>
        </w:numPr>
        <w:shd w:val="clear" w:color="auto" w:fill="auto"/>
        <w:tabs>
          <w:tab w:pos="571" w:val="left"/>
        </w:tabs>
        <w:bidi w:val="0"/>
        <w:spacing w:before="0" w:line="240" w:lineRule="auto"/>
        <w:ind w:left="0" w:right="0" w:firstLine="0"/>
        <w:jc w:val="both"/>
        <w:sectPr>
          <w:footnotePr>
            <w:pos w:val="pageBottom"/>
            <w:numFmt w:val="decimal"/>
            <w:numRestart w:val="continuous"/>
          </w:footnotePr>
          <w:pgSz w:w="12240" w:h="15840"/>
          <w:pgMar w:top="1190" w:left="1142" w:right="998" w:bottom="1276"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ve zjednodušeném podlimitním řízení na uzavření této smlouvy</w:t>
      </w:r>
      <w:r>
        <w:rPr>
          <w:b/>
          <w:bCs/>
          <w:color w:val="000000"/>
          <w:spacing w:val="0"/>
          <w:w w:val="100"/>
          <w:position w:val="0"/>
          <w:sz w:val="24"/>
          <w:szCs w:val="24"/>
          <w:shd w:val="clear" w:color="auto" w:fill="auto"/>
          <w:lang w:val="cs-CZ" w:eastAsia="cs-CZ" w:bidi="cs-CZ"/>
        </w:rPr>
        <w:t>.</w:t>
      </w:r>
    </w:p>
    <w:p>
      <w:pPr>
        <w:pStyle w:val="Style31"/>
        <w:keepNext/>
        <w:keepLines/>
        <w:widowControl w:val="0"/>
        <w:shd w:val="clear" w:color="auto" w:fill="auto"/>
        <w:bidi w:val="0"/>
        <w:spacing w:before="0" w:after="0" w:line="240" w:lineRule="auto"/>
        <w:ind w:left="0" w:right="0" w:firstLine="0"/>
        <w:jc w:val="center"/>
      </w:pPr>
      <w:bookmarkStart w:id="22" w:name="bookmark22"/>
      <w:bookmarkStart w:id="23" w:name="bookmark23"/>
      <w:r>
        <w:rPr>
          <w:spacing w:val="0"/>
          <w:w w:val="100"/>
          <w:position w:val="0"/>
          <w:shd w:val="clear" w:color="auto" w:fill="auto"/>
          <w:lang w:val="cs-CZ" w:eastAsia="cs-CZ" w:bidi="cs-CZ"/>
        </w:rPr>
        <w:t>Ssfdi</w:t>
      </w:r>
      <w:bookmarkEnd w:id="22"/>
      <w:bookmarkEnd w:id="23"/>
    </w:p>
    <w:p>
      <w:pPr>
        <w:pStyle w:val="Style33"/>
        <w:keepNext w:val="0"/>
        <w:keepLines w:val="0"/>
        <w:widowControl w:val="0"/>
        <w:shd w:val="clear" w:color="auto" w:fill="auto"/>
        <w:bidi w:val="0"/>
        <w:spacing w:before="0" w:after="60" w:line="240" w:lineRule="auto"/>
        <w:ind w:left="4200" w:right="0"/>
        <w:jc w:val="both"/>
      </w:pPr>
      <w:r>
        <w:rPr>
          <w:spacing w:val="0"/>
          <w:w w:val="100"/>
          <w:position w:val="0"/>
          <w:shd w:val="clear" w:color="auto" w:fill="auto"/>
          <w:lang w:val="cs-CZ" w:eastAsia="cs-CZ" w:bidi="cs-CZ"/>
        </w:rPr>
        <w:t>STÁTNÍ FOND DOPRAVNÍ INFRASTRUKTURY</w:t>
      </w:r>
    </w:p>
    <w:p>
      <w:pPr>
        <w:pStyle w:val="Style6"/>
        <w:keepNext w:val="0"/>
        <w:keepLines w:val="0"/>
        <w:widowControl w:val="0"/>
        <w:numPr>
          <w:ilvl w:val="0"/>
          <w:numId w:val="7"/>
        </w:numPr>
        <w:shd w:val="clear" w:color="auto" w:fill="auto"/>
        <w:tabs>
          <w:tab w:pos="571" w:val="left"/>
        </w:tabs>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Odpovědné osoby, které budou zajišťovat výkon technického dozoru stavebníka na staveništi:</w:t>
      </w:r>
    </w:p>
    <w:p>
      <w:pPr>
        <w:pStyle w:val="Style6"/>
        <w:keepNext w:val="0"/>
        <w:keepLines w:val="0"/>
        <w:widowControl w:val="0"/>
        <w:shd w:val="clear" w:color="auto" w:fill="auto"/>
        <w:bidi w:val="0"/>
        <w:spacing w:before="0" w:after="500" w:line="240" w:lineRule="auto"/>
        <w:ind w:left="1320" w:right="0" w:firstLine="0"/>
        <w:jc w:val="left"/>
      </w:pPr>
      <w:r>
        <w:rPr>
          <w:b/>
          <w:bCs/>
          <w:color w:val="000000"/>
          <w:spacing w:val="0"/>
          <w:w w:val="100"/>
          <w:position w:val="0"/>
          <w:sz w:val="24"/>
          <w:szCs w:val="24"/>
          <w:shd w:val="clear" w:color="auto" w:fill="auto"/>
          <w:lang w:val="cs-CZ" w:eastAsia="cs-CZ" w:bidi="cs-CZ"/>
        </w:rPr>
        <w:t>Odpovědný TDS - Mosty a inženýrské konstrukce</w:t>
      </w:r>
    </w:p>
    <w:p>
      <w:pPr>
        <w:pStyle w:val="Style6"/>
        <w:keepNext w:val="0"/>
        <w:keepLines w:val="0"/>
        <w:widowControl w:val="0"/>
        <w:numPr>
          <w:ilvl w:val="0"/>
          <w:numId w:val="7"/>
        </w:numPr>
        <w:shd w:val="clear" w:color="auto" w:fill="auto"/>
        <w:tabs>
          <w:tab w:pos="571"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Dodavatel odpovídá za plnění těchto osob tak, jako by plnil sám</w:t>
      </w:r>
      <w:r>
        <w:rPr>
          <w:color w:val="000000"/>
          <w:spacing w:val="0"/>
          <w:w w:val="100"/>
          <w:position w:val="0"/>
          <w:sz w:val="24"/>
          <w:szCs w:val="24"/>
          <w:shd w:val="clear" w:color="auto" w:fill="auto"/>
          <w:lang w:val="cs-CZ" w:eastAsia="cs-CZ" w:bidi="cs-CZ"/>
        </w:rPr>
        <w:t xml:space="preserve">. 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je povinen předat objednateli bez zbytečného odkladu věci, které za něj převzal při vyřizování záležitostí.</w:t>
      </w:r>
    </w:p>
    <w:p>
      <w:pPr>
        <w:pStyle w:val="Style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TDS veškeré informace, které jsou nutné k zařízení záležitosti.</w:t>
      </w:r>
    </w:p>
    <w:p>
      <w:pPr>
        <w:pStyle w:val="Style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TDS, který se týká předmětu této smlouvy.</w:t>
      </w:r>
    </w:p>
    <w:p>
      <w:pPr>
        <w:pStyle w:val="Style6"/>
        <w:keepNext w:val="0"/>
        <w:keepLines w:val="0"/>
        <w:widowControl w:val="0"/>
        <w:numPr>
          <w:ilvl w:val="0"/>
          <w:numId w:val="7"/>
        </w:numPr>
        <w:shd w:val="clear" w:color="auto" w:fill="auto"/>
        <w:tabs>
          <w:tab w:pos="571"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25"/>
        <w:keepNext/>
        <w:keepLines/>
        <w:widowControl w:val="0"/>
        <w:shd w:val="clear" w:color="auto" w:fill="auto"/>
        <w:bidi w:val="0"/>
        <w:spacing w:before="0" w:after="10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Změna závazku</w:t>
      </w:r>
      <w:bookmarkEnd w:id="24"/>
      <w:bookmarkEnd w:id="25"/>
    </w:p>
    <w:p>
      <w:pPr>
        <w:pStyle w:val="Style6"/>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6"/>
        <w:keepNext w:val="0"/>
        <w:keepLines w:val="0"/>
        <w:widowControl w:val="0"/>
        <w:numPr>
          <w:ilvl w:val="0"/>
          <w:numId w:val="9"/>
        </w:numPr>
        <w:shd w:val="clear" w:color="auto" w:fill="auto"/>
        <w:tabs>
          <w:tab w:pos="571" w:val="left"/>
        </w:tabs>
        <w:bidi w:val="0"/>
        <w:spacing w:before="0" w:after="66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25"/>
        <w:keepNext/>
        <w:keepLines/>
        <w:widowControl w:val="0"/>
        <w:shd w:val="clear" w:color="auto" w:fill="auto"/>
        <w:bidi w:val="0"/>
        <w:spacing w:before="0" w:after="10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Sankce</w:t>
      </w:r>
      <w:bookmarkEnd w:id="26"/>
      <w:bookmarkEnd w:id="27"/>
    </w:p>
    <w:p>
      <w:pPr>
        <w:pStyle w:val="Style6"/>
        <w:keepNext w:val="0"/>
        <w:keepLines w:val="0"/>
        <w:widowControl w:val="0"/>
        <w:numPr>
          <w:ilvl w:val="0"/>
          <w:numId w:val="11"/>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TDS povinen uhradit objednateli smluvní pokutu ve výši 5% z celkové ceny plnění za každé zjištění. Tuto pokutu je možné ukládat opakovaně, dokud nedojde ke zjednání nápravy.</w:t>
      </w:r>
    </w:p>
    <w:p>
      <w:pPr>
        <w:pStyle w:val="Style6"/>
        <w:keepNext w:val="0"/>
        <w:keepLines w:val="0"/>
        <w:widowControl w:val="0"/>
        <w:numPr>
          <w:ilvl w:val="0"/>
          <w:numId w:val="11"/>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způsobenou TDS a zjednání nápravy vedoucí k odstranění vady.</w:t>
      </w:r>
    </w:p>
    <w:p>
      <w:pPr>
        <w:pStyle w:val="Style6"/>
        <w:keepNext w:val="0"/>
        <w:keepLines w:val="0"/>
        <w:widowControl w:val="0"/>
        <w:numPr>
          <w:ilvl w:val="0"/>
          <w:numId w:val="11"/>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prodlení objednatele se zaplacením faktur uhradí objednatel TDS smluvní pokutu ve výši 0,2 % z dlužné částky za každý den prodlení.</w:t>
      </w:r>
    </w:p>
    <w:p>
      <w:pPr>
        <w:pStyle w:val="Style6"/>
        <w:keepNext w:val="0"/>
        <w:keepLines w:val="0"/>
        <w:widowControl w:val="0"/>
        <w:numPr>
          <w:ilvl w:val="0"/>
          <w:numId w:val="11"/>
        </w:numPr>
        <w:shd w:val="clear" w:color="auto" w:fill="auto"/>
        <w:tabs>
          <w:tab w:pos="571"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6"/>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pgSz w:w="12240" w:h="15840"/>
          <w:pgMar w:top="110" w:left="1142" w:right="998" w:bottom="1276"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Odpovědnost za škodu</w:t>
      </w:r>
    </w:p>
    <w:p>
      <w:pPr>
        <w:pStyle w:val="Style6"/>
        <w:keepNext w:val="0"/>
        <w:keepLines w:val="0"/>
        <w:widowControl w:val="0"/>
        <w:numPr>
          <w:ilvl w:val="0"/>
          <w:numId w:val="13"/>
        </w:numPr>
        <w:shd w:val="clear" w:color="auto" w:fill="auto"/>
        <w:tabs>
          <w:tab w:pos="566"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TDS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TDS.</w:t>
      </w:r>
    </w:p>
    <w:p>
      <w:pPr>
        <w:pStyle w:val="Style6"/>
        <w:keepNext w:val="0"/>
        <w:keepLines w:val="0"/>
        <w:widowControl w:val="0"/>
        <w:numPr>
          <w:ilvl w:val="0"/>
          <w:numId w:val="13"/>
        </w:numPr>
        <w:shd w:val="clear" w:color="auto" w:fill="auto"/>
        <w:tabs>
          <w:tab w:pos="566"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TDS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 Kč</w:t>
      </w:r>
      <w:r>
        <w:rPr>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13"/>
        </w:numPr>
        <w:shd w:val="clear" w:color="auto" w:fill="auto"/>
        <w:tabs>
          <w:tab w:pos="566"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25"/>
        <w:keepNext/>
        <w:keepLines/>
        <w:widowControl w:val="0"/>
        <w:shd w:val="clear" w:color="auto" w:fill="auto"/>
        <w:bidi w:val="0"/>
        <w:spacing w:before="0" w:after="100" w:line="240" w:lineRule="auto"/>
        <w:ind w:left="0" w:right="0" w:firstLine="0"/>
        <w:jc w:val="center"/>
      </w:pPr>
      <w:bookmarkStart w:id="28" w:name="bookmark28"/>
      <w:bookmarkStart w:id="29" w:name="bookmark29"/>
      <w:r>
        <w:rPr>
          <w:color w:val="000000"/>
          <w:spacing w:val="0"/>
          <w:w w:val="100"/>
          <w:position w:val="0"/>
          <w:sz w:val="24"/>
          <w:szCs w:val="24"/>
          <w:shd w:val="clear" w:color="auto" w:fill="auto"/>
          <w:lang w:val="cs-CZ" w:eastAsia="cs-CZ" w:bidi="cs-CZ"/>
        </w:rPr>
        <w:t>Ostatní ujednání, závěrečná ustanovení</w:t>
      </w:r>
      <w:bookmarkEnd w:id="28"/>
      <w:bookmarkEnd w:id="29"/>
    </w:p>
    <w:p>
      <w:pPr>
        <w:pStyle w:val="Style6"/>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 xml:space="preserve">10.1. </w:t>
      </w: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6"/>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 xml:space="preserve">10.2. </w:t>
      </w:r>
      <w:r>
        <w:rPr>
          <w:color w:val="000000"/>
          <w:spacing w:val="0"/>
          <w:w w:val="100"/>
          <w:position w:val="0"/>
          <w:sz w:val="24"/>
          <w:szCs w:val="24"/>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6"/>
        <w:keepNext w:val="0"/>
        <w:keepLines w:val="0"/>
        <w:widowControl w:val="0"/>
        <w:numPr>
          <w:ilvl w:val="0"/>
          <w:numId w:val="15"/>
        </w:numPr>
        <w:shd w:val="clear" w:color="auto" w:fill="auto"/>
        <w:tabs>
          <w:tab w:pos="62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6"/>
        <w:keepNext w:val="0"/>
        <w:keepLines w:val="0"/>
        <w:widowControl w:val="0"/>
        <w:numPr>
          <w:ilvl w:val="0"/>
          <w:numId w:val="15"/>
        </w:numPr>
        <w:shd w:val="clear" w:color="auto" w:fill="auto"/>
        <w:tabs>
          <w:tab w:pos="62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6"/>
        <w:keepNext w:val="0"/>
        <w:keepLines w:val="0"/>
        <w:widowControl w:val="0"/>
        <w:numPr>
          <w:ilvl w:val="0"/>
          <w:numId w:val="15"/>
        </w:numPr>
        <w:shd w:val="clear" w:color="auto" w:fill="auto"/>
        <w:tabs>
          <w:tab w:pos="62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6"/>
        <w:keepNext w:val="0"/>
        <w:keepLines w:val="0"/>
        <w:widowControl w:val="0"/>
        <w:numPr>
          <w:ilvl w:val="0"/>
          <w:numId w:val="15"/>
        </w:numPr>
        <w:shd w:val="clear" w:color="auto" w:fill="auto"/>
        <w:tabs>
          <w:tab w:pos="62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6"/>
        <w:keepNext w:val="0"/>
        <w:keepLines w:val="0"/>
        <w:widowControl w:val="0"/>
        <w:numPr>
          <w:ilvl w:val="0"/>
          <w:numId w:val="15"/>
        </w:numPr>
        <w:shd w:val="clear" w:color="auto" w:fill="auto"/>
        <w:tabs>
          <w:tab w:pos="623" w:val="left"/>
        </w:tabs>
        <w:bidi w:val="0"/>
        <w:spacing w:before="0" w:line="233" w:lineRule="auto"/>
        <w:ind w:left="0" w:right="0" w:firstLine="0"/>
        <w:jc w:val="both"/>
      </w:pPr>
      <w:r>
        <w:rPr>
          <w:color w:val="000000"/>
          <w:spacing w:val="0"/>
          <w:w w:val="100"/>
          <w:position w:val="0"/>
          <w:sz w:val="24"/>
          <w:szCs w:val="24"/>
          <w:shd w:val="clear" w:color="auto" w:fill="auto"/>
          <w:lang w:val="cs-CZ" w:eastAsia="cs-CZ" w:bidi="cs-CZ"/>
        </w:rPr>
        <w:t>Smlouva o dílo je vyhotovena v elektronické podobě, přičemž obě smluvní strany obdrží její elektronický originál.</w:t>
      </w:r>
    </w:p>
    <w:p>
      <w:pPr>
        <w:pStyle w:val="Style6"/>
        <w:keepNext w:val="0"/>
        <w:keepLines w:val="0"/>
        <w:widowControl w:val="0"/>
        <w:numPr>
          <w:ilvl w:val="0"/>
          <w:numId w:val="15"/>
        </w:numPr>
        <w:shd w:val="clear" w:color="auto" w:fill="auto"/>
        <w:tabs>
          <w:tab w:pos="62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si smlouvu před podpisem přečetly, s jejím obsahem souhlasí a na důkaz svobodné a vážné vůle připojují své podpisy.</w:t>
      </w:r>
    </w:p>
    <w:p>
      <w:pPr>
        <w:pStyle w:val="Style6"/>
        <w:keepNext w:val="0"/>
        <w:keepLines w:val="0"/>
        <w:widowControl w:val="0"/>
        <w:numPr>
          <w:ilvl w:val="0"/>
          <w:numId w:val="15"/>
        </w:numPr>
        <w:shd w:val="clear" w:color="auto" w:fill="auto"/>
        <w:tabs>
          <w:tab w:pos="623"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Tato smlouva nabývá platnosti dnem podpisu smlouvy oprávněnými zástupci obou smluvních stran.</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Přílohy:</w:t>
      </w:r>
    </w:p>
    <w:p>
      <w:pPr>
        <w:pStyle w:val="Style6"/>
        <w:keepNext w:val="0"/>
        <w:keepLines w:val="0"/>
        <w:widowControl w:val="0"/>
        <w:shd w:val="clear" w:color="auto" w:fill="auto"/>
        <w:bidi w:val="0"/>
        <w:spacing w:before="0" w:line="240" w:lineRule="auto"/>
        <w:ind w:left="0" w:right="0" w:firstLine="0"/>
        <w:jc w:val="both"/>
        <w:sectPr>
          <w:footnotePr>
            <w:pos w:val="pageBottom"/>
            <w:numFmt w:val="decimal"/>
            <w:numRestart w:val="continuous"/>
          </w:footnotePr>
          <w:pgSz w:w="12240" w:h="15840"/>
          <w:pgMar w:top="1195" w:left="1152" w:right="998" w:bottom="1277" w:header="0" w:footer="3" w:gutter="0"/>
          <w:cols w:space="720"/>
          <w:noEndnote/>
          <w:rtlGutter w:val="0"/>
          <w:docGrid w:linePitch="360"/>
        </w:sectPr>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TDS</w:t>
      </w:r>
    </w:p>
    <w:p>
      <w:pPr>
        <w:widowControl w:val="0"/>
        <w:spacing w:line="1" w:lineRule="exact"/>
      </w:pPr>
      <w:r>
        <mc:AlternateContent>
          <mc:Choice Requires="wps">
            <w:drawing>
              <wp:anchor distT="0" distB="499745" distL="114300" distR="1138555" simplePos="0" relativeHeight="125829384" behindDoc="0" locked="0" layoutInCell="1" allowOverlap="1">
                <wp:simplePos x="0" y="0"/>
                <wp:positionH relativeFrom="page">
                  <wp:posOffset>731520</wp:posOffset>
                </wp:positionH>
                <wp:positionV relativeFrom="paragraph">
                  <wp:posOffset>1231265</wp:posOffset>
                </wp:positionV>
                <wp:extent cx="377825" cy="201295"/>
                <wp:wrapSquare wrapText="bothSides"/>
                <wp:docPr id="45" name="Shape 45"/>
                <a:graphic xmlns:a="http://schemas.openxmlformats.org/drawingml/2006/main">
                  <a:graphicData uri="http://schemas.microsoft.com/office/word/2010/wordprocessingShape">
                    <wps:wsp>
                      <wps:cNvSpPr txBox="1"/>
                      <wps:spPr>
                        <a:xfrm>
                          <a:ext cx="377825"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wps:txbx>
                      <wps:bodyPr wrap="none" lIns="0" tIns="0" rIns="0" bIns="0">
                        <a:noAutoFit/>
                      </wps:bodyPr>
                    </wps:wsp>
                  </a:graphicData>
                </a:graphic>
              </wp:anchor>
            </w:drawing>
          </mc:Choice>
          <mc:Fallback>
            <w:pict>
              <v:shape id="_x0000_s1071" type="#_x0000_t202" style="position:absolute;margin-left:57.600000000000001pt;margin-top:96.950000000000003pt;width:29.75pt;height:15.85pt;z-index:-125829369;mso-wrap-distance-left:9.pt;mso-wrap-distance-right:89.650000000000006pt;mso-wrap-distance-bottom:39.35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v:textbox>
                <w10:wrap type="square" anchorx="page"/>
              </v:shape>
            </w:pict>
          </mc:Fallback>
        </mc:AlternateContent>
      </w:r>
      <w:r>
        <mc:AlternateContent>
          <mc:Choice Requires="wps">
            <w:drawing>
              <wp:anchor distT="499745" distB="0" distL="114300" distR="114300" simplePos="0" relativeHeight="125829386" behindDoc="0" locked="0" layoutInCell="1" allowOverlap="1">
                <wp:simplePos x="0" y="0"/>
                <wp:positionH relativeFrom="page">
                  <wp:posOffset>731520</wp:posOffset>
                </wp:positionH>
                <wp:positionV relativeFrom="paragraph">
                  <wp:posOffset>1731010</wp:posOffset>
                </wp:positionV>
                <wp:extent cx="1402080" cy="201295"/>
                <wp:wrapSquare wrapText="bothSides"/>
                <wp:docPr id="47" name="Shape 47"/>
                <a:graphic xmlns:a="http://schemas.openxmlformats.org/drawingml/2006/main">
                  <a:graphicData uri="http://schemas.microsoft.com/office/word/2010/wordprocessingShape">
                    <wps:wsp>
                      <wps:cNvSpPr txBox="1"/>
                      <wps:spPr>
                        <a:xfrm>
                          <a:ext cx="140208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Praze, dne 5.4.2022</w:t>
                            </w:r>
                          </w:p>
                        </w:txbxContent>
                      </wps:txbx>
                      <wps:bodyPr wrap="none" lIns="0" tIns="0" rIns="0" bIns="0">
                        <a:noAutoFit/>
                      </wps:bodyPr>
                    </wps:wsp>
                  </a:graphicData>
                </a:graphic>
              </wp:anchor>
            </w:drawing>
          </mc:Choice>
          <mc:Fallback>
            <w:pict>
              <v:shape id="_x0000_s1073" type="#_x0000_t202" style="position:absolute;margin-left:57.600000000000001pt;margin-top:136.30000000000001pt;width:110.40000000000001pt;height:15.85pt;z-index:-125829367;mso-wrap-distance-left:9.pt;mso-wrap-distance-top:39.350000000000001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Praze, dne 5.4.2022</w:t>
                      </w:r>
                    </w:p>
                  </w:txbxContent>
                </v:textbox>
                <w10:wrap type="square" anchorx="page"/>
              </v:shape>
            </w:pict>
          </mc:Fallback>
        </mc:AlternateContent>
      </w:r>
    </w:p>
    <w:p>
      <w:pPr>
        <w:pStyle w:val="Style31"/>
        <w:keepNext/>
        <w:keepLines/>
        <w:widowControl w:val="0"/>
        <w:shd w:val="clear" w:color="auto" w:fill="auto"/>
        <w:bidi w:val="0"/>
        <w:spacing w:before="0" w:after="0" w:line="240" w:lineRule="auto"/>
        <w:ind w:left="0" w:right="0" w:firstLine="0"/>
        <w:jc w:val="center"/>
      </w:pPr>
      <w:bookmarkStart w:id="30" w:name="bookmark30"/>
      <w:bookmarkStart w:id="31" w:name="bookmark31"/>
      <w:r>
        <w:rPr>
          <w:spacing w:val="0"/>
          <w:w w:val="100"/>
          <w:position w:val="0"/>
          <w:shd w:val="clear" w:color="auto" w:fill="auto"/>
          <w:lang w:val="cs-CZ" w:eastAsia="cs-CZ" w:bidi="cs-CZ"/>
        </w:rPr>
        <w:t>Ssfdi</w:t>
      </w:r>
      <w:bookmarkEnd w:id="30"/>
      <w:bookmarkEnd w:id="31"/>
    </w:p>
    <w:p>
      <w:pPr>
        <w:pStyle w:val="Style33"/>
        <w:keepNext w:val="0"/>
        <w:keepLines w:val="0"/>
        <w:widowControl w:val="0"/>
        <w:shd w:val="clear" w:color="auto" w:fill="auto"/>
        <w:bidi w:val="0"/>
        <w:spacing w:before="0" w:after="0" w:line="240" w:lineRule="auto"/>
        <w:ind w:left="4180" w:right="0"/>
        <w:jc w:val="left"/>
      </w:pPr>
      <w:r>
        <w:rPr>
          <w:spacing w:val="0"/>
          <w:w w:val="100"/>
          <w:position w:val="0"/>
          <w:shd w:val="clear" w:color="auto" w:fill="auto"/>
          <w:lang w:val="cs-CZ" w:eastAsia="cs-CZ" w:bidi="cs-CZ"/>
        </w:rPr>
        <w:t>STÁTNÍ FOND DOPRAVNÍ INFRASTRUKTURY</w:t>
      </w:r>
    </w:p>
    <w:p>
      <w:pPr>
        <w:pStyle w:val="Style3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6"/>
        <w:keepNext w:val="0"/>
        <w:keepLines w:val="0"/>
        <w:widowControl w:val="0"/>
        <w:shd w:val="clear" w:color="auto" w:fill="auto"/>
        <w:bidi w:val="0"/>
        <w:spacing w:before="0" w:after="500" w:line="240" w:lineRule="auto"/>
        <w:ind w:left="0" w:right="0" w:firstLine="0"/>
        <w:jc w:val="center"/>
      </w:pPr>
      <w:r>
        <w:rPr>
          <w:color w:val="000000"/>
          <w:spacing w:val="0"/>
          <w:w w:val="100"/>
          <w:position w:val="0"/>
          <w:sz w:val="24"/>
          <w:szCs w:val="24"/>
          <w:shd w:val="clear" w:color="auto" w:fill="auto"/>
          <w:lang w:val="cs-CZ" w:eastAsia="cs-CZ" w:bidi="cs-CZ"/>
        </w:rPr>
        <w:t>Objednatel:</w:t>
      </w:r>
    </w:p>
    <w:p>
      <w:pPr>
        <w:pStyle w:val="Style6"/>
        <w:keepNext w:val="0"/>
        <w:keepLines w:val="0"/>
        <w:widowControl w:val="0"/>
        <w:shd w:val="clear" w:color="auto" w:fill="auto"/>
        <w:tabs>
          <w:tab w:leader="dot" w:pos="6385" w:val="left"/>
        </w:tabs>
        <w:bidi w:val="0"/>
        <w:spacing w:before="0" w:after="0" w:line="240" w:lineRule="auto"/>
        <w:ind w:left="3260" w:right="0" w:firstLine="0"/>
        <w:jc w:val="left"/>
        <w:sectPr>
          <w:footnotePr>
            <w:pos w:val="pageBottom"/>
            <w:numFmt w:val="decimal"/>
            <w:numRestart w:val="continuous"/>
          </w:footnotePr>
          <w:pgSz w:w="12240" w:h="15840"/>
          <w:pgMar w:top="110" w:left="1157" w:right="1008" w:bottom="9827"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 w:after="6"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10" w:left="0" w:right="0" w:bottom="1276"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Miroslav Blažek</w:t>
        <w:br/>
        <w:t>jednatel</w:t>
      </w:r>
    </w:p>
    <w:p>
      <w:pPr>
        <w:pStyle w:val="Style6"/>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2240" w:h="15840"/>
          <w:pgMar w:top="110" w:left="2616" w:right="2606" w:bottom="1276" w:header="0" w:footer="3" w:gutter="0"/>
          <w:cols w:num="2" w:space="2866"/>
          <w:noEndnote/>
          <w:rtlGutter w:val="0"/>
          <w:docGrid w:linePitch="360"/>
        </w:sectPr>
      </w:pPr>
      <w:r>
        <w:rPr>
          <w:color w:val="000000"/>
          <w:spacing w:val="0"/>
          <w:w w:val="100"/>
          <w:position w:val="0"/>
          <w:sz w:val="24"/>
          <w:szCs w:val="24"/>
          <w:shd w:val="clear" w:color="auto" w:fill="auto"/>
          <w:lang w:val="cs-CZ" w:eastAsia="cs-CZ" w:bidi="cs-CZ"/>
        </w:rPr>
        <w:t>Ing. Radovan Necid</w:t>
        <w:br/>
        <w:t>ředitel</w:t>
      </w:r>
    </w:p>
    <w:p>
      <w:pPr>
        <w:rPr>
          <w:sz w:val="2"/>
          <w:szCs w:val="2"/>
        </w:rPr>
        <w:sectPr>
          <w:footnotePr>
            <w:pos w:val="pageBottom"/>
            <w:numFmt w:val="decimal"/>
            <w:numRestart w:val="continuous"/>
          </w:footnotePr>
          <w:type w:val="continuous"/>
          <w:pgSz w:w="12240" w:h="15840"/>
          <w:pgMar w:top="110" w:left="2616" w:right="2606" w:bottom="1276" w:header="0" w:footer="3" w:gutter="0"/>
          <w:cols w:num="2" w:space="2866"/>
          <w:noEndnote/>
          <w:rtlGutter w:val="0"/>
          <w:docGrid w:linePitch="360"/>
        </w:sectPr>
      </w:pPr>
    </w:p>
    <w:tbl>
      <w:tblPr>
        <w:tblOverlap w:val="never"/>
        <w:jc w:val="center"/>
        <w:tblLayout w:type="fixed"/>
      </w:tblPr>
      <w:tblGrid>
        <w:gridCol w:w="547"/>
        <w:gridCol w:w="5827"/>
        <w:gridCol w:w="1507"/>
        <w:gridCol w:w="1637"/>
      </w:tblGrid>
      <w:tr>
        <w:trPr>
          <w:trHeight w:val="480"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Příloha č. 1</w:t>
            </w:r>
          </w:p>
        </w:tc>
      </w:tr>
      <w:tr>
        <w:trPr>
          <w:trHeight w:val="533"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30"/>
                <w:szCs w:val="30"/>
              </w:rPr>
            </w:pPr>
            <w:r>
              <w:rPr>
                <w:b/>
                <w:bCs/>
                <w:color w:val="000000"/>
                <w:spacing w:val="0"/>
                <w:w w:val="100"/>
                <w:position w:val="0"/>
                <w:sz w:val="30"/>
                <w:szCs w:val="30"/>
                <w:shd w:val="clear" w:color="auto" w:fill="auto"/>
                <w:lang w:val="cs-CZ" w:eastAsia="cs-CZ" w:bidi="cs-CZ"/>
              </w:rPr>
              <w:t>Kalkulace odměny TDS</w:t>
            </w:r>
          </w:p>
        </w:tc>
      </w:tr>
      <w:tr>
        <w:trPr>
          <w:trHeight w:val="370"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 akce: "III/1311 Jihlava ul. Smrčenská most ev. č. 1311-1"</w:t>
            </w:r>
          </w:p>
        </w:tc>
      </w:tr>
      <w:tr>
        <w:trPr>
          <w:trHeight w:val="35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b/>
                <w:bCs/>
                <w:color w:val="000000"/>
                <w:spacing w:val="0"/>
                <w:w w:val="100"/>
                <w:position w:val="0"/>
                <w:sz w:val="18"/>
                <w:szCs w:val="18"/>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v Kč bez DPH</w:t>
            </w:r>
          </w:p>
        </w:tc>
      </w:tr>
      <w:tr>
        <w:trPr>
          <w:trHeight w:val="34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80"/>
              <w:jc w:val="left"/>
              <w:rPr>
                <w:sz w:val="18"/>
                <w:szCs w:val="18"/>
              </w:rPr>
            </w:pPr>
            <w:r>
              <w:rPr>
                <w:b/>
                <w:bCs/>
                <w:i/>
                <w:iCs/>
                <w:color w:val="000000"/>
                <w:spacing w:val="0"/>
                <w:w w:val="100"/>
                <w:position w:val="0"/>
                <w:sz w:val="18"/>
                <w:szCs w:val="18"/>
                <w:shd w:val="clear" w:color="auto" w:fill="auto"/>
                <w:lang w:val="cs-CZ" w:eastAsia="cs-CZ" w:bidi="cs-CZ"/>
              </w:rPr>
              <w:t>celkem</w:t>
            </w:r>
          </w:p>
        </w:tc>
      </w:tr>
      <w:tr>
        <w:trPr>
          <w:trHeight w:val="461" w:hRule="exact"/>
        </w:trPr>
        <w:tc>
          <w:tcPr>
            <w:gridSpan w:val="2"/>
            <w:tcBorders>
              <w:top w:val="single" w:sz="4"/>
              <w:left w:val="single" w:sz="4"/>
            </w:tcBorders>
            <w:shd w:val="clear" w:color="auto" w:fill="D8E4BC"/>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73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6"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před zahájením stavby</w:t>
            </w:r>
          </w:p>
          <w:p>
            <w:pPr>
              <w:pStyle w:val="Style2"/>
              <w:keepNext w:val="0"/>
              <w:keepLines w:val="0"/>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9 000,00 Kč</w:t>
            </w:r>
          </w:p>
        </w:tc>
      </w:tr>
      <w:tr>
        <w:trPr>
          <w:trHeight w:val="74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6"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po dokončení stavby</w:t>
            </w:r>
          </w:p>
          <w:p>
            <w:pPr>
              <w:pStyle w:val="Style2"/>
              <w:keepNext w:val="0"/>
              <w:keepLines w:val="0"/>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9 000,00 Kč</w:t>
            </w:r>
          </w:p>
        </w:tc>
      </w:tr>
      <w:tr>
        <w:trPr>
          <w:trHeight w:val="509"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A. Cena za výkon TDS před zahájením a po dokončení stavby celkem</w:t>
            </w:r>
          </w:p>
        </w:tc>
        <w:tc>
          <w:tcPr>
            <w:tcBorders>
              <w:top w:val="single" w:sz="4"/>
              <w:left w:val="single" w:sz="4"/>
            </w:tcBorders>
            <w:shd w:val="clear" w:color="auto" w:fill="D8E4BC"/>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D8E4BC"/>
            <w:vAlign w:val="center"/>
          </w:tcPr>
          <w:p>
            <w:pPr>
              <w:pStyle w:val="Style2"/>
              <w:keepNext w:val="0"/>
              <w:keepLines w:val="0"/>
              <w:widowControl w:val="0"/>
              <w:shd w:val="clear" w:color="auto" w:fill="auto"/>
              <w:bidi w:val="0"/>
              <w:spacing w:before="0" w:after="0" w:line="240" w:lineRule="auto"/>
              <w:ind w:left="0" w:right="0" w:firstLine="580"/>
              <w:jc w:val="both"/>
              <w:rPr>
                <w:sz w:val="18"/>
                <w:szCs w:val="18"/>
              </w:rPr>
            </w:pPr>
            <w:r>
              <w:rPr>
                <w:b/>
                <w:bCs/>
                <w:color w:val="000000"/>
                <w:spacing w:val="0"/>
                <w:w w:val="100"/>
                <w:position w:val="0"/>
                <w:sz w:val="18"/>
                <w:szCs w:val="18"/>
                <w:shd w:val="clear" w:color="auto" w:fill="auto"/>
                <w:lang w:val="cs-CZ" w:eastAsia="cs-CZ" w:bidi="cs-CZ"/>
              </w:rPr>
              <w:t>18 000,00 Kč</w:t>
            </w:r>
          </w:p>
        </w:tc>
      </w:tr>
      <w:tr>
        <w:trPr>
          <w:trHeight w:val="758" w:hRule="exact"/>
        </w:trPr>
        <w:tc>
          <w:tcPr>
            <w:gridSpan w:val="2"/>
            <w:tcBorders>
              <w:top w:val="single" w:sz="4"/>
              <w:left w:val="single" w:sz="4"/>
            </w:tcBorders>
            <w:shd w:val="clear" w:color="auto" w:fill="D8E4BC"/>
            <w:vAlign w:val="bottom"/>
          </w:tcPr>
          <w:p>
            <w:pPr>
              <w:pStyle w:val="Style2"/>
              <w:keepNext w:val="0"/>
              <w:keepLines w:val="0"/>
              <w:widowControl w:val="0"/>
              <w:shd w:val="clear" w:color="auto" w:fill="auto"/>
              <w:bidi w:val="0"/>
              <w:spacing w:before="0" w:after="0" w:line="262"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 Výkon TDS - práce spojené s prováděním stavby</w:t>
            </w:r>
          </w:p>
          <w:p>
            <w:pPr>
              <w:pStyle w:val="Style2"/>
              <w:keepNext w:val="0"/>
              <w:keepLines w:val="0"/>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2"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b/>
                <w:bCs/>
                <w:i/>
                <w:iCs/>
                <w:color w:val="000000"/>
                <w:spacing w:val="0"/>
                <w:w w:val="100"/>
                <w:position w:val="0"/>
                <w:sz w:val="18"/>
                <w:szCs w:val="18"/>
                <w:shd w:val="clear" w:color="auto" w:fill="auto"/>
                <w:lang w:val="cs-CZ" w:eastAsia="cs-CZ" w:bidi="cs-CZ"/>
              </w:rPr>
              <w:t>celkem za 70 hodin</w:t>
            </w:r>
          </w:p>
          <w:p>
            <w:pPr>
              <w:pStyle w:val="Style2"/>
              <w:keepNext w:val="0"/>
              <w:keepLines w:val="0"/>
              <w:widowControl w:val="0"/>
              <w:shd w:val="clear" w:color="auto" w:fill="auto"/>
              <w:bidi w:val="0"/>
              <w:spacing w:before="0" w:after="0" w:line="187" w:lineRule="auto"/>
              <w:ind w:left="0" w:right="0" w:firstLine="0"/>
              <w:jc w:val="center"/>
              <w:rPr>
                <w:sz w:val="18"/>
                <w:szCs w:val="18"/>
              </w:rPr>
            </w:pPr>
            <w:r>
              <w:rPr>
                <w:b/>
                <w:bCs/>
                <w:i/>
                <w:iCs/>
                <w:color w:val="000000"/>
                <w:spacing w:val="0"/>
                <w:w w:val="100"/>
                <w:position w:val="0"/>
                <w:sz w:val="18"/>
                <w:szCs w:val="18"/>
                <w:shd w:val="clear" w:color="auto" w:fill="auto"/>
                <w:vertAlign w:val="subscript"/>
                <w:lang w:val="cs-CZ" w:eastAsia="cs-CZ" w:bidi="cs-CZ"/>
              </w:rPr>
              <w:t>*</w:t>
            </w:r>
          </w:p>
        </w:tc>
      </w:tr>
      <w:tr>
        <w:trPr>
          <w:trHeight w:val="85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v kanceláři</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 předpokládané </w:t>
            </w:r>
            <w:r>
              <w:rPr>
                <w:b/>
                <w:bCs/>
                <w:color w:val="000000"/>
                <w:spacing w:val="0"/>
                <w:w w:val="100"/>
                <w:position w:val="0"/>
                <w:sz w:val="18"/>
                <w:szCs w:val="18"/>
                <w:shd w:val="clear" w:color="auto" w:fill="auto"/>
                <w:lang w:val="cs-CZ" w:eastAsia="cs-CZ" w:bidi="cs-CZ"/>
              </w:rPr>
              <w:t>náklady bez nároku na cestovné</w:t>
            </w:r>
          </w:p>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70 hodin</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7 2 0 , 0 0 K 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80"/>
              <w:jc w:val="both"/>
              <w:rPr>
                <w:sz w:val="18"/>
                <w:szCs w:val="18"/>
              </w:rPr>
            </w:pPr>
            <w:r>
              <w:rPr>
                <w:color w:val="000000"/>
                <w:spacing w:val="0"/>
                <w:w w:val="100"/>
                <w:position w:val="0"/>
                <w:sz w:val="18"/>
                <w:szCs w:val="18"/>
                <w:shd w:val="clear" w:color="auto" w:fill="auto"/>
                <w:lang w:val="cs-CZ" w:eastAsia="cs-CZ" w:bidi="cs-CZ"/>
              </w:rPr>
              <w:t>50 400,00 Kč</w:t>
            </w:r>
          </w:p>
        </w:tc>
      </w:tr>
      <w:tr>
        <w:trPr>
          <w:trHeight w:val="542"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4.</w:t>
            </w:r>
          </w:p>
        </w:tc>
        <w:tc>
          <w:tcPr>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na staveništi</w:t>
            </w:r>
          </w:p>
          <w:p>
            <w:pPr>
              <w:pStyle w:val="Style2"/>
              <w:keepNext w:val="0"/>
              <w:keepLines w:val="0"/>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xml:space="preserve">předpokládané náklady </w:t>
            </w:r>
            <w:r>
              <w:rPr>
                <w:b/>
                <w:bCs/>
                <w:color w:val="000000"/>
                <w:spacing w:val="0"/>
                <w:w w:val="100"/>
                <w:position w:val="0"/>
                <w:sz w:val="18"/>
                <w:szCs w:val="18"/>
                <w:shd w:val="clear" w:color="auto" w:fill="auto"/>
                <w:lang w:val="cs-CZ" w:eastAsia="cs-CZ" w:bidi="cs-CZ"/>
              </w:rPr>
              <w:t>včetně cestovného</w:t>
            </w:r>
          </w:p>
          <w:p>
            <w:pPr>
              <w:pStyle w:val="Style2"/>
              <w:keepNext w:val="0"/>
              <w:keepLines w:val="0"/>
              <w:widowControl w:val="0"/>
              <w:shd w:val="clear" w:color="auto" w:fill="auto"/>
              <w:bidi w:val="0"/>
              <w:spacing w:before="0" w:after="0" w:line="264"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 v předpokládaném rozsahu </w:t>
            </w:r>
            <w:r>
              <w:rPr>
                <w:b/>
                <w:bCs/>
                <w:color w:val="000000"/>
                <w:spacing w:val="0"/>
                <w:w w:val="100"/>
                <w:position w:val="0"/>
                <w:sz w:val="18"/>
                <w:szCs w:val="18"/>
                <w:shd w:val="clear" w:color="auto" w:fill="auto"/>
                <w:lang w:val="cs-CZ" w:eastAsia="cs-CZ" w:bidi="cs-CZ"/>
              </w:rPr>
              <w:t xml:space="preserve">2 návštěvy/týden á 3 hodiny, celkem 30 týdnů </w:t>
            </w:r>
            <w:r>
              <w:rPr>
                <w:i/>
                <w:iCs/>
                <w:color w:val="000000"/>
                <w:spacing w:val="0"/>
                <w:w w:val="100"/>
                <w:position w:val="0"/>
                <w:sz w:val="18"/>
                <w:szCs w:val="18"/>
                <w:shd w:val="clear" w:color="auto" w:fill="auto"/>
                <w:lang w:val="cs-CZ" w:eastAsia="cs-CZ" w:bidi="cs-CZ"/>
              </w:rPr>
              <w:t xml:space="preserve">(vzorec pro výpočet hodin : </w:t>
            </w:r>
            <w:r>
              <w:rPr>
                <w:b/>
                <w:bCs/>
                <w:i/>
                <w:iCs/>
                <w:color w:val="000000"/>
                <w:spacing w:val="0"/>
                <w:w w:val="100"/>
                <w:position w:val="0"/>
                <w:sz w:val="18"/>
                <w:szCs w:val="18"/>
                <w:shd w:val="clear" w:color="auto" w:fill="auto"/>
                <w:lang w:val="cs-CZ" w:eastAsia="cs-CZ" w:bidi="cs-CZ"/>
              </w:rPr>
              <w:t xml:space="preserve">2 </w:t>
            </w:r>
            <w:r>
              <w:rPr>
                <w:i/>
                <w:iCs/>
                <w:color w:val="000000"/>
                <w:spacing w:val="0"/>
                <w:w w:val="100"/>
                <w:position w:val="0"/>
                <w:sz w:val="18"/>
                <w:szCs w:val="18"/>
                <w:shd w:val="clear" w:color="auto" w:fill="auto"/>
                <w:lang w:val="cs-CZ" w:eastAsia="cs-CZ" w:bidi="cs-CZ"/>
              </w:rPr>
              <w:t xml:space="preserve">návštěvy x </w:t>
            </w:r>
            <w:r>
              <w:rPr>
                <w:b/>
                <w:bCs/>
                <w:i/>
                <w:iCs/>
                <w:color w:val="000000"/>
                <w:spacing w:val="0"/>
                <w:w w:val="100"/>
                <w:position w:val="0"/>
                <w:sz w:val="18"/>
                <w:szCs w:val="18"/>
                <w:shd w:val="clear" w:color="auto" w:fill="auto"/>
                <w:lang w:val="cs-CZ" w:eastAsia="cs-CZ" w:bidi="cs-CZ"/>
              </w:rPr>
              <w:t xml:space="preserve">3 </w:t>
            </w:r>
            <w:r>
              <w:rPr>
                <w:i/>
                <w:iCs/>
                <w:color w:val="000000"/>
                <w:spacing w:val="0"/>
                <w:w w:val="100"/>
                <w:position w:val="0"/>
                <w:sz w:val="18"/>
                <w:szCs w:val="18"/>
                <w:shd w:val="clear" w:color="auto" w:fill="auto"/>
                <w:lang w:val="cs-CZ" w:eastAsia="cs-CZ" w:bidi="cs-CZ"/>
              </w:rPr>
              <w:t xml:space="preserve">hod. výkonu TDS x 30 týdnů = 180 </w:t>
            </w:r>
            <w:r>
              <w:rPr>
                <w:b/>
                <w:bCs/>
                <w:i/>
                <w:iCs/>
                <w:color w:val="000000"/>
                <w:spacing w:val="0"/>
                <w:w w:val="100"/>
                <w:position w:val="0"/>
                <w:sz w:val="18"/>
                <w:szCs w:val="18"/>
                <w:shd w:val="clear" w:color="auto" w:fill="auto"/>
                <w:lang w:val="cs-CZ" w:eastAsia="cs-CZ" w:bidi="cs-CZ"/>
              </w:rPr>
              <w:t xml:space="preserve">hodin výkonu TDS celkem </w:t>
            </w:r>
            <w:r>
              <w:rPr>
                <w:i/>
                <w:iCs/>
                <w:color w:val="000000"/>
                <w:spacing w:val="0"/>
                <w:w w:val="100"/>
                <w:position w:val="0"/>
                <w:sz w:val="18"/>
                <w:szCs w:val="18"/>
                <w:shd w:val="clear" w:color="auto" w:fill="auto"/>
                <w:lang w:val="cs-CZ" w:eastAsia="cs-CZ" w:bidi="cs-CZ"/>
              </w:rPr>
              <w:t>)</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7 2 0 , 0 0 K 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57"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celkem za 18 0 hodin *</w:t>
            </w:r>
          </w:p>
        </w:tc>
      </w:tr>
      <w:tr>
        <w:trPr>
          <w:trHeight w:val="883"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cs-CZ" w:eastAsia="cs-CZ" w:bidi="cs-CZ"/>
              </w:rPr>
              <w:t>1 2 9 6 0 0 , 0 0 K č</w:t>
            </w:r>
          </w:p>
        </w:tc>
      </w:tr>
      <w:tr>
        <w:trPr>
          <w:trHeight w:val="499"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B. Cena za výkon TDS při provádění stavby celkem</w:t>
            </w:r>
          </w:p>
        </w:tc>
        <w:tc>
          <w:tcPr>
            <w:tcBorders>
              <w:top w:val="single" w:sz="4"/>
              <w:left w:val="single" w:sz="4"/>
            </w:tcBorders>
            <w:shd w:val="clear" w:color="auto" w:fill="D8E4BC"/>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D8E4BC"/>
            <w:vAlign w:val="center"/>
          </w:tcPr>
          <w:p>
            <w:pPr>
              <w:pStyle w:val="Style2"/>
              <w:keepNext w:val="0"/>
              <w:keepLines w:val="0"/>
              <w:widowControl w:val="0"/>
              <w:shd w:val="clear" w:color="auto" w:fill="auto"/>
              <w:bidi w:val="0"/>
              <w:spacing w:before="0" w:after="0" w:line="240" w:lineRule="auto"/>
              <w:ind w:left="0" w:right="0" w:firstLine="480"/>
              <w:jc w:val="both"/>
              <w:rPr>
                <w:sz w:val="18"/>
                <w:szCs w:val="18"/>
              </w:rPr>
            </w:pPr>
            <w:r>
              <w:rPr>
                <w:b/>
                <w:bCs/>
                <w:color w:val="000000"/>
                <w:spacing w:val="0"/>
                <w:w w:val="100"/>
                <w:position w:val="0"/>
                <w:sz w:val="18"/>
                <w:szCs w:val="18"/>
                <w:shd w:val="clear" w:color="auto" w:fill="auto"/>
                <w:lang w:val="cs-CZ" w:eastAsia="cs-CZ" w:bidi="cs-CZ"/>
              </w:rPr>
              <w:t>180 000,00 Kč</w:t>
            </w:r>
          </w:p>
        </w:tc>
      </w:tr>
      <w:tr>
        <w:trPr>
          <w:trHeight w:val="499" w:hRule="exact"/>
        </w:trPr>
        <w:tc>
          <w:tcPr>
            <w:gridSpan w:val="2"/>
            <w:tcBorders>
              <w:top w:val="single" w:sz="4"/>
              <w:left w:val="single" w:sz="4"/>
            </w:tcBorders>
            <w:shd w:val="clear" w:color="auto" w:fill="C3D79A"/>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BEZ DPH (A + B)</w:t>
            </w:r>
          </w:p>
        </w:tc>
        <w:tc>
          <w:tcPr>
            <w:tcBorders>
              <w:top w:val="single" w:sz="4"/>
              <w:left w:val="single" w:sz="4"/>
            </w:tcBorders>
            <w:shd w:val="clear" w:color="auto" w:fill="C3D79A"/>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C3D79A"/>
            <w:vAlign w:val="center"/>
          </w:tcPr>
          <w:p>
            <w:pPr>
              <w:pStyle w:val="Style2"/>
              <w:keepNext w:val="0"/>
              <w:keepLines w:val="0"/>
              <w:widowControl w:val="0"/>
              <w:shd w:val="clear" w:color="auto" w:fill="auto"/>
              <w:bidi w:val="0"/>
              <w:spacing w:before="0" w:after="0" w:line="240" w:lineRule="auto"/>
              <w:ind w:left="0" w:right="0" w:firstLine="480"/>
              <w:jc w:val="both"/>
              <w:rPr>
                <w:sz w:val="18"/>
                <w:szCs w:val="18"/>
              </w:rPr>
            </w:pPr>
            <w:r>
              <w:rPr>
                <w:b/>
                <w:bCs/>
                <w:color w:val="000000"/>
                <w:spacing w:val="0"/>
                <w:w w:val="100"/>
                <w:position w:val="0"/>
                <w:sz w:val="18"/>
                <w:szCs w:val="18"/>
                <w:shd w:val="clear" w:color="auto" w:fill="auto"/>
                <w:lang w:val="cs-CZ" w:eastAsia="cs-CZ" w:bidi="cs-CZ"/>
              </w:rPr>
              <w:t>198 000,00 Kč</w:t>
            </w:r>
          </w:p>
        </w:tc>
      </w:tr>
      <w:tr>
        <w:trPr>
          <w:trHeight w:val="470" w:hRule="exact"/>
        </w:trPr>
        <w:tc>
          <w:tcPr>
            <w:gridSpan w:val="2"/>
            <w:tcBorders>
              <w:top w:val="single" w:sz="4"/>
              <w:left w:val="single" w:sz="4"/>
            </w:tcBorders>
            <w:shd w:val="clear" w:color="auto" w:fill="C3D79A"/>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DPH 21 %</w:t>
            </w:r>
          </w:p>
        </w:tc>
        <w:tc>
          <w:tcPr>
            <w:tcBorders>
              <w:top w:val="single" w:sz="4"/>
              <w:left w:val="single" w:sz="4"/>
            </w:tcBorders>
            <w:shd w:val="clear" w:color="auto" w:fill="C3D79A"/>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C3D79A"/>
            <w:vAlign w:val="center"/>
          </w:tcPr>
          <w:p>
            <w:pPr>
              <w:pStyle w:val="Style2"/>
              <w:keepNext w:val="0"/>
              <w:keepLines w:val="0"/>
              <w:widowControl w:val="0"/>
              <w:shd w:val="clear" w:color="auto" w:fill="auto"/>
              <w:bidi w:val="0"/>
              <w:spacing w:before="0" w:after="0" w:line="240" w:lineRule="auto"/>
              <w:ind w:left="0" w:right="0" w:firstLine="580"/>
              <w:jc w:val="both"/>
              <w:rPr>
                <w:sz w:val="18"/>
                <w:szCs w:val="18"/>
              </w:rPr>
            </w:pPr>
            <w:r>
              <w:rPr>
                <w:b/>
                <w:bCs/>
                <w:color w:val="000000"/>
                <w:spacing w:val="0"/>
                <w:w w:val="100"/>
                <w:position w:val="0"/>
                <w:sz w:val="18"/>
                <w:szCs w:val="18"/>
                <w:shd w:val="clear" w:color="auto" w:fill="auto"/>
                <w:lang w:val="cs-CZ" w:eastAsia="cs-CZ" w:bidi="cs-CZ"/>
              </w:rPr>
              <w:t>41 580,00 Kč</w:t>
            </w:r>
          </w:p>
        </w:tc>
      </w:tr>
      <w:tr>
        <w:trPr>
          <w:trHeight w:val="638" w:hRule="exact"/>
        </w:trPr>
        <w:tc>
          <w:tcPr>
            <w:gridSpan w:val="2"/>
            <w:tcBorders>
              <w:top w:val="single" w:sz="4"/>
              <w:left w:val="single" w:sz="4"/>
              <w:bottom w:val="single" w:sz="4"/>
            </w:tcBorders>
            <w:shd w:val="clear" w:color="auto" w:fill="C3D79A"/>
            <w:vAlign w:val="center"/>
          </w:tcPr>
          <w:p>
            <w:pPr>
              <w:pStyle w:val="Style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VČETNĚ DPH</w:t>
            </w:r>
          </w:p>
        </w:tc>
        <w:tc>
          <w:tcPr>
            <w:tcBorders>
              <w:top w:val="single" w:sz="4"/>
              <w:left w:val="single" w:sz="4"/>
              <w:bottom w:val="single" w:sz="4"/>
            </w:tcBorders>
            <w:shd w:val="clear" w:color="auto" w:fill="C3D79A"/>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bottom w:val="single" w:sz="4"/>
              <w:right w:val="single" w:sz="4"/>
            </w:tcBorders>
            <w:shd w:val="clear" w:color="auto" w:fill="C3D79A"/>
            <w:vAlign w:val="center"/>
          </w:tcPr>
          <w:p>
            <w:pPr>
              <w:pStyle w:val="Style2"/>
              <w:keepNext w:val="0"/>
              <w:keepLines w:val="0"/>
              <w:widowControl w:val="0"/>
              <w:shd w:val="clear" w:color="auto" w:fill="auto"/>
              <w:bidi w:val="0"/>
              <w:spacing w:before="0" w:after="0" w:line="240" w:lineRule="auto"/>
              <w:ind w:left="0" w:right="0" w:firstLine="480"/>
              <w:jc w:val="both"/>
              <w:rPr>
                <w:sz w:val="18"/>
                <w:szCs w:val="18"/>
              </w:rPr>
            </w:pPr>
            <w:r>
              <w:rPr>
                <w:b/>
                <w:bCs/>
                <w:color w:val="000000"/>
                <w:spacing w:val="0"/>
                <w:w w:val="100"/>
                <w:position w:val="0"/>
                <w:sz w:val="18"/>
                <w:szCs w:val="18"/>
                <w:shd w:val="clear" w:color="auto" w:fill="auto"/>
                <w:lang w:val="cs-CZ" w:eastAsia="cs-CZ" w:bidi="cs-CZ"/>
              </w:rPr>
              <w:t>239 580,00 Kč</w:t>
            </w:r>
          </w:p>
        </w:tc>
      </w:tr>
    </w:tbl>
    <w:p>
      <w:pPr>
        <w:pStyle w:val="Style4"/>
        <w:keepNext w:val="0"/>
        <w:keepLines w:val="0"/>
        <w:widowControl w:val="0"/>
        <w:shd w:val="clear" w:color="auto" w:fill="auto"/>
        <w:bidi w:val="0"/>
        <w:spacing w:before="0" w:after="0" w:line="240" w:lineRule="auto"/>
        <w:ind w:left="648" w:right="0" w:firstLine="0"/>
        <w:jc w:val="left"/>
        <w:rPr>
          <w:sz w:val="16"/>
          <w:szCs w:val="16"/>
        </w:rPr>
      </w:pPr>
      <w:r>
        <w:rPr>
          <w:b/>
          <w:bCs/>
          <w:i/>
          <w:iCs/>
          <w:color w:val="000000"/>
          <w:spacing w:val="0"/>
          <w:w w:val="100"/>
          <w:position w:val="0"/>
          <w:sz w:val="16"/>
          <w:szCs w:val="16"/>
          <w:shd w:val="clear" w:color="auto" w:fill="auto"/>
          <w:lang w:val="cs-CZ" w:eastAsia="cs-CZ" w:bidi="cs-CZ"/>
        </w:rPr>
        <w:t>Tabulka pro zpracování ceny plnění bude jako příloha nedílnou součástí Smlouvy o zajištění výkonu TDS na staveništi.</w:t>
      </w:r>
    </w:p>
    <w:p>
      <w:pPr>
        <w:widowControl w:val="0"/>
        <w:spacing w:after="339" w:line="1" w:lineRule="exact"/>
      </w:pPr>
    </w:p>
    <w:p>
      <w:pPr>
        <w:pStyle w:val="Style46"/>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6"/>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6"/>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46"/>
        <w:keepNext w:val="0"/>
        <w:keepLines w:val="0"/>
        <w:widowControl w:val="0"/>
        <w:shd w:val="clear" w:color="auto" w:fill="auto"/>
        <w:bidi w:val="0"/>
        <w:spacing w:before="0" w:after="14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4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10 hodin v kanceláři a 78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46"/>
        <w:keepNext w:val="0"/>
        <w:keepLines w:val="0"/>
        <w:widowControl w:val="0"/>
        <w:shd w:val="clear" w:color="auto" w:fill="auto"/>
        <w:bidi w:val="0"/>
        <w:spacing w:before="0" w:after="44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p>
      <w:pPr>
        <w:pStyle w:val="Style46"/>
        <w:keepNext w:val="0"/>
        <w:keepLines w:val="0"/>
        <w:widowControl w:val="0"/>
        <w:shd w:val="clear" w:color="auto" w:fill="auto"/>
        <w:bidi w:val="0"/>
        <w:spacing w:before="0" w:after="440" w:line="240" w:lineRule="auto"/>
        <w:ind w:left="0" w:right="0" w:firstLine="0"/>
        <w:jc w:val="left"/>
      </w:pPr>
      <w:r>
        <w:rPr>
          <w:b w:val="0"/>
          <w:bCs w:val="0"/>
          <w:i w:val="0"/>
          <w:iCs w:val="0"/>
          <w:color w:val="000000"/>
          <w:spacing w:val="0"/>
          <w:w w:val="100"/>
          <w:position w:val="0"/>
          <w:shd w:val="clear" w:color="auto" w:fill="auto"/>
          <w:lang w:val="cs-CZ" w:eastAsia="cs-CZ" w:bidi="cs-CZ"/>
        </w:rPr>
        <w:t>V Praze dne 24.3.2022</w:t>
      </w:r>
    </w:p>
    <w:p>
      <w:pPr>
        <w:pStyle w:val="Style46"/>
        <w:keepNext w:val="0"/>
        <w:keepLines w:val="0"/>
        <w:widowControl w:val="0"/>
        <w:pBdr>
          <w:top w:val="single" w:sz="4" w:space="0" w:color="auto"/>
        </w:pBdr>
        <w:shd w:val="clear" w:color="auto" w:fill="auto"/>
        <w:bidi w:val="0"/>
        <w:spacing w:before="0" w:after="0" w:line="240" w:lineRule="auto"/>
        <w:ind w:left="7380" w:right="0" w:firstLine="0"/>
        <w:jc w:val="left"/>
      </w:pPr>
      <w:r>
        <w:rPr>
          <w:b w:val="0"/>
          <w:bCs w:val="0"/>
          <w:color w:val="000000"/>
          <w:spacing w:val="0"/>
          <w:w w:val="100"/>
          <w:position w:val="0"/>
          <w:shd w:val="clear" w:color="auto" w:fill="auto"/>
          <w:lang w:val="cs-CZ" w:eastAsia="cs-CZ" w:bidi="cs-CZ"/>
        </w:rPr>
        <w:t>BUNG CZ s.r.o.</w:t>
      </w:r>
    </w:p>
    <w:p>
      <w:pPr>
        <w:pStyle w:val="Style46"/>
        <w:keepNext w:val="0"/>
        <w:keepLines w:val="0"/>
        <w:widowControl w:val="0"/>
        <w:shd w:val="clear" w:color="auto" w:fill="auto"/>
        <w:bidi w:val="0"/>
        <w:spacing w:before="0" w:after="60" w:line="240" w:lineRule="auto"/>
        <w:ind w:left="7220" w:right="0" w:firstLine="0"/>
        <w:jc w:val="left"/>
      </w:pPr>
      <w:r>
        <w:rPr>
          <w:b w:val="0"/>
          <w:bCs w:val="0"/>
          <w:color w:val="000000"/>
          <w:spacing w:val="0"/>
          <w:w w:val="100"/>
          <w:position w:val="0"/>
          <w:shd w:val="clear" w:color="auto" w:fill="auto"/>
          <w:lang w:val="cs-CZ" w:eastAsia="cs-CZ" w:bidi="cs-CZ"/>
        </w:rPr>
        <w:t>Ing. Miroslav Blažek</w:t>
      </w:r>
    </w:p>
    <w:p>
      <w:pPr>
        <w:pStyle w:val="Style46"/>
        <w:keepNext w:val="0"/>
        <w:keepLines w:val="0"/>
        <w:widowControl w:val="0"/>
        <w:shd w:val="clear" w:color="auto" w:fill="auto"/>
        <w:bidi w:val="0"/>
        <w:spacing w:before="0" w:after="40" w:line="240" w:lineRule="auto"/>
        <w:ind w:left="7640" w:right="0" w:firstLine="0"/>
        <w:jc w:val="left"/>
      </w:pPr>
      <w:r>
        <w:rPr>
          <w:b w:val="0"/>
          <w:bCs w:val="0"/>
          <w:color w:val="000000"/>
          <w:spacing w:val="0"/>
          <w:w w:val="100"/>
          <w:position w:val="0"/>
          <w:shd w:val="clear" w:color="auto" w:fill="auto"/>
          <w:lang w:val="cs-CZ" w:eastAsia="cs-CZ" w:bidi="cs-CZ"/>
        </w:rPr>
        <w:t>jednatel</w:t>
      </w:r>
    </w:p>
    <w:sectPr>
      <w:headerReference w:type="default" r:id="rId17"/>
      <w:footerReference w:type="default" r:id="rId18"/>
      <w:headerReference w:type="even" r:id="rId19"/>
      <w:footerReference w:type="even" r:id="rId20"/>
      <w:footnotePr>
        <w:pos w:val="pageBottom"/>
        <w:numFmt w:val="decimal"/>
        <w:numRestart w:val="continuous"/>
      </w:footnotePr>
      <w:pgSz w:w="12240" w:h="15840"/>
      <w:pgMar w:top="665" w:left="1178" w:right="1543" w:bottom="665" w:header="237" w:footer="23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755650</wp:posOffset>
              </wp:positionH>
              <wp:positionV relativeFrom="page">
                <wp:posOffset>9247505</wp:posOffset>
              </wp:positionV>
              <wp:extent cx="6351905" cy="113030"/>
              <wp:wrapNone/>
              <wp:docPr id="13" name="Shape 13"/>
              <a:graphic xmlns:a="http://schemas.openxmlformats.org/drawingml/2006/main">
                <a:graphicData uri="http://schemas.microsoft.com/office/word/2010/wordprocessingShape">
                  <wps:wsp>
                    <wps:cNvSpPr txBox="1"/>
                    <wps:spPr>
                      <a:xfrm>
                        <a:ext cx="6351905" cy="113030"/>
                      </a:xfrm>
                      <a:prstGeom prst="rect"/>
                      <a:noFill/>
                    </wps:spPr>
                    <wps:txbx>
                      <w:txbxContent>
                        <w:p>
                          <w:pPr>
                            <w:pStyle w:val="Style11"/>
                            <w:keepNext w:val="0"/>
                            <w:keepLines w:val="0"/>
                            <w:widowControl w:val="0"/>
                            <w:shd w:val="clear" w:color="auto" w:fill="auto"/>
                            <w:tabs>
                              <w:tab w:pos="10003" w:val="right"/>
                            </w:tabs>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wps:txbx>
                    <wps:bodyPr lIns="0" tIns="0" rIns="0" bIns="0">
                      <a:spAutoFit/>
                    </wps:bodyPr>
                  </wps:wsp>
                </a:graphicData>
              </a:graphic>
            </wp:anchor>
          </w:drawing>
        </mc:Choice>
        <mc:Fallback>
          <w:pict>
            <v:shape id="_x0000_s1039" type="#_x0000_t202" style="position:absolute;margin-left:59.5pt;margin-top:728.14999999999998pt;width:500.14999999999998pt;height:8.9000000000000004pt;z-index:-188744061;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10003" w:val="right"/>
                      </w:tabs>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755650</wp:posOffset>
              </wp:positionH>
              <wp:positionV relativeFrom="page">
                <wp:posOffset>9540240</wp:posOffset>
              </wp:positionV>
              <wp:extent cx="2861945" cy="128270"/>
              <wp:wrapNone/>
              <wp:docPr id="15" name="Shape 15"/>
              <a:graphic xmlns:a="http://schemas.openxmlformats.org/drawingml/2006/main">
                <a:graphicData uri="http://schemas.microsoft.com/office/word/2010/wordprocessingShape">
                  <wps:wsp>
                    <wps:cNvSpPr txBox="1"/>
                    <wps:spPr>
                      <a:xfrm>
                        <a:ext cx="2861945" cy="1282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wps:txbx>
                    <wps:bodyPr wrap="none" lIns="0" tIns="0" rIns="0" bIns="0">
                      <a:spAutoFit/>
                    </wps:bodyPr>
                  </wps:wsp>
                </a:graphicData>
              </a:graphic>
            </wp:anchor>
          </w:drawing>
        </mc:Choice>
        <mc:Fallback>
          <w:pict>
            <v:shape id="_x0000_s1041" type="#_x0000_t202" style="position:absolute;margin-left:59.5pt;margin-top:751.20000000000005pt;width:225.34999999999999pt;height:10.1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9200515</wp:posOffset>
              </wp:positionV>
              <wp:extent cx="6397625" cy="0"/>
              <wp:wrapNone/>
              <wp:docPr id="17" name="Shape 17"/>
              <a:graphic xmlns:a="http://schemas.openxmlformats.org/drawingml/2006/main">
                <a:graphicData uri="http://schemas.microsoft.com/office/word/2010/wordprocessingShape">
                  <wps:wsp>
                    <wps:cNvCnPr/>
                    <wps:spPr>
                      <a:xfrm>
                        <a:ext cx="6397625" cy="0"/>
                      </a:xfrm>
                      <a:prstGeom prst="straightConnector1"/>
                      <a:ln w="12700">
                        <a:solidFill/>
                      </a:ln>
                    </wps:spPr>
                    <wps:bodyPr/>
                  </wps:wsp>
                </a:graphicData>
              </a:graphic>
            </wp:anchor>
          </w:drawing>
        </mc:Choice>
        <mc:Fallback>
          <w:pict>
            <v:shape o:spt="32" o:oned="true" path="m,l21600,21600e" style="position:absolute;margin-left:57.850000000000001pt;margin-top:724.45000000000005pt;width:503.7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755650</wp:posOffset>
              </wp:positionH>
              <wp:positionV relativeFrom="page">
                <wp:posOffset>9247505</wp:posOffset>
              </wp:positionV>
              <wp:extent cx="6351905" cy="113030"/>
              <wp:wrapNone/>
              <wp:docPr id="20" name="Shape 20"/>
              <a:graphic xmlns:a="http://schemas.openxmlformats.org/drawingml/2006/main">
                <a:graphicData uri="http://schemas.microsoft.com/office/word/2010/wordprocessingShape">
                  <wps:wsp>
                    <wps:cNvSpPr txBox="1"/>
                    <wps:spPr>
                      <a:xfrm>
                        <a:ext cx="6351905" cy="113030"/>
                      </a:xfrm>
                      <a:prstGeom prst="rect"/>
                      <a:noFill/>
                    </wps:spPr>
                    <wps:txbx>
                      <w:txbxContent>
                        <w:p>
                          <w:pPr>
                            <w:pStyle w:val="Style11"/>
                            <w:keepNext w:val="0"/>
                            <w:keepLines w:val="0"/>
                            <w:widowControl w:val="0"/>
                            <w:shd w:val="clear" w:color="auto" w:fill="auto"/>
                            <w:tabs>
                              <w:tab w:pos="10003" w:val="right"/>
                            </w:tabs>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wps:txbx>
                    <wps:bodyPr lIns="0" tIns="0" rIns="0" bIns="0">
                      <a:spAutoFit/>
                    </wps:bodyPr>
                  </wps:wsp>
                </a:graphicData>
              </a:graphic>
            </wp:anchor>
          </w:drawing>
        </mc:Choice>
        <mc:Fallback>
          <w:pict>
            <v:shape id="_x0000_s1046" type="#_x0000_t202" style="position:absolute;margin-left:59.5pt;margin-top:728.14999999999998pt;width:500.14999999999998pt;height:8.9000000000000004pt;z-index:-188744055;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10003" w:val="right"/>
                      </w:tabs>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755650</wp:posOffset>
              </wp:positionH>
              <wp:positionV relativeFrom="page">
                <wp:posOffset>9540240</wp:posOffset>
              </wp:positionV>
              <wp:extent cx="2861945" cy="128270"/>
              <wp:wrapNone/>
              <wp:docPr id="22" name="Shape 22"/>
              <a:graphic xmlns:a="http://schemas.openxmlformats.org/drawingml/2006/main">
                <a:graphicData uri="http://schemas.microsoft.com/office/word/2010/wordprocessingShape">
                  <wps:wsp>
                    <wps:cNvSpPr txBox="1"/>
                    <wps:spPr>
                      <a:xfrm>
                        <a:ext cx="2861945" cy="1282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wps:txbx>
                    <wps:bodyPr wrap="none" lIns="0" tIns="0" rIns="0" bIns="0">
                      <a:spAutoFit/>
                    </wps:bodyPr>
                  </wps:wsp>
                </a:graphicData>
              </a:graphic>
            </wp:anchor>
          </w:drawing>
        </mc:Choice>
        <mc:Fallback>
          <w:pict>
            <v:shape id="_x0000_s1048" type="#_x0000_t202" style="position:absolute;margin-left:59.5pt;margin-top:751.20000000000005pt;width:225.34999999999999pt;height:10.1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9200515</wp:posOffset>
              </wp:positionV>
              <wp:extent cx="6397625" cy="0"/>
              <wp:wrapNone/>
              <wp:docPr id="24" name="Shape 24"/>
              <a:graphic xmlns:a="http://schemas.openxmlformats.org/drawingml/2006/main">
                <a:graphicData uri="http://schemas.microsoft.com/office/word/2010/wordprocessingShape">
                  <wps:wsp>
                    <wps:cNvCnPr/>
                    <wps:spPr>
                      <a:xfrm>
                        <a:ext cx="6397625" cy="0"/>
                      </a:xfrm>
                      <a:prstGeom prst="straightConnector1"/>
                      <a:ln w="12700">
                        <a:solidFill/>
                      </a:ln>
                    </wps:spPr>
                    <wps:bodyPr/>
                  </wps:wsp>
                </a:graphicData>
              </a:graphic>
            </wp:anchor>
          </w:drawing>
        </mc:Choice>
        <mc:Fallback>
          <w:pict>
            <v:shape o:spt="32" o:oned="true" path="m,l21600,21600e" style="position:absolute;margin-left:57.850000000000001pt;margin-top:724.45000000000005pt;width:503.7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755650</wp:posOffset>
              </wp:positionH>
              <wp:positionV relativeFrom="page">
                <wp:posOffset>9540240</wp:posOffset>
              </wp:positionV>
              <wp:extent cx="2861945" cy="128270"/>
              <wp:wrapNone/>
              <wp:docPr id="27" name="Shape 27"/>
              <a:graphic xmlns:a="http://schemas.openxmlformats.org/drawingml/2006/main">
                <a:graphicData uri="http://schemas.microsoft.com/office/word/2010/wordprocessingShape">
                  <wps:wsp>
                    <wps:cNvSpPr txBox="1"/>
                    <wps:spPr>
                      <a:xfrm>
                        <a:ext cx="2861945" cy="1282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wps:txbx>
                    <wps:bodyPr wrap="none" lIns="0" tIns="0" rIns="0" bIns="0">
                      <a:spAutoFit/>
                    </wps:bodyPr>
                  </wps:wsp>
                </a:graphicData>
              </a:graphic>
            </wp:anchor>
          </w:drawing>
        </mc:Choice>
        <mc:Fallback>
          <w:pict>
            <v:shape id="_x0000_s1053" type="#_x0000_t202" style="position:absolute;margin-left:59.5pt;margin-top:751.20000000000005pt;width:225.34999999999999pt;height:10.1pt;z-index:-1887440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755650</wp:posOffset>
              </wp:positionH>
              <wp:positionV relativeFrom="page">
                <wp:posOffset>9540240</wp:posOffset>
              </wp:positionV>
              <wp:extent cx="2861945" cy="128270"/>
              <wp:wrapNone/>
              <wp:docPr id="31" name="Shape 31"/>
              <a:graphic xmlns:a="http://schemas.openxmlformats.org/drawingml/2006/main">
                <a:graphicData uri="http://schemas.microsoft.com/office/word/2010/wordprocessingShape">
                  <wps:wsp>
                    <wps:cNvSpPr txBox="1"/>
                    <wps:spPr>
                      <a:xfrm>
                        <a:ext cx="2861945" cy="1282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wps:txbx>
                    <wps:bodyPr wrap="none" lIns="0" tIns="0" rIns="0" bIns="0">
                      <a:spAutoFit/>
                    </wps:bodyPr>
                  </wps:wsp>
                </a:graphicData>
              </a:graphic>
            </wp:anchor>
          </w:drawing>
        </mc:Choice>
        <mc:Fallback>
          <w:pict>
            <v:shape id="_x0000_s1057" type="#_x0000_t202" style="position:absolute;margin-left:59.5pt;margin-top:751.20000000000005pt;width:225.34999999999999pt;height:10.1pt;z-index:-18874404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755650</wp:posOffset>
              </wp:positionH>
              <wp:positionV relativeFrom="page">
                <wp:posOffset>9247505</wp:posOffset>
              </wp:positionV>
              <wp:extent cx="6351905" cy="113030"/>
              <wp:wrapNone/>
              <wp:docPr id="35" name="Shape 35"/>
              <a:graphic xmlns:a="http://schemas.openxmlformats.org/drawingml/2006/main">
                <a:graphicData uri="http://schemas.microsoft.com/office/word/2010/wordprocessingShape">
                  <wps:wsp>
                    <wps:cNvSpPr txBox="1"/>
                    <wps:spPr>
                      <a:xfrm>
                        <a:ext cx="6351905" cy="113030"/>
                      </a:xfrm>
                      <a:prstGeom prst="rect"/>
                      <a:noFill/>
                    </wps:spPr>
                    <wps:txbx>
                      <w:txbxContent>
                        <w:p>
                          <w:pPr>
                            <w:pStyle w:val="Style11"/>
                            <w:keepNext w:val="0"/>
                            <w:keepLines w:val="0"/>
                            <w:widowControl w:val="0"/>
                            <w:shd w:val="clear" w:color="auto" w:fill="auto"/>
                            <w:tabs>
                              <w:tab w:pos="10003" w:val="right"/>
                            </w:tabs>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wps:txbx>
                    <wps:bodyPr lIns="0" tIns="0" rIns="0" bIns="0">
                      <a:spAutoFit/>
                    </wps:bodyPr>
                  </wps:wsp>
                </a:graphicData>
              </a:graphic>
            </wp:anchor>
          </w:drawing>
        </mc:Choice>
        <mc:Fallback>
          <w:pict>
            <v:shape id="_x0000_s1061" type="#_x0000_t202" style="position:absolute;margin-left:59.5pt;margin-top:728.14999999999998pt;width:500.14999999999998pt;height:8.9000000000000004pt;z-index:-188744041;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10003" w:val="right"/>
                      </w:tabs>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755650</wp:posOffset>
              </wp:positionH>
              <wp:positionV relativeFrom="page">
                <wp:posOffset>9540240</wp:posOffset>
              </wp:positionV>
              <wp:extent cx="2861945" cy="128270"/>
              <wp:wrapNone/>
              <wp:docPr id="37" name="Shape 37"/>
              <a:graphic xmlns:a="http://schemas.openxmlformats.org/drawingml/2006/main">
                <a:graphicData uri="http://schemas.microsoft.com/office/word/2010/wordprocessingShape">
                  <wps:wsp>
                    <wps:cNvSpPr txBox="1"/>
                    <wps:spPr>
                      <a:xfrm>
                        <a:ext cx="2861945" cy="1282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wps:txbx>
                    <wps:bodyPr wrap="none" lIns="0" tIns="0" rIns="0" bIns="0">
                      <a:spAutoFit/>
                    </wps:bodyPr>
                  </wps:wsp>
                </a:graphicData>
              </a:graphic>
            </wp:anchor>
          </w:drawing>
        </mc:Choice>
        <mc:Fallback>
          <w:pict>
            <v:shape id="_x0000_s1063" type="#_x0000_t202" style="position:absolute;margin-left:59.5pt;margin-top:751.20000000000005pt;width:225.34999999999999pt;height:10.1pt;z-index:-18874403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9200515</wp:posOffset>
              </wp:positionV>
              <wp:extent cx="6397625" cy="0"/>
              <wp:wrapNone/>
              <wp:docPr id="39" name="Shape 39"/>
              <a:graphic xmlns:a="http://schemas.openxmlformats.org/drawingml/2006/main">
                <a:graphicData uri="http://schemas.microsoft.com/office/word/2010/wordprocessingShape">
                  <wps:wsp>
                    <wps:cNvCnPr/>
                    <wps:spPr>
                      <a:xfrm>
                        <a:ext cx="6397625" cy="0"/>
                      </a:xfrm>
                      <a:prstGeom prst="straightConnector1"/>
                      <a:ln w="12700">
                        <a:solidFill/>
                      </a:ln>
                    </wps:spPr>
                    <wps:bodyPr/>
                  </wps:wsp>
                </a:graphicData>
              </a:graphic>
            </wp:anchor>
          </w:drawing>
        </mc:Choice>
        <mc:Fallback>
          <w:pict>
            <v:shape o:spt="32" o:oned="true" path="m,l21600,21600e" style="position:absolute;margin-left:57.850000000000001pt;margin-top:724.45000000000005pt;width:503.75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755650</wp:posOffset>
              </wp:positionH>
              <wp:positionV relativeFrom="page">
                <wp:posOffset>9247505</wp:posOffset>
              </wp:positionV>
              <wp:extent cx="6351905" cy="113030"/>
              <wp:wrapNone/>
              <wp:docPr id="40" name="Shape 40"/>
              <a:graphic xmlns:a="http://schemas.openxmlformats.org/drawingml/2006/main">
                <a:graphicData uri="http://schemas.microsoft.com/office/word/2010/wordprocessingShape">
                  <wps:wsp>
                    <wps:cNvSpPr txBox="1"/>
                    <wps:spPr>
                      <a:xfrm>
                        <a:ext cx="6351905" cy="113030"/>
                      </a:xfrm>
                      <a:prstGeom prst="rect"/>
                      <a:noFill/>
                    </wps:spPr>
                    <wps:txbx>
                      <w:txbxContent>
                        <w:p>
                          <w:pPr>
                            <w:pStyle w:val="Style11"/>
                            <w:keepNext w:val="0"/>
                            <w:keepLines w:val="0"/>
                            <w:widowControl w:val="0"/>
                            <w:shd w:val="clear" w:color="auto" w:fill="auto"/>
                            <w:tabs>
                              <w:tab w:pos="10003" w:val="right"/>
                            </w:tabs>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wps:txbx>
                    <wps:bodyPr lIns="0" tIns="0" rIns="0" bIns="0">
                      <a:spAutoFit/>
                    </wps:bodyPr>
                  </wps:wsp>
                </a:graphicData>
              </a:graphic>
            </wp:anchor>
          </w:drawing>
        </mc:Choice>
        <mc:Fallback>
          <w:pict>
            <v:shape id="_x0000_s1066" type="#_x0000_t202" style="position:absolute;margin-left:59.5pt;margin-top:728.14999999999998pt;width:500.14999999999998pt;height:8.9000000000000004pt;z-index:-188744037;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10003" w:val="right"/>
                      </w:tabs>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755650</wp:posOffset>
              </wp:positionH>
              <wp:positionV relativeFrom="page">
                <wp:posOffset>9540240</wp:posOffset>
              </wp:positionV>
              <wp:extent cx="2861945" cy="128270"/>
              <wp:wrapNone/>
              <wp:docPr id="42" name="Shape 42"/>
              <a:graphic xmlns:a="http://schemas.openxmlformats.org/drawingml/2006/main">
                <a:graphicData uri="http://schemas.microsoft.com/office/word/2010/wordprocessingShape">
                  <wps:wsp>
                    <wps:cNvSpPr txBox="1"/>
                    <wps:spPr>
                      <a:xfrm>
                        <a:ext cx="2861945" cy="1282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wps:txbx>
                    <wps:bodyPr wrap="none" lIns="0" tIns="0" rIns="0" bIns="0">
                      <a:spAutoFit/>
                    </wps:bodyPr>
                  </wps:wsp>
                </a:graphicData>
              </a:graphic>
            </wp:anchor>
          </w:drawing>
        </mc:Choice>
        <mc:Fallback>
          <w:pict>
            <v:shape id="_x0000_s1068" type="#_x0000_t202" style="position:absolute;margin-left:59.5pt;margin-top:751.20000000000005pt;width:225.34999999999999pt;height:10.1pt;z-index:-18874403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 xml:space="preserve">akce: </w:t>
                    </w:r>
                    <w:r>
                      <w:rPr>
                        <w:color w:val="000000"/>
                        <w:spacing w:val="0"/>
                        <w:w w:val="100"/>
                        <w:position w:val="0"/>
                        <w:shd w:val="clear" w:color="auto" w:fill="auto"/>
                        <w:lang w:val="cs-CZ" w:eastAsia="cs-CZ" w:bidi="cs-CZ"/>
                      </w:rPr>
                      <w:t>III/1311 Jihlava ul. Smrčenská most ev. č. 1311-1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9200515</wp:posOffset>
              </wp:positionV>
              <wp:extent cx="6397625" cy="0"/>
              <wp:wrapNone/>
              <wp:docPr id="44" name="Shape 44"/>
              <a:graphic xmlns:a="http://schemas.openxmlformats.org/drawingml/2006/main">
                <a:graphicData uri="http://schemas.microsoft.com/office/word/2010/wordprocessingShape">
                  <wps:wsp>
                    <wps:cNvCnPr/>
                    <wps:spPr>
                      <a:xfrm>
                        <a:ext cx="6397625" cy="0"/>
                      </a:xfrm>
                      <a:prstGeom prst="straightConnector1"/>
                      <a:ln w="12700">
                        <a:solidFill/>
                      </a:ln>
                    </wps:spPr>
                    <wps:bodyPr/>
                  </wps:wsp>
                </a:graphicData>
              </a:graphic>
            </wp:anchor>
          </w:drawing>
        </mc:Choice>
        <mc:Fallback>
          <w:pict>
            <v:shape o:spt="32" o:oned="true" path="m,l21600,21600e" style="position:absolute;margin-left:57.850000000000001pt;margin-top:724.45000000000005pt;width:503.75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3432175</wp:posOffset>
              </wp:positionH>
              <wp:positionV relativeFrom="page">
                <wp:posOffset>91440</wp:posOffset>
              </wp:positionV>
              <wp:extent cx="999490" cy="575945"/>
              <wp:wrapNone/>
              <wp:docPr id="11" name="Shape 11"/>
              <a:graphic xmlns:a="http://schemas.openxmlformats.org/drawingml/2006/main">
                <a:graphicData uri="http://schemas.microsoft.com/office/word/2010/wordprocessingShape">
                  <wps:wsp>
                    <wps:cNvSpPr txBox="1"/>
                    <wps:spPr>
                      <a:xfrm>
                        <a:ext cx="999490" cy="5759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52"/>
                              <w:szCs w:val="52"/>
                            </w:rPr>
                          </w:pPr>
                          <w:r>
                            <w:rPr>
                              <w:rFonts w:ascii="Verdana" w:eastAsia="Verdana" w:hAnsi="Verdana" w:cs="Verdana"/>
                              <w:b/>
                              <w:bCs/>
                              <w:color w:val="385573"/>
                              <w:spacing w:val="0"/>
                              <w:w w:val="100"/>
                              <w:position w:val="0"/>
                              <w:sz w:val="52"/>
                              <w:szCs w:val="52"/>
                              <w:shd w:val="clear" w:color="auto" w:fill="auto"/>
                              <w:lang w:val="cs-CZ" w:eastAsia="cs-CZ" w:bidi="cs-CZ"/>
                            </w:rPr>
                            <w:t>Ssfdi</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STÁTNÍ FOND DOPRAVNÍ</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37" type="#_x0000_t202" style="position:absolute;margin-left:270.25pt;margin-top:7.2000000000000002pt;width:78.700000000000003pt;height:45.350000000000001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52"/>
                        <w:szCs w:val="52"/>
                      </w:rPr>
                    </w:pPr>
                    <w:r>
                      <w:rPr>
                        <w:rFonts w:ascii="Verdana" w:eastAsia="Verdana" w:hAnsi="Verdana" w:cs="Verdana"/>
                        <w:b/>
                        <w:bCs/>
                        <w:color w:val="385573"/>
                        <w:spacing w:val="0"/>
                        <w:w w:val="100"/>
                        <w:position w:val="0"/>
                        <w:sz w:val="52"/>
                        <w:szCs w:val="52"/>
                        <w:shd w:val="clear" w:color="auto" w:fill="auto"/>
                        <w:lang w:val="cs-CZ" w:eastAsia="cs-CZ" w:bidi="cs-CZ"/>
                      </w:rPr>
                      <w:t>Ssfdi</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STÁTNÍ FOND DOPRAVNÍ</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INFRASTRUKTURY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3432175</wp:posOffset>
              </wp:positionH>
              <wp:positionV relativeFrom="page">
                <wp:posOffset>91440</wp:posOffset>
              </wp:positionV>
              <wp:extent cx="999490" cy="575945"/>
              <wp:wrapNone/>
              <wp:docPr id="18" name="Shape 18"/>
              <a:graphic xmlns:a="http://schemas.openxmlformats.org/drawingml/2006/main">
                <a:graphicData uri="http://schemas.microsoft.com/office/word/2010/wordprocessingShape">
                  <wps:wsp>
                    <wps:cNvSpPr txBox="1"/>
                    <wps:spPr>
                      <a:xfrm>
                        <a:ext cx="999490" cy="5759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52"/>
                              <w:szCs w:val="52"/>
                            </w:rPr>
                          </w:pPr>
                          <w:r>
                            <w:rPr>
                              <w:rFonts w:ascii="Verdana" w:eastAsia="Verdana" w:hAnsi="Verdana" w:cs="Verdana"/>
                              <w:b/>
                              <w:bCs/>
                              <w:color w:val="385573"/>
                              <w:spacing w:val="0"/>
                              <w:w w:val="100"/>
                              <w:position w:val="0"/>
                              <w:sz w:val="52"/>
                              <w:szCs w:val="52"/>
                              <w:shd w:val="clear" w:color="auto" w:fill="auto"/>
                              <w:lang w:val="cs-CZ" w:eastAsia="cs-CZ" w:bidi="cs-CZ"/>
                            </w:rPr>
                            <w:t>Ssfdi</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STÁTNÍ FOND DOPRAVNÍ</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44" type="#_x0000_t202" style="position:absolute;margin-left:270.25pt;margin-top:7.2000000000000002pt;width:78.700000000000003pt;height:45.350000000000001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52"/>
                        <w:szCs w:val="52"/>
                      </w:rPr>
                    </w:pPr>
                    <w:r>
                      <w:rPr>
                        <w:rFonts w:ascii="Verdana" w:eastAsia="Verdana" w:hAnsi="Verdana" w:cs="Verdana"/>
                        <w:b/>
                        <w:bCs/>
                        <w:color w:val="385573"/>
                        <w:spacing w:val="0"/>
                        <w:w w:val="100"/>
                        <w:position w:val="0"/>
                        <w:sz w:val="52"/>
                        <w:szCs w:val="52"/>
                        <w:shd w:val="clear" w:color="auto" w:fill="auto"/>
                        <w:lang w:val="cs-CZ" w:eastAsia="cs-CZ" w:bidi="cs-CZ"/>
                      </w:rPr>
                      <w:t>Ssfdi</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STÁTNÍ FOND DOPRAVNÍ</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INFRASTRUKTURY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3432175</wp:posOffset>
              </wp:positionH>
              <wp:positionV relativeFrom="page">
                <wp:posOffset>91440</wp:posOffset>
              </wp:positionV>
              <wp:extent cx="999490" cy="575945"/>
              <wp:wrapNone/>
              <wp:docPr id="25" name="Shape 25"/>
              <a:graphic xmlns:a="http://schemas.openxmlformats.org/drawingml/2006/main">
                <a:graphicData uri="http://schemas.microsoft.com/office/word/2010/wordprocessingShape">
                  <wps:wsp>
                    <wps:cNvSpPr txBox="1"/>
                    <wps:spPr>
                      <a:xfrm>
                        <a:ext cx="999490" cy="5759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52"/>
                              <w:szCs w:val="52"/>
                            </w:rPr>
                          </w:pPr>
                          <w:r>
                            <w:rPr>
                              <w:rFonts w:ascii="Verdana" w:eastAsia="Verdana" w:hAnsi="Verdana" w:cs="Verdana"/>
                              <w:b/>
                              <w:bCs/>
                              <w:color w:val="385573"/>
                              <w:spacing w:val="0"/>
                              <w:w w:val="100"/>
                              <w:position w:val="0"/>
                              <w:sz w:val="52"/>
                              <w:szCs w:val="52"/>
                              <w:shd w:val="clear" w:color="auto" w:fill="auto"/>
                              <w:lang w:val="cs-CZ" w:eastAsia="cs-CZ" w:bidi="cs-CZ"/>
                            </w:rPr>
                            <w:t>Ssfdi</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STÁTNÍ FOND DOPRAVNÍ</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51" type="#_x0000_t202" style="position:absolute;margin-left:270.25pt;margin-top:7.2000000000000002pt;width:78.700000000000003pt;height:45.350000000000001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52"/>
                        <w:szCs w:val="52"/>
                      </w:rPr>
                    </w:pPr>
                    <w:r>
                      <w:rPr>
                        <w:rFonts w:ascii="Verdana" w:eastAsia="Verdana" w:hAnsi="Verdana" w:cs="Verdana"/>
                        <w:b/>
                        <w:bCs/>
                        <w:color w:val="385573"/>
                        <w:spacing w:val="0"/>
                        <w:w w:val="100"/>
                        <w:position w:val="0"/>
                        <w:sz w:val="52"/>
                        <w:szCs w:val="52"/>
                        <w:shd w:val="clear" w:color="auto" w:fill="auto"/>
                        <w:lang w:val="cs-CZ" w:eastAsia="cs-CZ" w:bidi="cs-CZ"/>
                      </w:rPr>
                      <w:t>Ssfdi</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STÁTNÍ FOND DOPRAVNÍ</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INFRASTRUKTURY</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3432175</wp:posOffset>
              </wp:positionH>
              <wp:positionV relativeFrom="page">
                <wp:posOffset>91440</wp:posOffset>
              </wp:positionV>
              <wp:extent cx="999490" cy="575945"/>
              <wp:wrapNone/>
              <wp:docPr id="29" name="Shape 29"/>
              <a:graphic xmlns:a="http://schemas.openxmlformats.org/drawingml/2006/main">
                <a:graphicData uri="http://schemas.microsoft.com/office/word/2010/wordprocessingShape">
                  <wps:wsp>
                    <wps:cNvSpPr txBox="1"/>
                    <wps:spPr>
                      <a:xfrm>
                        <a:ext cx="999490" cy="5759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52"/>
                              <w:szCs w:val="52"/>
                            </w:rPr>
                          </w:pPr>
                          <w:r>
                            <w:rPr>
                              <w:rFonts w:ascii="Verdana" w:eastAsia="Verdana" w:hAnsi="Verdana" w:cs="Verdana"/>
                              <w:b/>
                              <w:bCs/>
                              <w:color w:val="385573"/>
                              <w:spacing w:val="0"/>
                              <w:w w:val="100"/>
                              <w:position w:val="0"/>
                              <w:sz w:val="52"/>
                              <w:szCs w:val="52"/>
                              <w:shd w:val="clear" w:color="auto" w:fill="auto"/>
                              <w:lang w:val="cs-CZ" w:eastAsia="cs-CZ" w:bidi="cs-CZ"/>
                            </w:rPr>
                            <w:t>Ssfdi</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STÁTNÍ FOND DOPRAVNÍ</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55" type="#_x0000_t202" style="position:absolute;margin-left:270.25pt;margin-top:7.2000000000000002pt;width:78.700000000000003pt;height:45.350000000000001pt;z-index:-18874404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52"/>
                        <w:szCs w:val="52"/>
                      </w:rPr>
                    </w:pPr>
                    <w:r>
                      <w:rPr>
                        <w:rFonts w:ascii="Verdana" w:eastAsia="Verdana" w:hAnsi="Verdana" w:cs="Verdana"/>
                        <w:b/>
                        <w:bCs/>
                        <w:color w:val="385573"/>
                        <w:spacing w:val="0"/>
                        <w:w w:val="100"/>
                        <w:position w:val="0"/>
                        <w:sz w:val="52"/>
                        <w:szCs w:val="52"/>
                        <w:shd w:val="clear" w:color="auto" w:fill="auto"/>
                        <w:lang w:val="cs-CZ" w:eastAsia="cs-CZ" w:bidi="cs-CZ"/>
                      </w:rPr>
                      <w:t>Ssfdi</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STÁTNÍ FOND DOPRAVNÍ</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INFRASTRUKTURY</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3432175</wp:posOffset>
              </wp:positionH>
              <wp:positionV relativeFrom="page">
                <wp:posOffset>91440</wp:posOffset>
              </wp:positionV>
              <wp:extent cx="999490" cy="575945"/>
              <wp:wrapNone/>
              <wp:docPr id="33" name="Shape 33"/>
              <a:graphic xmlns:a="http://schemas.openxmlformats.org/drawingml/2006/main">
                <a:graphicData uri="http://schemas.microsoft.com/office/word/2010/wordprocessingShape">
                  <wps:wsp>
                    <wps:cNvSpPr txBox="1"/>
                    <wps:spPr>
                      <a:xfrm>
                        <a:ext cx="999490" cy="5759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52"/>
                              <w:szCs w:val="52"/>
                            </w:rPr>
                          </w:pPr>
                          <w:r>
                            <w:rPr>
                              <w:rFonts w:ascii="Verdana" w:eastAsia="Verdana" w:hAnsi="Verdana" w:cs="Verdana"/>
                              <w:b/>
                              <w:bCs/>
                              <w:color w:val="385573"/>
                              <w:spacing w:val="0"/>
                              <w:w w:val="100"/>
                              <w:position w:val="0"/>
                              <w:sz w:val="52"/>
                              <w:szCs w:val="52"/>
                              <w:shd w:val="clear" w:color="auto" w:fill="auto"/>
                              <w:lang w:val="cs-CZ" w:eastAsia="cs-CZ" w:bidi="cs-CZ"/>
                            </w:rPr>
                            <w:t>Ssfdi</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STÁTNÍ FOND DOPRAVNÍ</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59" type="#_x0000_t202" style="position:absolute;margin-left:270.25pt;margin-top:7.2000000000000002pt;width:78.700000000000003pt;height:45.350000000000001pt;z-index:-18874404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52"/>
                        <w:szCs w:val="52"/>
                      </w:rPr>
                    </w:pPr>
                    <w:r>
                      <w:rPr>
                        <w:rFonts w:ascii="Verdana" w:eastAsia="Verdana" w:hAnsi="Verdana" w:cs="Verdana"/>
                        <w:b/>
                        <w:bCs/>
                        <w:color w:val="385573"/>
                        <w:spacing w:val="0"/>
                        <w:w w:val="100"/>
                        <w:position w:val="0"/>
                        <w:sz w:val="52"/>
                        <w:szCs w:val="52"/>
                        <w:shd w:val="clear" w:color="auto" w:fill="auto"/>
                        <w:lang w:val="cs-CZ" w:eastAsia="cs-CZ" w:bidi="cs-CZ"/>
                      </w:rPr>
                      <w:t>Ssfdi</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STÁTNÍ FOND DOPRAVNÍ</w:t>
                    </w:r>
                  </w:p>
                  <w:p>
                    <w:pPr>
                      <w:pStyle w:val="Style1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385573"/>
                        <w:spacing w:val="0"/>
                        <w:w w:val="100"/>
                        <w:position w:val="0"/>
                        <w:sz w:val="13"/>
                        <w:szCs w:val="13"/>
                        <w:shd w:val="clear" w:color="auto" w:fill="auto"/>
                        <w:lang w:val="cs-CZ" w:eastAsia="cs-CZ" w:bidi="cs-CZ"/>
                      </w:rPr>
                      <w:t>INFRASTRUKTURY</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3"/>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Titulek tabulky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u w:val="none"/>
    </w:rPr>
  </w:style>
  <w:style w:type="character" w:customStyle="1" w:styleId="CharStyle10">
    <w:name w:val="Základní text (6)_"/>
    <w:basedOn w:val="DefaultParagraphFont"/>
    <w:link w:val="Style9"/>
    <w:rPr>
      <w:rFonts w:ascii="Times New Roman" w:eastAsia="Times New Roman" w:hAnsi="Times New Roman" w:cs="Times New Roman"/>
      <w:b/>
      <w:bCs/>
      <w:i w:val="0"/>
      <w:iCs w:val="0"/>
      <w:smallCaps w:val="0"/>
      <w:strike w:val="0"/>
      <w:sz w:val="40"/>
      <w:szCs w:val="40"/>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Základní text (4)_"/>
    <w:basedOn w:val="DefaultParagraphFont"/>
    <w:link w:val="Style17"/>
    <w:rPr>
      <w:rFonts w:ascii="Calibri" w:eastAsia="Calibri" w:hAnsi="Calibri" w:cs="Calibri"/>
      <w:b/>
      <w:bCs/>
      <w:i w:val="0"/>
      <w:iCs w:val="0"/>
      <w:smallCaps w:val="0"/>
      <w:strike w:val="0"/>
      <w:sz w:val="24"/>
      <w:szCs w:val="24"/>
      <w:u w:val="none"/>
    </w:rPr>
  </w:style>
  <w:style w:type="character" w:customStyle="1" w:styleId="CharStyle26">
    <w:name w:val="Nadpis #2_"/>
    <w:basedOn w:val="DefaultParagraphFont"/>
    <w:link w:val="Style25"/>
    <w:rPr>
      <w:rFonts w:ascii="Times New Roman" w:eastAsia="Times New Roman" w:hAnsi="Times New Roman" w:cs="Times New Roman"/>
      <w:b/>
      <w:bCs/>
      <w:i w:val="0"/>
      <w:iCs w:val="0"/>
      <w:smallCaps w:val="0"/>
      <w:strike w:val="0"/>
      <w:u w:val="none"/>
    </w:rPr>
  </w:style>
  <w:style w:type="character" w:customStyle="1" w:styleId="CharStyle32">
    <w:name w:val="Nadpis #1_"/>
    <w:basedOn w:val="DefaultParagraphFont"/>
    <w:link w:val="Style31"/>
    <w:rPr>
      <w:rFonts w:ascii="Verdana" w:eastAsia="Verdana" w:hAnsi="Verdana" w:cs="Verdana"/>
      <w:b/>
      <w:bCs/>
      <w:i w:val="0"/>
      <w:iCs w:val="0"/>
      <w:smallCaps w:val="0"/>
      <w:strike w:val="0"/>
      <w:color w:val="385573"/>
      <w:sz w:val="52"/>
      <w:szCs w:val="52"/>
      <w:u w:val="none"/>
    </w:rPr>
  </w:style>
  <w:style w:type="character" w:customStyle="1" w:styleId="CharStyle34">
    <w:name w:val="Základní text (5)_"/>
    <w:basedOn w:val="DefaultParagraphFont"/>
    <w:link w:val="Style33"/>
    <w:rPr>
      <w:rFonts w:ascii="Arial" w:eastAsia="Arial" w:hAnsi="Arial" w:cs="Arial"/>
      <w:b w:val="0"/>
      <w:bCs w:val="0"/>
      <w:i w:val="0"/>
      <w:iCs w:val="0"/>
      <w:smallCaps w:val="0"/>
      <w:strike w:val="0"/>
      <w:color w:val="385573"/>
      <w:sz w:val="13"/>
      <w:szCs w:val="13"/>
      <w:u w:val="none"/>
    </w:rPr>
  </w:style>
  <w:style w:type="character" w:customStyle="1" w:styleId="CharStyle38">
    <w:name w:val="Základní text (3)_"/>
    <w:basedOn w:val="DefaultParagraphFont"/>
    <w:link w:val="Style37"/>
    <w:rPr>
      <w:rFonts w:ascii="Times New Roman" w:eastAsia="Times New Roman" w:hAnsi="Times New Roman" w:cs="Times New Roman"/>
      <w:b w:val="0"/>
      <w:bCs w:val="0"/>
      <w:i w:val="0"/>
      <w:iCs w:val="0"/>
      <w:smallCaps w:val="0"/>
      <w:strike w:val="0"/>
      <w:sz w:val="20"/>
      <w:szCs w:val="20"/>
      <w:u w:val="none"/>
    </w:rPr>
  </w:style>
  <w:style w:type="character" w:customStyle="1" w:styleId="CharStyle47">
    <w:name w:val="Základní text (2)_"/>
    <w:basedOn w:val="DefaultParagraphFont"/>
    <w:link w:val="Style46"/>
    <w:rPr>
      <w:rFonts w:ascii="Times New Roman" w:eastAsia="Times New Roman" w:hAnsi="Times New Roman" w:cs="Times New Roman"/>
      <w:b/>
      <w:bCs/>
      <w:i/>
      <w:iCs/>
      <w:smallCaps w:val="0"/>
      <w:strike w:val="0"/>
      <w:sz w:val="16"/>
      <w:szCs w:val="16"/>
      <w:u w:val="none"/>
    </w:rPr>
  </w:style>
  <w:style w:type="paragraph" w:customStyle="1" w:styleId="Style2">
    <w:name w:val="Jiné"/>
    <w:basedOn w:val="Normal"/>
    <w:link w:val="CharStyle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6">
    <w:name w:val="Základní text"/>
    <w:basedOn w:val="Normal"/>
    <w:link w:val="CharStyle7"/>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9">
    <w:name w:val="Základní text (6)"/>
    <w:basedOn w:val="Normal"/>
    <w:link w:val="CharStyle10"/>
    <w:pPr>
      <w:widowControl w:val="0"/>
      <w:shd w:val="clear" w:color="auto" w:fill="FFFFFF"/>
      <w:spacing w:after="380"/>
      <w:jc w:val="center"/>
    </w:pPr>
    <w:rPr>
      <w:rFonts w:ascii="Times New Roman" w:eastAsia="Times New Roman" w:hAnsi="Times New Roman" w:cs="Times New Roman"/>
      <w:b/>
      <w:bCs/>
      <w:i w:val="0"/>
      <w:iCs w:val="0"/>
      <w:smallCaps w:val="0"/>
      <w:strike w:val="0"/>
      <w:sz w:val="40"/>
      <w:szCs w:val="40"/>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Základní text (4)"/>
    <w:basedOn w:val="Normal"/>
    <w:link w:val="CharStyle18"/>
    <w:pPr>
      <w:widowControl w:val="0"/>
      <w:shd w:val="clear" w:color="auto" w:fill="FFFFFF"/>
      <w:spacing w:after="380" w:line="216" w:lineRule="auto"/>
      <w:jc w:val="center"/>
    </w:pPr>
    <w:rPr>
      <w:rFonts w:ascii="Calibri" w:eastAsia="Calibri" w:hAnsi="Calibri" w:cs="Calibri"/>
      <w:b/>
      <w:bCs/>
      <w:i w:val="0"/>
      <w:iCs w:val="0"/>
      <w:smallCaps w:val="0"/>
      <w:strike w:val="0"/>
      <w:sz w:val="24"/>
      <w:szCs w:val="24"/>
      <w:u w:val="none"/>
    </w:rPr>
  </w:style>
  <w:style w:type="paragraph" w:customStyle="1" w:styleId="Style25">
    <w:name w:val="Nadpis #2"/>
    <w:basedOn w:val="Normal"/>
    <w:link w:val="CharStyle26"/>
    <w:pPr>
      <w:widowControl w:val="0"/>
      <w:shd w:val="clear" w:color="auto" w:fill="FFFFFF"/>
      <w:spacing w:after="120"/>
      <w:jc w:val="center"/>
      <w:outlineLvl w:val="1"/>
    </w:pPr>
    <w:rPr>
      <w:rFonts w:ascii="Times New Roman" w:eastAsia="Times New Roman" w:hAnsi="Times New Roman" w:cs="Times New Roman"/>
      <w:b/>
      <w:bCs/>
      <w:i w:val="0"/>
      <w:iCs w:val="0"/>
      <w:smallCaps w:val="0"/>
      <w:strike w:val="0"/>
      <w:u w:val="none"/>
    </w:rPr>
  </w:style>
  <w:style w:type="paragraph" w:customStyle="1" w:styleId="Style31">
    <w:name w:val="Nadpis #1"/>
    <w:basedOn w:val="Normal"/>
    <w:link w:val="CharStyle32"/>
    <w:pPr>
      <w:widowControl w:val="0"/>
      <w:shd w:val="clear" w:color="auto" w:fill="FFFFFF"/>
      <w:jc w:val="center"/>
      <w:outlineLvl w:val="0"/>
    </w:pPr>
    <w:rPr>
      <w:rFonts w:ascii="Verdana" w:eastAsia="Verdana" w:hAnsi="Verdana" w:cs="Verdana"/>
      <w:b/>
      <w:bCs/>
      <w:i w:val="0"/>
      <w:iCs w:val="0"/>
      <w:smallCaps w:val="0"/>
      <w:strike w:val="0"/>
      <w:color w:val="385573"/>
      <w:sz w:val="52"/>
      <w:szCs w:val="52"/>
      <w:u w:val="none"/>
    </w:rPr>
  </w:style>
  <w:style w:type="paragraph" w:customStyle="1" w:styleId="Style33">
    <w:name w:val="Základní text (5)"/>
    <w:basedOn w:val="Normal"/>
    <w:link w:val="CharStyle34"/>
    <w:pPr>
      <w:widowControl w:val="0"/>
      <w:shd w:val="clear" w:color="auto" w:fill="FFFFFF"/>
      <w:ind w:left="4190" w:firstLine="40"/>
    </w:pPr>
    <w:rPr>
      <w:rFonts w:ascii="Arial" w:eastAsia="Arial" w:hAnsi="Arial" w:cs="Arial"/>
      <w:b w:val="0"/>
      <w:bCs w:val="0"/>
      <w:i w:val="0"/>
      <w:iCs w:val="0"/>
      <w:smallCaps w:val="0"/>
      <w:strike w:val="0"/>
      <w:color w:val="385573"/>
      <w:sz w:val="13"/>
      <w:szCs w:val="13"/>
      <w:u w:val="none"/>
    </w:rPr>
  </w:style>
  <w:style w:type="paragraph" w:customStyle="1" w:styleId="Style37">
    <w:name w:val="Základní text (3)"/>
    <w:basedOn w:val="Normal"/>
    <w:link w:val="CharStyle38"/>
    <w:pPr>
      <w:widowControl w:val="0"/>
      <w:shd w:val="clear" w:color="auto" w:fill="FFFFFF"/>
      <w:spacing w:after="240"/>
    </w:pPr>
    <w:rPr>
      <w:rFonts w:ascii="Times New Roman" w:eastAsia="Times New Roman" w:hAnsi="Times New Roman" w:cs="Times New Roman"/>
      <w:b w:val="0"/>
      <w:bCs w:val="0"/>
      <w:i w:val="0"/>
      <w:iCs w:val="0"/>
      <w:smallCaps w:val="0"/>
      <w:strike w:val="0"/>
      <w:sz w:val="20"/>
      <w:szCs w:val="20"/>
      <w:u w:val="none"/>
    </w:rPr>
  </w:style>
  <w:style w:type="paragraph" w:customStyle="1" w:styleId="Style46">
    <w:name w:val="Základní text (2)"/>
    <w:basedOn w:val="Normal"/>
    <w:link w:val="CharStyle47"/>
    <w:pPr>
      <w:widowControl w:val="0"/>
      <w:shd w:val="clear" w:color="auto" w:fill="FFFFFF"/>
      <w:spacing w:after="20" w:line="276" w:lineRule="auto"/>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s>
</file>