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Smlouva o ozvučení a technickém zajištění kulturních akcí </w:t>
      </w:r>
    </w:p>
    <w:p w:rsidR="00BD2F43" w:rsidRDefault="00BD2F43">
      <w:pPr>
        <w:widowControl w:val="0"/>
        <w:pBdr>
          <w:top w:val="nil"/>
          <w:left w:val="nil"/>
          <w:bottom w:val="nil"/>
          <w:right w:val="nil"/>
          <w:between w:val="nil"/>
        </w:pBdr>
        <w:spacing w:line="240" w:lineRule="auto"/>
        <w:ind w:right="28"/>
        <w:jc w:val="center"/>
        <w:rPr>
          <w:b/>
          <w:sz w:val="24"/>
          <w:szCs w:val="24"/>
        </w:rPr>
      </w:pPr>
    </w:p>
    <w:p w:rsidR="00BD2F43" w:rsidRDefault="00BD2F43">
      <w:pPr>
        <w:widowControl w:val="0"/>
        <w:pBdr>
          <w:top w:val="nil"/>
          <w:left w:val="nil"/>
          <w:bottom w:val="nil"/>
          <w:right w:val="nil"/>
          <w:between w:val="nil"/>
        </w:pBdr>
        <w:spacing w:line="240" w:lineRule="auto"/>
        <w:ind w:right="28"/>
        <w:jc w:val="center"/>
        <w:rPr>
          <w:b/>
          <w:sz w:val="24"/>
          <w:szCs w:val="24"/>
        </w:rPr>
      </w:pPr>
    </w:p>
    <w:p w:rsidR="00BD2F43" w:rsidRDefault="00AB2B2C">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IČ: 0371769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sídlem: </w:t>
      </w:r>
      <w:proofErr w:type="spellStart"/>
      <w:r>
        <w:rPr>
          <w:sz w:val="24"/>
          <w:szCs w:val="24"/>
        </w:rPr>
        <w:t>Svitavská</w:t>
      </w:r>
      <w:proofErr w:type="spellEnd"/>
      <w:r>
        <w:rPr>
          <w:sz w:val="24"/>
          <w:szCs w:val="24"/>
        </w:rPr>
        <w:t xml:space="preserve"> 18, 571 01 Moravská Třebová</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rPr>
          <w:b/>
          <w:sz w:val="24"/>
          <w:szCs w:val="24"/>
        </w:rPr>
      </w:pPr>
      <w:proofErr w:type="spellStart"/>
      <w:r>
        <w:rPr>
          <w:b/>
          <w:sz w:val="24"/>
          <w:szCs w:val="24"/>
        </w:rPr>
        <w:t>LAsound</w:t>
      </w:r>
      <w:proofErr w:type="spellEnd"/>
      <w:r>
        <w:rPr>
          <w:b/>
          <w:sz w:val="24"/>
          <w:szCs w:val="24"/>
        </w:rPr>
        <w:t xml:space="preserve"> </w:t>
      </w:r>
      <w:proofErr w:type="spellStart"/>
      <w:r>
        <w:rPr>
          <w:b/>
          <w:sz w:val="24"/>
          <w:szCs w:val="24"/>
        </w:rPr>
        <w:t>Production</w:t>
      </w:r>
      <w:proofErr w:type="spellEnd"/>
      <w:r>
        <w:rPr>
          <w:b/>
          <w:sz w:val="24"/>
          <w:szCs w:val="24"/>
        </w:rPr>
        <w:t xml:space="preserve"> s.r.o.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IČ: 04355776</w:t>
      </w:r>
    </w:p>
    <w:p w:rsidR="00BD2F43" w:rsidRDefault="00AB2B2C">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 xml:space="preserve">sídlem:Olomoucká 1097/26, </w:t>
      </w:r>
      <w:r>
        <w:rPr>
          <w:sz w:val="23"/>
          <w:szCs w:val="23"/>
        </w:rPr>
        <w:t>568 02, Svitavy</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uzavírají níže uvedenéh</w:t>
      </w:r>
      <w:r>
        <w:rPr>
          <w:sz w:val="24"/>
          <w:szCs w:val="24"/>
        </w:rPr>
        <w:t xml:space="preserve">o dne měsíce a roku podle ustanovení § 1724 a </w:t>
      </w:r>
      <w:proofErr w:type="spellStart"/>
      <w:r>
        <w:rPr>
          <w:sz w:val="24"/>
          <w:szCs w:val="24"/>
        </w:rPr>
        <w:t>násl</w:t>
      </w:r>
      <w:proofErr w:type="spellEnd"/>
      <w:r>
        <w:rPr>
          <w:sz w:val="24"/>
          <w:szCs w:val="24"/>
        </w:rPr>
        <w:t xml:space="preserve">. občanského zákoníku (dále jako „občanský zákoník"), tuto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rsidR="00BD2F43" w:rsidRDefault="00BD2F43">
      <w:pPr>
        <w:widowControl w:val="0"/>
        <w:pBdr>
          <w:top w:val="nil"/>
          <w:left w:val="nil"/>
          <w:bottom w:val="nil"/>
          <w:right w:val="nil"/>
          <w:between w:val="nil"/>
        </w:pBdr>
        <w:spacing w:line="240" w:lineRule="auto"/>
        <w:ind w:right="28"/>
        <w:jc w:val="center"/>
        <w:rPr>
          <w:b/>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I.</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Tato smlouva upravuje zajištění ozvučení, osvětlení a technického zajištění kulturních akcí od dodavatele na dobu určitou a to od podpisu smlouvy do konce roku 2022.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Dodavatel se touto smlouvou zavazuje </w:t>
      </w:r>
      <w:proofErr w:type="spellStart"/>
      <w:r>
        <w:rPr>
          <w:sz w:val="24"/>
          <w:szCs w:val="24"/>
        </w:rPr>
        <w:t>zajištovat</w:t>
      </w:r>
      <w:proofErr w:type="spellEnd"/>
      <w:r>
        <w:rPr>
          <w:sz w:val="24"/>
          <w:szCs w:val="24"/>
        </w:rPr>
        <w:t xml:space="preserve"> odběrateli ozvučení, osvětlení a technick</w:t>
      </w:r>
      <w:r>
        <w:rPr>
          <w:sz w:val="24"/>
          <w:szCs w:val="24"/>
        </w:rPr>
        <w:t xml:space="preserve">é zajištění kulturních akcí včetně pódií dle objednávek.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2. Objednávky budou uskutečňovány v dostatečném časovém předstihu tak, aby je dodavatel měl možnost usk</w:t>
      </w:r>
      <w:r>
        <w:rPr>
          <w:sz w:val="24"/>
          <w:szCs w:val="24"/>
        </w:rPr>
        <w:t>utečnit, tzn. nejméně 2 kalendářní měsíce.</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či sdílené tabulky </w:t>
      </w:r>
      <w:proofErr w:type="spellStart"/>
      <w:r>
        <w:rPr>
          <w:sz w:val="24"/>
          <w:szCs w:val="24"/>
        </w:rPr>
        <w:t>google</w:t>
      </w:r>
      <w:proofErr w:type="spellEnd"/>
      <w:r>
        <w:rPr>
          <w:sz w:val="24"/>
          <w:szCs w:val="24"/>
        </w:rPr>
        <w:t xml:space="preserve">.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1. Požadavky na velikost pódia, popř. kvalitu aparatury budou rovněž specifikovány v objednávce dle požadavků agentur (umělců) a to na základě </w:t>
      </w:r>
      <w:proofErr w:type="spellStart"/>
      <w:r>
        <w:rPr>
          <w:sz w:val="24"/>
          <w:szCs w:val="24"/>
        </w:rPr>
        <w:t>rideru</w:t>
      </w:r>
      <w:proofErr w:type="spellEnd"/>
      <w:r>
        <w:rPr>
          <w:sz w:val="24"/>
          <w:szCs w:val="24"/>
        </w:rPr>
        <w:t xml:space="preserve"> zaslaných minimálně 2 měsíce předem.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2. Dodavatel ručí za to, že dodané služby budou mít doh</w:t>
      </w:r>
      <w:r>
        <w:rPr>
          <w:sz w:val="24"/>
          <w:szCs w:val="24"/>
        </w:rPr>
        <w:t xml:space="preserve">odnuté parametry a kvalitu.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Fakturace a platební podmínky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1. Faktury budou vystaveny v českém jazyce s náležitostmi daňového dokladu.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lastRenderedPageBreak/>
        <w:t xml:space="preserve">2. Faktury budou adresovány do sídla odběratele se splatností 14 dnů od jejich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odeslání.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1. </w:t>
      </w:r>
      <w:r>
        <w:rPr>
          <w:sz w:val="24"/>
          <w:szCs w:val="24"/>
        </w:rPr>
        <w:t xml:space="preserve">Odběratel zaplatí dodavateli smluvní pokutu ve výši 0,5% z dlužné částky denně.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3. Nárok na smluvní pokutu dle tohoto odstavce nevzniká v případě, že prodlení sml</w:t>
      </w:r>
      <w:r>
        <w:rPr>
          <w:sz w:val="24"/>
          <w:szCs w:val="24"/>
        </w:rPr>
        <w:t xml:space="preserve">uvních stran je způsobeno okolnostmi nezávislými na jejich vůli, tzv. vyšší moci.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rsidR="00BD2F43" w:rsidRDefault="00AB2B2C">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4. Pokud některé z ustanov</w:t>
      </w:r>
      <w:r>
        <w:rPr>
          <w:sz w:val="24"/>
          <w:szCs w:val="24"/>
        </w:rPr>
        <w:t>ení této smlouvy je nebo se stane neplatným či neúčinným, neplatnost či neúčinnost tohoto ustanovení nebude mít za následek neplatnost smlouvy jako celku ani jiných ustanovení této smlouvy, pokud je takovéto neplatné či neúčinné ustanovení oddělitelné od z</w:t>
      </w:r>
      <w:r>
        <w:rPr>
          <w:sz w:val="24"/>
          <w:szCs w:val="24"/>
        </w:rPr>
        <w:t xml:space="preserve">bytku smlouvy. Smluvní strany se zavazují takovéto neplatné či neúčinné ustanovení nahradit novým platným a účinným ustanovením, které svým obsahem bude co nejvěrněji odpovídat podstatě a smyslu původního ustanovení.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České </w:t>
      </w:r>
    </w:p>
    <w:p w:rsidR="00BD2F43" w:rsidRDefault="00AB2B2C">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w:t>
      </w:r>
      <w:r>
        <w:rPr>
          <w:sz w:val="24"/>
          <w:szCs w:val="24"/>
        </w:rPr>
        <w:t xml:space="preserve">smlouvy vyplývající se řídi právním řádem republiky, zejména příslušnými ustanoveními občanského zákoníku. </w:t>
      </w: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BD2F43">
      <w:pPr>
        <w:widowControl w:val="0"/>
        <w:pBdr>
          <w:top w:val="nil"/>
          <w:left w:val="nil"/>
          <w:bottom w:val="nil"/>
          <w:right w:val="nil"/>
          <w:between w:val="nil"/>
        </w:pBdr>
        <w:spacing w:line="240" w:lineRule="auto"/>
        <w:ind w:right="28"/>
        <w:rPr>
          <w:sz w:val="24"/>
          <w:szCs w:val="24"/>
        </w:rPr>
      </w:pP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proofErr w:type="gramStart"/>
      <w:r>
        <w:rPr>
          <w:sz w:val="24"/>
          <w:szCs w:val="24"/>
        </w:rPr>
        <w:t xml:space="preserve">24.3. </w:t>
      </w:r>
      <w:proofErr w:type="gramEnd"/>
      <w:r>
        <w:rPr>
          <w:sz w:val="24"/>
          <w:szCs w:val="24"/>
        </w:rPr>
        <w:t>202</w:t>
      </w:r>
      <w:r>
        <w:rPr>
          <w:sz w:val="24"/>
          <w:szCs w:val="24"/>
        </w:rPr>
        <w:t>2                                     28.3.2022</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BD2F43">
      <w:pPr>
        <w:widowControl w:val="0"/>
        <w:pBdr>
          <w:top w:val="nil"/>
          <w:left w:val="nil"/>
          <w:bottom w:val="nil"/>
          <w:right w:val="nil"/>
          <w:between w:val="nil"/>
        </w:pBdr>
        <w:spacing w:line="240" w:lineRule="auto"/>
        <w:ind w:right="28"/>
        <w:rPr>
          <w:sz w:val="24"/>
          <w:szCs w:val="24"/>
        </w:rPr>
      </w:pPr>
    </w:p>
    <w:p w:rsidR="00BD2F43" w:rsidRDefault="00BD2F43">
      <w:pPr>
        <w:widowControl w:val="0"/>
        <w:pBdr>
          <w:top w:val="nil"/>
          <w:left w:val="nil"/>
          <w:bottom w:val="nil"/>
          <w:right w:val="nil"/>
          <w:between w:val="nil"/>
        </w:pBdr>
        <w:spacing w:line="240" w:lineRule="auto"/>
        <w:ind w:right="28"/>
        <w:rPr>
          <w:sz w:val="24"/>
          <w:szCs w:val="24"/>
        </w:rPr>
      </w:pPr>
    </w:p>
    <w:p w:rsidR="00BD2F43" w:rsidRDefault="00AB2B2C">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D2F43" w:rsidRDefault="00AB2B2C">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BD2F43" w:rsidRDefault="00BD2F43">
      <w:pPr>
        <w:widowControl w:val="0"/>
        <w:pBdr>
          <w:top w:val="nil"/>
          <w:left w:val="nil"/>
          <w:bottom w:val="nil"/>
          <w:right w:val="nil"/>
          <w:between w:val="nil"/>
        </w:pBdr>
        <w:spacing w:line="240" w:lineRule="auto"/>
        <w:ind w:right="28"/>
        <w:rPr>
          <w:sz w:val="24"/>
          <w:szCs w:val="24"/>
        </w:rPr>
      </w:pPr>
    </w:p>
    <w:p w:rsidR="00BD2F43" w:rsidRDefault="00BD2F43">
      <w:pPr>
        <w:widowControl w:val="0"/>
        <w:pBdr>
          <w:top w:val="nil"/>
          <w:left w:val="nil"/>
          <w:bottom w:val="nil"/>
          <w:right w:val="nil"/>
          <w:between w:val="nil"/>
        </w:pBdr>
        <w:spacing w:line="240" w:lineRule="auto"/>
        <w:ind w:right="28"/>
        <w:rPr>
          <w:sz w:val="24"/>
          <w:szCs w:val="24"/>
        </w:rPr>
      </w:pPr>
    </w:p>
    <w:sectPr w:rsidR="00BD2F43" w:rsidSect="00BD2F43">
      <w:pgSz w:w="12240" w:h="15840"/>
      <w:pgMar w:top="1440" w:right="1440" w:bottom="1440" w:left="1275"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D2F43"/>
    <w:rsid w:val="00AB2B2C"/>
    <w:rsid w:val="00BD2F4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D2F43"/>
  </w:style>
  <w:style w:type="paragraph" w:styleId="Nadpis1">
    <w:name w:val="heading 1"/>
    <w:basedOn w:val="Normln"/>
    <w:next w:val="Normln"/>
    <w:rsid w:val="00BD2F43"/>
    <w:pPr>
      <w:keepNext/>
      <w:keepLines/>
      <w:spacing w:before="480" w:after="120"/>
      <w:outlineLvl w:val="0"/>
    </w:pPr>
    <w:rPr>
      <w:b/>
      <w:sz w:val="48"/>
      <w:szCs w:val="48"/>
    </w:rPr>
  </w:style>
  <w:style w:type="paragraph" w:styleId="Nadpis2">
    <w:name w:val="heading 2"/>
    <w:basedOn w:val="Normln"/>
    <w:next w:val="Normln"/>
    <w:rsid w:val="00BD2F43"/>
    <w:pPr>
      <w:keepNext/>
      <w:keepLines/>
      <w:spacing w:before="360" w:after="80"/>
      <w:outlineLvl w:val="1"/>
    </w:pPr>
    <w:rPr>
      <w:b/>
      <w:sz w:val="36"/>
      <w:szCs w:val="36"/>
    </w:rPr>
  </w:style>
  <w:style w:type="paragraph" w:styleId="Nadpis3">
    <w:name w:val="heading 3"/>
    <w:basedOn w:val="Normln"/>
    <w:next w:val="Normln"/>
    <w:rsid w:val="00BD2F43"/>
    <w:pPr>
      <w:keepNext/>
      <w:keepLines/>
      <w:spacing w:before="280" w:after="80"/>
      <w:outlineLvl w:val="2"/>
    </w:pPr>
    <w:rPr>
      <w:b/>
      <w:sz w:val="28"/>
      <w:szCs w:val="28"/>
    </w:rPr>
  </w:style>
  <w:style w:type="paragraph" w:styleId="Nadpis4">
    <w:name w:val="heading 4"/>
    <w:basedOn w:val="Normln"/>
    <w:next w:val="Normln"/>
    <w:rsid w:val="00BD2F43"/>
    <w:pPr>
      <w:keepNext/>
      <w:keepLines/>
      <w:spacing w:before="240" w:after="40"/>
      <w:outlineLvl w:val="3"/>
    </w:pPr>
    <w:rPr>
      <w:b/>
      <w:sz w:val="24"/>
      <w:szCs w:val="24"/>
    </w:rPr>
  </w:style>
  <w:style w:type="paragraph" w:styleId="Nadpis5">
    <w:name w:val="heading 5"/>
    <w:basedOn w:val="Normln"/>
    <w:next w:val="Normln"/>
    <w:rsid w:val="00BD2F43"/>
    <w:pPr>
      <w:keepNext/>
      <w:keepLines/>
      <w:spacing w:before="220" w:after="40"/>
      <w:outlineLvl w:val="4"/>
    </w:pPr>
    <w:rPr>
      <w:b/>
    </w:rPr>
  </w:style>
  <w:style w:type="paragraph" w:styleId="Nadpis6">
    <w:name w:val="heading 6"/>
    <w:basedOn w:val="Normln"/>
    <w:next w:val="Normln"/>
    <w:rsid w:val="00BD2F4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BD2F43"/>
  </w:style>
  <w:style w:type="table" w:customStyle="1" w:styleId="TableNormal">
    <w:name w:val="Table Normal"/>
    <w:rsid w:val="00BD2F43"/>
    <w:tblPr>
      <w:tblCellMar>
        <w:top w:w="0" w:type="dxa"/>
        <w:left w:w="0" w:type="dxa"/>
        <w:bottom w:w="0" w:type="dxa"/>
        <w:right w:w="0" w:type="dxa"/>
      </w:tblCellMar>
    </w:tblPr>
  </w:style>
  <w:style w:type="paragraph" w:styleId="Nzev">
    <w:name w:val="Title"/>
    <w:basedOn w:val="Normln"/>
    <w:next w:val="Normln"/>
    <w:rsid w:val="00BD2F43"/>
    <w:pPr>
      <w:keepNext/>
      <w:keepLines/>
      <w:spacing w:before="480" w:after="120"/>
    </w:pPr>
    <w:rPr>
      <w:b/>
      <w:sz w:val="72"/>
      <w:szCs w:val="72"/>
    </w:rPr>
  </w:style>
  <w:style w:type="paragraph" w:customStyle="1" w:styleId="normal0">
    <w:name w:val="normal"/>
    <w:rsid w:val="00BD2F43"/>
  </w:style>
  <w:style w:type="table" w:customStyle="1" w:styleId="TableNormal0">
    <w:name w:val="Table Normal"/>
    <w:rsid w:val="00BD2F43"/>
    <w:tblPr>
      <w:tblCellMar>
        <w:top w:w="0" w:type="dxa"/>
        <w:left w:w="0" w:type="dxa"/>
        <w:bottom w:w="0" w:type="dxa"/>
        <w:right w:w="0" w:type="dxa"/>
      </w:tblCellMar>
    </w:tblPr>
  </w:style>
  <w:style w:type="table" w:customStyle="1" w:styleId="TableNormal1">
    <w:name w:val="Table Normal"/>
    <w:rsid w:val="00BD2F43"/>
    <w:tblPr>
      <w:tblCellMar>
        <w:top w:w="0" w:type="dxa"/>
        <w:left w:w="0" w:type="dxa"/>
        <w:bottom w:w="0" w:type="dxa"/>
        <w:right w:w="0" w:type="dxa"/>
      </w:tblCellMar>
    </w:tblPr>
  </w:style>
  <w:style w:type="paragraph" w:styleId="Podtitul">
    <w:name w:val="Subtitle"/>
    <w:basedOn w:val="normal0"/>
    <w:next w:val="normal0"/>
    <w:rsid w:val="00BD2F4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Dk3ddVc2i2YyGmbrAKLN/Ag==">AMUW2mXkbiqrdYaRVJN7Z6ynjlEV1M9Twp08UYiwDLTlPYZgt+Qrmyj2bDA9dZbqySCgFNu8W5hno2gbXc2bVuY2o9GlOyRpPvfjcntBw41Ik906lKYVViSzwb3LabsczD1m4O7LpAOZ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2974</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Ucetni</cp:lastModifiedBy>
  <cp:revision>2</cp:revision>
  <dcterms:created xsi:type="dcterms:W3CDTF">2020-02-18T15:02:00Z</dcterms:created>
  <dcterms:modified xsi:type="dcterms:W3CDTF">2022-04-21T06:08:00Z</dcterms:modified>
</cp:coreProperties>
</file>