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55" w:rsidRDefault="009D1B42">
      <w:pPr>
        <w:spacing w:before="34"/>
        <w:ind w:left="1242" w:right="1254"/>
        <w:jc w:val="center"/>
        <w:rPr>
          <w:b/>
          <w:sz w:val="24"/>
        </w:rPr>
      </w:pPr>
      <w:r>
        <w:rPr>
          <w:b/>
          <w:sz w:val="24"/>
        </w:rPr>
        <w:t>DODATEK Č. 1 KE SMLOUVĚ O SLUŽBÁCH LÉKÁRNY ZE DNE 17. 12. 2021</w:t>
      </w:r>
    </w:p>
    <w:p w:rsidR="006B2155" w:rsidRDefault="009D1B42">
      <w:pPr>
        <w:spacing w:before="122"/>
        <w:ind w:left="1238" w:right="1254"/>
        <w:jc w:val="center"/>
        <w:rPr>
          <w:sz w:val="20"/>
        </w:rPr>
      </w:pPr>
      <w:r>
        <w:rPr>
          <w:sz w:val="20"/>
        </w:rPr>
        <w:t>(dále jen „</w:t>
      </w:r>
      <w:r>
        <w:rPr>
          <w:b/>
          <w:sz w:val="20"/>
        </w:rPr>
        <w:t>Dodatek</w:t>
      </w:r>
      <w:r>
        <w:rPr>
          <w:sz w:val="20"/>
        </w:rPr>
        <w:t>“)</w:t>
      </w:r>
    </w:p>
    <w:p w:rsidR="006B2155" w:rsidRDefault="009D1B42">
      <w:pPr>
        <w:pStyle w:val="Zkladntext"/>
        <w:spacing w:line="243" w:lineRule="exact"/>
      </w:pPr>
      <w:r>
        <w:t>uzavírají následující smluvní strany:</w:t>
      </w:r>
    </w:p>
    <w:p w:rsidR="006B2155" w:rsidRDefault="006B2155">
      <w:pPr>
        <w:pStyle w:val="Zkladntext"/>
        <w:spacing w:before="11"/>
        <w:ind w:left="0"/>
        <w:rPr>
          <w:sz w:val="29"/>
        </w:rPr>
      </w:pPr>
    </w:p>
    <w:p w:rsidR="006B2155" w:rsidRDefault="009D1B42">
      <w:pPr>
        <w:pStyle w:val="Nadpis3"/>
        <w:spacing w:line="243" w:lineRule="exact"/>
      </w:pPr>
      <w:r>
        <w:t>Národní ústav duševního zdraví (NÚDZ)</w:t>
      </w:r>
    </w:p>
    <w:p w:rsidR="006B2155" w:rsidRDefault="009D1B42">
      <w:pPr>
        <w:pStyle w:val="Zkladntext"/>
        <w:spacing w:line="243" w:lineRule="exact"/>
      </w:pPr>
      <w:r>
        <w:t>se sídlem Topolová 748, 250 67 Klecany</w:t>
      </w:r>
    </w:p>
    <w:p w:rsidR="006B2155" w:rsidRDefault="009D1B42">
      <w:pPr>
        <w:pStyle w:val="Zkladntext"/>
        <w:spacing w:before="1"/>
        <w:ind w:right="4992"/>
      </w:pPr>
      <w:r>
        <w:t>zastoupený: PhDr. Petrem Winklerem, Ph.D., ředitelem IČ: 00023752</w:t>
      </w:r>
    </w:p>
    <w:p w:rsidR="006B2155" w:rsidRDefault="009D1B42">
      <w:pPr>
        <w:pStyle w:val="Zkladntext"/>
        <w:spacing w:before="1" w:line="480" w:lineRule="auto"/>
        <w:ind w:right="6651"/>
      </w:pPr>
      <w:r>
        <w:t>na straně jedné, (dále jen „</w:t>
      </w:r>
      <w:r>
        <w:rPr>
          <w:b/>
        </w:rPr>
        <w:t>NÚDZ</w:t>
      </w:r>
      <w:r>
        <w:t>“) a</w:t>
      </w:r>
    </w:p>
    <w:p w:rsidR="006B2155" w:rsidRDefault="009D1B42">
      <w:pPr>
        <w:pStyle w:val="Nadpis3"/>
        <w:spacing w:line="243" w:lineRule="exact"/>
      </w:pPr>
      <w:r>
        <w:t>Institut klinické a experimentální</w:t>
      </w:r>
      <w:r>
        <w:rPr>
          <w:spacing w:val="-21"/>
        </w:rPr>
        <w:t xml:space="preserve"> </w:t>
      </w:r>
      <w:r>
        <w:t>medicíny</w:t>
      </w:r>
    </w:p>
    <w:p w:rsidR="006B2155" w:rsidRDefault="009D1B42">
      <w:pPr>
        <w:pStyle w:val="Zkladntext"/>
        <w:ind w:right="2841"/>
      </w:pPr>
      <w:r>
        <w:t>státní příspěvková organizace, zřizovací listina č.j. 17268-II/2012 ze dne 29.5.2012 se sídlem: Vídeňská 1958</w:t>
      </w:r>
      <w:r>
        <w:t>/9, 140 21 Praha</w:t>
      </w:r>
      <w:r>
        <w:rPr>
          <w:spacing w:val="-2"/>
        </w:rPr>
        <w:t xml:space="preserve"> </w:t>
      </w:r>
      <w:r>
        <w:t>4</w:t>
      </w:r>
    </w:p>
    <w:p w:rsidR="006B2155" w:rsidRDefault="009D1B42">
      <w:pPr>
        <w:pStyle w:val="Zkladntext"/>
        <w:tabs>
          <w:tab w:val="left" w:pos="1534"/>
        </w:tabs>
        <w:spacing w:before="1" w:line="243" w:lineRule="exact"/>
      </w:pPr>
      <w:r>
        <w:t>IČ:</w:t>
      </w:r>
      <w:r>
        <w:rPr>
          <w:spacing w:val="-3"/>
        </w:rPr>
        <w:t xml:space="preserve"> </w:t>
      </w:r>
      <w:r>
        <w:t>00023001</w:t>
      </w:r>
      <w:r>
        <w:tab/>
        <w:t>DIČ:</w:t>
      </w:r>
      <w:r>
        <w:rPr>
          <w:spacing w:val="-2"/>
        </w:rPr>
        <w:t xml:space="preserve"> </w:t>
      </w:r>
      <w:r>
        <w:t>CZ00023001</w:t>
      </w:r>
    </w:p>
    <w:p w:rsidR="006B2155" w:rsidRDefault="009D1B42">
      <w:pPr>
        <w:pStyle w:val="Zkladntext"/>
        <w:ind w:right="5031"/>
      </w:pPr>
      <w:r>
        <w:t>zastoupený: Ing. Michalem Stiborkem, MBA, ředitelem (dále jen „</w:t>
      </w:r>
      <w:r>
        <w:rPr>
          <w:b/>
        </w:rPr>
        <w:t>IKEM</w:t>
      </w:r>
      <w:r>
        <w:t>“)</w:t>
      </w:r>
    </w:p>
    <w:p w:rsidR="006B2155" w:rsidRDefault="006B2155">
      <w:pPr>
        <w:pStyle w:val="Zkladntext"/>
        <w:spacing w:before="1"/>
        <w:ind w:left="0"/>
      </w:pPr>
    </w:p>
    <w:p w:rsidR="006B2155" w:rsidRDefault="009D1B42">
      <w:pPr>
        <w:spacing w:before="1"/>
        <w:ind w:left="118"/>
        <w:rPr>
          <w:sz w:val="20"/>
        </w:rPr>
      </w:pPr>
      <w:r>
        <w:rPr>
          <w:sz w:val="20"/>
        </w:rPr>
        <w:t>(NÚDZ a IKEM dále společně „</w:t>
      </w:r>
      <w:r>
        <w:rPr>
          <w:b/>
          <w:sz w:val="20"/>
        </w:rPr>
        <w:t>Smluvní strany</w:t>
      </w:r>
      <w:r>
        <w:rPr>
          <w:sz w:val="20"/>
        </w:rPr>
        <w:t>“, jednotlivě pak každý z nich jako „</w:t>
      </w:r>
      <w:r>
        <w:rPr>
          <w:b/>
          <w:sz w:val="20"/>
        </w:rPr>
        <w:t>Smluvní strana</w:t>
      </w:r>
      <w:r>
        <w:rPr>
          <w:sz w:val="20"/>
        </w:rPr>
        <w:t>“)</w:t>
      </w:r>
    </w:p>
    <w:p w:rsidR="006B2155" w:rsidRDefault="006B2155">
      <w:pPr>
        <w:pStyle w:val="Zkladntext"/>
        <w:spacing w:before="7"/>
        <w:ind w:left="0"/>
        <w:rPr>
          <w:sz w:val="25"/>
        </w:rPr>
      </w:pPr>
    </w:p>
    <w:p w:rsidR="006B2155" w:rsidRDefault="009D1B42">
      <w:pPr>
        <w:pStyle w:val="Nadpis3"/>
        <w:ind w:left="4801"/>
      </w:pPr>
      <w:r>
        <w:t>I.</w:t>
      </w:r>
    </w:p>
    <w:p w:rsidR="006B2155" w:rsidRDefault="009D1B42">
      <w:pPr>
        <w:spacing w:before="121"/>
        <w:ind w:left="4014"/>
        <w:jc w:val="both"/>
        <w:rPr>
          <w:b/>
          <w:sz w:val="20"/>
        </w:rPr>
      </w:pPr>
      <w:r>
        <w:rPr>
          <w:b/>
          <w:sz w:val="20"/>
        </w:rPr>
        <w:t>Úvodní ustanovení</w:t>
      </w:r>
    </w:p>
    <w:p w:rsidR="006B2155" w:rsidRDefault="009D1B42">
      <w:pPr>
        <w:pStyle w:val="Odstavecseseznamem"/>
        <w:numPr>
          <w:ilvl w:val="0"/>
          <w:numId w:val="2"/>
        </w:numPr>
        <w:tabs>
          <w:tab w:val="left" w:pos="547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 xml:space="preserve">Smluvní strany shodně konstatují, že dne 17. 12. 2021 uzavřely </w:t>
      </w:r>
      <w:r>
        <w:rPr>
          <w:b/>
          <w:sz w:val="20"/>
        </w:rPr>
        <w:t>Smlouvu o službách lékárny</w:t>
      </w:r>
      <w:r>
        <w:rPr>
          <w:sz w:val="20"/>
        </w:rPr>
        <w:t>, jejímž předmětem je poskytování lékárenských služeb Lékárnou IKEM v souvislosti s prováděním klinického hodnocení humánních léčivých přípravků ze strany NÚDZ na zákl</w:t>
      </w:r>
      <w:r>
        <w:rPr>
          <w:sz w:val="20"/>
        </w:rPr>
        <w:t>adě schváleného výzkumného projektu Interní</w:t>
      </w:r>
      <w:r>
        <w:rPr>
          <w:spacing w:val="9"/>
          <w:sz w:val="20"/>
        </w:rPr>
        <w:t xml:space="preserve"> </w:t>
      </w:r>
      <w:r>
        <w:rPr>
          <w:sz w:val="20"/>
        </w:rPr>
        <w:t>grantové</w:t>
      </w:r>
      <w:r>
        <w:rPr>
          <w:spacing w:val="9"/>
          <w:sz w:val="20"/>
        </w:rPr>
        <w:t xml:space="preserve"> </w:t>
      </w:r>
      <w:r>
        <w:rPr>
          <w:sz w:val="20"/>
        </w:rPr>
        <w:t>agentury</w:t>
      </w:r>
      <w:r>
        <w:rPr>
          <w:spacing w:val="10"/>
          <w:sz w:val="20"/>
        </w:rPr>
        <w:t xml:space="preserve"> </w:t>
      </w:r>
      <w:r>
        <w:rPr>
          <w:sz w:val="20"/>
        </w:rPr>
        <w:t>Ministerstva</w:t>
      </w:r>
      <w:r>
        <w:rPr>
          <w:spacing w:val="10"/>
          <w:sz w:val="20"/>
        </w:rPr>
        <w:t xml:space="preserve"> </w:t>
      </w:r>
      <w:r>
        <w:rPr>
          <w:sz w:val="20"/>
        </w:rPr>
        <w:t>Zdravotnictví</w:t>
      </w:r>
      <w:r>
        <w:rPr>
          <w:spacing w:val="11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NU21-04-00307</w:t>
      </w:r>
      <w:r>
        <w:rPr>
          <w:spacing w:val="11"/>
          <w:sz w:val="20"/>
        </w:rPr>
        <w:t xml:space="preserve"> </w:t>
      </w:r>
      <w:r>
        <w:rPr>
          <w:sz w:val="20"/>
        </w:rPr>
        <w:t>s</w:t>
      </w:r>
      <w:r>
        <w:rPr>
          <w:spacing w:val="9"/>
          <w:sz w:val="20"/>
        </w:rPr>
        <w:t xml:space="preserve"> </w:t>
      </w:r>
      <w:r>
        <w:rPr>
          <w:sz w:val="20"/>
        </w:rPr>
        <w:t>názvem</w:t>
      </w:r>
      <w:r>
        <w:rPr>
          <w:spacing w:val="10"/>
          <w:sz w:val="20"/>
        </w:rPr>
        <w:t xml:space="preserve"> </w:t>
      </w:r>
      <w:r>
        <w:rPr>
          <w:sz w:val="20"/>
        </w:rPr>
        <w:t>„Psilocybin</w:t>
      </w:r>
      <w:r>
        <w:rPr>
          <w:spacing w:val="10"/>
          <w:sz w:val="20"/>
        </w:rPr>
        <w:t xml:space="preserve"> </w:t>
      </w:r>
      <w:r>
        <w:rPr>
          <w:sz w:val="20"/>
        </w:rPr>
        <w:t>versus</w:t>
      </w:r>
      <w:r>
        <w:rPr>
          <w:spacing w:val="8"/>
          <w:sz w:val="20"/>
        </w:rPr>
        <w:t xml:space="preserve"> </w:t>
      </w:r>
      <w:r>
        <w:rPr>
          <w:sz w:val="20"/>
        </w:rPr>
        <w:t>ketamin</w:t>
      </w:r>
    </w:p>
    <w:p w:rsidR="006B2155" w:rsidRDefault="009D1B42">
      <w:pPr>
        <w:pStyle w:val="Zkladntext"/>
        <w:ind w:left="546"/>
        <w:jc w:val="both"/>
      </w:pPr>
      <w:r>
        <w:t>– strategie rychlé antidepresivní odpovědi u deprese rezistentní k léčbě“ (dále jen „</w:t>
      </w:r>
      <w:r>
        <w:rPr>
          <w:b/>
        </w:rPr>
        <w:t>Smlouva</w:t>
      </w:r>
      <w:r>
        <w:t>“).</w:t>
      </w:r>
    </w:p>
    <w:p w:rsidR="006B2155" w:rsidRDefault="009D1B42">
      <w:pPr>
        <w:pStyle w:val="Odstavecseseznamem"/>
        <w:numPr>
          <w:ilvl w:val="0"/>
          <w:numId w:val="2"/>
        </w:numPr>
        <w:tabs>
          <w:tab w:val="left" w:pos="547"/>
        </w:tabs>
        <w:jc w:val="both"/>
        <w:rPr>
          <w:sz w:val="20"/>
        </w:rPr>
      </w:pPr>
      <w:r>
        <w:rPr>
          <w:sz w:val="20"/>
        </w:rPr>
        <w:t>Smluvní strany se tímto dohodly na změně výše uvedené Smlouvy, a to za podmínek dále upravených tímto Dodatkem.</w:t>
      </w:r>
    </w:p>
    <w:p w:rsidR="006B2155" w:rsidRDefault="006B2155">
      <w:pPr>
        <w:pStyle w:val="Zkladntext"/>
        <w:spacing w:before="9"/>
        <w:ind w:left="0"/>
        <w:rPr>
          <w:sz w:val="19"/>
        </w:rPr>
      </w:pPr>
    </w:p>
    <w:p w:rsidR="006B2155" w:rsidRDefault="009D1B42">
      <w:pPr>
        <w:pStyle w:val="Nadpis3"/>
        <w:spacing w:before="1"/>
        <w:ind w:left="4715"/>
      </w:pPr>
      <w:r>
        <w:t>II.</w:t>
      </w:r>
    </w:p>
    <w:p w:rsidR="006B2155" w:rsidRDefault="009D1B42">
      <w:pPr>
        <w:spacing w:before="120"/>
        <w:ind w:left="4057"/>
        <w:jc w:val="both"/>
        <w:rPr>
          <w:b/>
          <w:sz w:val="20"/>
        </w:rPr>
      </w:pPr>
      <w:r>
        <w:rPr>
          <w:b/>
          <w:sz w:val="20"/>
        </w:rPr>
        <w:t>Předmět Dodatku</w:t>
      </w:r>
    </w:p>
    <w:p w:rsidR="006B2155" w:rsidRDefault="009D1B42">
      <w:pPr>
        <w:pStyle w:val="Zkladntext"/>
        <w:spacing w:before="121"/>
      </w:pPr>
      <w:r>
        <w:t>V záhlaví Smlouvy se mění údaje o bankovním spojení obou Smluvních stran s tím, že předmětná část Smlouvy zní nyní takto:</w:t>
      </w:r>
    </w:p>
    <w:p w:rsidR="006B2155" w:rsidRDefault="006B2155">
      <w:pPr>
        <w:pStyle w:val="Zkladntext"/>
        <w:spacing w:before="9"/>
        <w:ind w:left="0"/>
        <w:rPr>
          <w:sz w:val="19"/>
        </w:rPr>
      </w:pPr>
    </w:p>
    <w:p w:rsidR="006B2155" w:rsidRDefault="009D1B42">
      <w:pPr>
        <w:pStyle w:val="Nadpis3"/>
      </w:pPr>
      <w:r>
        <w:t>Smluvní strany:</w:t>
      </w:r>
    </w:p>
    <w:p w:rsidR="006B2155" w:rsidRDefault="006B2155">
      <w:pPr>
        <w:pStyle w:val="Zkladntext"/>
        <w:spacing w:before="11"/>
        <w:ind w:left="0"/>
        <w:rPr>
          <w:b/>
          <w:sz w:val="19"/>
        </w:rPr>
      </w:pPr>
    </w:p>
    <w:p w:rsidR="006B2155" w:rsidRDefault="009D1B42">
      <w:pPr>
        <w:ind w:left="118"/>
        <w:rPr>
          <w:b/>
          <w:sz w:val="20"/>
        </w:rPr>
      </w:pPr>
      <w:r>
        <w:rPr>
          <w:b/>
          <w:sz w:val="20"/>
        </w:rPr>
        <w:t>Národní ústav duševního zdraví (NÚDZ)</w:t>
      </w:r>
    </w:p>
    <w:p w:rsidR="006B2155" w:rsidRDefault="009D1B42">
      <w:pPr>
        <w:pStyle w:val="Zkladntext"/>
        <w:spacing w:before="1"/>
      </w:pPr>
      <w:r>
        <w:t>se sídlem Topolová 748, 250 67 Klecany</w:t>
      </w:r>
    </w:p>
    <w:p w:rsidR="006B2155" w:rsidRDefault="009D1B42">
      <w:pPr>
        <w:pStyle w:val="Zkladntext"/>
        <w:spacing w:before="1"/>
        <w:ind w:right="4992"/>
      </w:pPr>
      <w:r>
        <w:t xml:space="preserve">zastoupený: </w:t>
      </w:r>
      <w:hyperlink r:id="rId7">
        <w:r>
          <w:t xml:space="preserve">PhDr. Petrem Winklerem, Ph.D., </w:t>
        </w:r>
      </w:hyperlink>
      <w:r>
        <w:t>ředitelem IČ: 00023752</w:t>
      </w:r>
    </w:p>
    <w:p w:rsidR="006B2155" w:rsidRDefault="009D1B42">
      <w:pPr>
        <w:pStyle w:val="Zkladntext"/>
        <w:ind w:right="2634"/>
      </w:pPr>
      <w:r>
        <w:t xml:space="preserve">bankovní spojení: </w:t>
      </w:r>
      <w:r w:rsidR="00640DAC" w:rsidRPr="00640DAC">
        <w:rPr>
          <w:highlight w:val="yellow"/>
        </w:rPr>
        <w:t>VYMAZÁNO</w:t>
      </w:r>
      <w:r>
        <w:t xml:space="preserve">, Česká národní banka, pobočka Praha, Na Příkopě SIC/SWIFT: </w:t>
      </w:r>
      <w:r w:rsidR="00640DAC" w:rsidRPr="00640DAC">
        <w:rPr>
          <w:highlight w:val="yellow"/>
        </w:rPr>
        <w:t>VYMAZÁNO</w:t>
      </w:r>
    </w:p>
    <w:p w:rsidR="006B2155" w:rsidRDefault="009D1B42">
      <w:pPr>
        <w:pStyle w:val="Zkladntext"/>
      </w:pPr>
      <w:r>
        <w:t xml:space="preserve">IBAN: </w:t>
      </w:r>
      <w:r w:rsidR="00640DAC" w:rsidRPr="00640DAC">
        <w:rPr>
          <w:highlight w:val="yellow"/>
        </w:rPr>
        <w:t>VYMAZÁNO</w:t>
      </w:r>
    </w:p>
    <w:p w:rsidR="006B2155" w:rsidRDefault="009D1B42">
      <w:pPr>
        <w:pStyle w:val="Zkladntext"/>
        <w:spacing w:before="1"/>
      </w:pPr>
      <w:r>
        <w:t>na straně jedné, (dále jen „</w:t>
      </w:r>
      <w:r>
        <w:rPr>
          <w:b/>
        </w:rPr>
        <w:t>NÚDZ</w:t>
      </w:r>
      <w:r>
        <w:t>“)</w:t>
      </w:r>
    </w:p>
    <w:p w:rsidR="006B2155" w:rsidRDefault="009D1B42">
      <w:pPr>
        <w:pStyle w:val="Zkladntext"/>
        <w:spacing w:line="243" w:lineRule="exact"/>
        <w:ind w:left="0" w:right="15"/>
        <w:jc w:val="center"/>
      </w:pPr>
      <w:r>
        <w:rPr>
          <w:w w:val="99"/>
        </w:rPr>
        <w:t>a</w:t>
      </w:r>
    </w:p>
    <w:p w:rsidR="006B2155" w:rsidRDefault="006B2155">
      <w:pPr>
        <w:pStyle w:val="Zkladntext"/>
        <w:spacing w:before="1"/>
        <w:ind w:left="0"/>
      </w:pPr>
    </w:p>
    <w:p w:rsidR="006B2155" w:rsidRDefault="009D1B42">
      <w:pPr>
        <w:pStyle w:val="Nadpis3"/>
        <w:spacing w:line="243" w:lineRule="exact"/>
      </w:pPr>
      <w:r>
        <w:t>Institut klinické a experimentální</w:t>
      </w:r>
      <w:r>
        <w:rPr>
          <w:spacing w:val="-21"/>
        </w:rPr>
        <w:t xml:space="preserve"> </w:t>
      </w:r>
      <w:r>
        <w:t>medicíny</w:t>
      </w:r>
    </w:p>
    <w:p w:rsidR="006B2155" w:rsidRDefault="009D1B42">
      <w:pPr>
        <w:pStyle w:val="Zkladntext"/>
        <w:spacing w:line="243" w:lineRule="exact"/>
      </w:pPr>
      <w:r>
        <w:t>se sídlem: Vídeňská 1958/9, 140 21 Praha</w:t>
      </w:r>
      <w:r>
        <w:rPr>
          <w:spacing w:val="-18"/>
        </w:rPr>
        <w:t xml:space="preserve"> </w:t>
      </w:r>
      <w:r>
        <w:t>4</w:t>
      </w:r>
    </w:p>
    <w:p w:rsidR="006B2155" w:rsidRDefault="009D1B42">
      <w:pPr>
        <w:pStyle w:val="Zkladntext"/>
        <w:spacing w:before="1"/>
      </w:pPr>
      <w:r>
        <w:t>zastoupený: Ing. Michalem Stiborkem, MBA, ředitelem</w:t>
      </w:r>
    </w:p>
    <w:p w:rsidR="006B2155" w:rsidRDefault="009D1B42">
      <w:pPr>
        <w:pStyle w:val="Zkladntext"/>
        <w:ind w:right="1011"/>
      </w:pPr>
      <w:r>
        <w:t>státní příspěvková organizace, zřizovací listina č.j. 17268-II/2012 ze dne 29.května 2012, v platném znění IČ: 00023001</w:t>
      </w:r>
    </w:p>
    <w:p w:rsidR="006B2155" w:rsidRDefault="009D1B42">
      <w:pPr>
        <w:pStyle w:val="Zkladntext"/>
        <w:spacing w:line="243" w:lineRule="exact"/>
      </w:pPr>
      <w:r>
        <w:t>DIČ: CZ00023001</w:t>
      </w:r>
    </w:p>
    <w:p w:rsidR="006B2155" w:rsidRDefault="009D1B42">
      <w:pPr>
        <w:pStyle w:val="Zkladntext"/>
        <w:spacing w:before="1"/>
      </w:pPr>
      <w:r>
        <w:t xml:space="preserve">bankovní spojení: </w:t>
      </w:r>
      <w:r w:rsidR="00640DAC" w:rsidRPr="00640DAC">
        <w:rPr>
          <w:highlight w:val="yellow"/>
        </w:rPr>
        <w:t>VYMAZÁNO</w:t>
      </w:r>
      <w:r>
        <w:t>, Česká národní banka, pobočka Praha,</w:t>
      </w:r>
      <w:r>
        <w:t xml:space="preserve"> Na Příkopě</w:t>
      </w:r>
    </w:p>
    <w:p w:rsidR="006B2155" w:rsidRDefault="006B2155">
      <w:pPr>
        <w:sectPr w:rsidR="006B21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80" w:right="1000" w:bottom="920" w:left="1300" w:header="708" w:footer="732" w:gutter="0"/>
          <w:pgNumType w:start="1"/>
          <w:cols w:space="708"/>
        </w:sectPr>
      </w:pPr>
    </w:p>
    <w:p w:rsidR="006B2155" w:rsidRDefault="009D1B42">
      <w:pPr>
        <w:pStyle w:val="Zkladntext"/>
        <w:spacing w:before="33"/>
      </w:pPr>
      <w:r>
        <w:lastRenderedPageBreak/>
        <w:t>na straně druhé, (dále jen "</w:t>
      </w:r>
      <w:r>
        <w:rPr>
          <w:b/>
        </w:rPr>
        <w:t>IKEM</w:t>
      </w:r>
      <w:r>
        <w:t>"),</w:t>
      </w:r>
    </w:p>
    <w:p w:rsidR="006B2155" w:rsidRDefault="006B2155">
      <w:pPr>
        <w:pStyle w:val="Zkladntext"/>
        <w:spacing w:before="1"/>
        <w:ind w:left="0"/>
      </w:pPr>
    </w:p>
    <w:p w:rsidR="006B2155" w:rsidRDefault="009D1B42">
      <w:pPr>
        <w:spacing w:before="1"/>
        <w:ind w:left="118"/>
        <w:rPr>
          <w:sz w:val="20"/>
        </w:rPr>
      </w:pPr>
      <w:r>
        <w:rPr>
          <w:sz w:val="20"/>
        </w:rPr>
        <w:t>(NUDZ a IKEM společně jako ”</w:t>
      </w:r>
      <w:r>
        <w:rPr>
          <w:b/>
          <w:sz w:val="20"/>
        </w:rPr>
        <w:t>smluvní strany</w:t>
      </w:r>
      <w:r>
        <w:rPr>
          <w:sz w:val="20"/>
        </w:rPr>
        <w:t>”)</w:t>
      </w:r>
    </w:p>
    <w:p w:rsidR="006B2155" w:rsidRDefault="006B2155">
      <w:pPr>
        <w:pStyle w:val="Zkladntext"/>
        <w:spacing w:before="9"/>
        <w:ind w:left="0"/>
        <w:rPr>
          <w:sz w:val="29"/>
        </w:rPr>
      </w:pPr>
    </w:p>
    <w:p w:rsidR="006B2155" w:rsidRDefault="009D1B42">
      <w:pPr>
        <w:pStyle w:val="Nadpis3"/>
        <w:ind w:left="1240" w:right="1254"/>
        <w:jc w:val="center"/>
      </w:pPr>
      <w:r>
        <w:t>III.</w:t>
      </w:r>
    </w:p>
    <w:p w:rsidR="006B2155" w:rsidRDefault="009D1B42">
      <w:pPr>
        <w:spacing w:before="121"/>
        <w:ind w:left="3885"/>
        <w:jc w:val="both"/>
        <w:rPr>
          <w:b/>
          <w:sz w:val="20"/>
        </w:rPr>
      </w:pPr>
      <w:r>
        <w:rPr>
          <w:b/>
          <w:sz w:val="20"/>
        </w:rPr>
        <w:t>Závěrečná ustanovení</w:t>
      </w:r>
    </w:p>
    <w:p w:rsidR="006B2155" w:rsidRDefault="009D1B42">
      <w:pPr>
        <w:pStyle w:val="Odstavecseseznamem"/>
        <w:numPr>
          <w:ilvl w:val="0"/>
          <w:numId w:val="1"/>
        </w:numPr>
        <w:tabs>
          <w:tab w:val="left" w:pos="827"/>
        </w:tabs>
        <w:spacing w:before="120"/>
        <w:ind w:right="0" w:hanging="349"/>
        <w:jc w:val="both"/>
        <w:rPr>
          <w:sz w:val="20"/>
        </w:rPr>
      </w:pPr>
      <w:r>
        <w:rPr>
          <w:sz w:val="20"/>
        </w:rPr>
        <w:t>Ostatní ustanovení Smlouvy zůstávají</w:t>
      </w:r>
      <w:r>
        <w:rPr>
          <w:spacing w:val="2"/>
          <w:sz w:val="20"/>
        </w:rPr>
        <w:t xml:space="preserve"> </w:t>
      </w:r>
      <w:r>
        <w:rPr>
          <w:sz w:val="20"/>
        </w:rPr>
        <w:t>nedotčena.</w:t>
      </w:r>
    </w:p>
    <w:p w:rsidR="006B2155" w:rsidRDefault="009D1B42">
      <w:pPr>
        <w:pStyle w:val="Odstavecseseznamem"/>
        <w:numPr>
          <w:ilvl w:val="0"/>
          <w:numId w:val="1"/>
        </w:numPr>
        <w:tabs>
          <w:tab w:val="left" w:pos="827"/>
        </w:tabs>
        <w:ind w:left="838" w:hanging="360"/>
        <w:jc w:val="both"/>
        <w:rPr>
          <w:sz w:val="20"/>
        </w:rPr>
      </w:pPr>
      <w:r>
        <w:rPr>
          <w:sz w:val="20"/>
        </w:rPr>
        <w:t>Tento Dodatek je vyhotoven ve dvou stejnopisech, z nichž každá ze Smluvních stran obdrží po jednom podepsaném vyhotovení. Smlouvu v listinné podobě zašle Smluvní strana podepisující jako druhá v pořadí na adr</w:t>
      </w:r>
      <w:r>
        <w:rPr>
          <w:sz w:val="20"/>
        </w:rPr>
        <w:t>esu sídla svého smluvního partnera bez zbytečného odkladu po podpisu Smlouvy. V případě, že je Smlouva podepisována elektronicky, s elektronickým uznávaným podpisem, vyhotovuje se pouze jedna elektronická verze, kterou zašle Smluvní strana podepisující jak</w:t>
      </w:r>
      <w:r>
        <w:rPr>
          <w:sz w:val="20"/>
        </w:rPr>
        <w:t>o druhá v pořadí do datové schránky druhé Smluvní</w:t>
      </w:r>
      <w:r>
        <w:rPr>
          <w:spacing w:val="1"/>
          <w:sz w:val="20"/>
        </w:rPr>
        <w:t xml:space="preserve"> </w:t>
      </w:r>
      <w:r>
        <w:rPr>
          <w:sz w:val="20"/>
        </w:rPr>
        <w:t>strany.</w:t>
      </w:r>
    </w:p>
    <w:p w:rsidR="006B2155" w:rsidRDefault="009D1B42">
      <w:pPr>
        <w:pStyle w:val="Odstavecseseznamem"/>
        <w:numPr>
          <w:ilvl w:val="0"/>
          <w:numId w:val="1"/>
        </w:numPr>
        <w:tabs>
          <w:tab w:val="left" w:pos="827"/>
        </w:tabs>
        <w:spacing w:before="119"/>
        <w:ind w:left="838" w:right="131" w:hanging="360"/>
        <w:jc w:val="both"/>
        <w:rPr>
          <w:sz w:val="20"/>
        </w:rPr>
      </w:pPr>
      <w:r>
        <w:rPr>
          <w:sz w:val="20"/>
        </w:rPr>
        <w:t>Tato Smlouva nabývá platnosti dnem podpisu Smlouvy oprávněnými zástupci obou Smluvních stran a účinnosti v souladu se zákonem č. 340/2015 Sb., o zvláštních podmínkách účinnosti některých smluv, uveř</w:t>
      </w:r>
      <w:r>
        <w:rPr>
          <w:sz w:val="20"/>
        </w:rPr>
        <w:t>ejňování těchto smluv a o registru smluv (zákon o registru smluv), v platném</w:t>
      </w:r>
      <w:r>
        <w:rPr>
          <w:spacing w:val="-10"/>
          <w:sz w:val="20"/>
        </w:rPr>
        <w:t xml:space="preserve"> </w:t>
      </w:r>
      <w:r>
        <w:rPr>
          <w:sz w:val="20"/>
        </w:rPr>
        <w:t>znění.</w:t>
      </w:r>
    </w:p>
    <w:p w:rsidR="006B2155" w:rsidRDefault="006B2155">
      <w:pPr>
        <w:pStyle w:val="Zkladntext"/>
        <w:ind w:left="0"/>
      </w:pPr>
    </w:p>
    <w:p w:rsidR="006B2155" w:rsidRDefault="006B2155">
      <w:pPr>
        <w:pStyle w:val="Zkladntext"/>
        <w:spacing w:before="9"/>
        <w:ind w:left="0"/>
        <w:rPr>
          <w:sz w:val="19"/>
        </w:rPr>
      </w:pPr>
    </w:p>
    <w:p w:rsidR="006B2155" w:rsidRDefault="009D1B42">
      <w:pPr>
        <w:pStyle w:val="Zkladntext"/>
        <w:tabs>
          <w:tab w:val="left" w:pos="5783"/>
        </w:tabs>
      </w:pPr>
      <w:r>
        <w:t>V ……..</w:t>
      </w:r>
      <w:r>
        <w:rPr>
          <w:spacing w:val="41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…….</w:t>
      </w:r>
      <w:r>
        <w:tab/>
        <w:t>V …….. dne</w:t>
      </w:r>
      <w:r>
        <w:rPr>
          <w:spacing w:val="2"/>
        </w:rPr>
        <w:t xml:space="preserve"> </w:t>
      </w:r>
      <w:r>
        <w:t>…….</w:t>
      </w:r>
    </w:p>
    <w:p w:rsidR="006B2155" w:rsidRDefault="006B2155">
      <w:pPr>
        <w:pStyle w:val="Zkladntext"/>
        <w:ind w:left="0"/>
      </w:pPr>
    </w:p>
    <w:p w:rsidR="006B2155" w:rsidRDefault="006B2155">
      <w:pPr>
        <w:pStyle w:val="Zkladntext"/>
        <w:ind w:left="0"/>
      </w:pPr>
    </w:p>
    <w:p w:rsidR="006B2155" w:rsidRDefault="006B2155">
      <w:pPr>
        <w:pStyle w:val="Zkladntext"/>
        <w:spacing w:before="8"/>
        <w:ind w:left="0"/>
        <w:rPr>
          <w:sz w:val="24"/>
        </w:rPr>
      </w:pPr>
    </w:p>
    <w:p w:rsidR="006B2155" w:rsidRDefault="006B2155">
      <w:pPr>
        <w:rPr>
          <w:sz w:val="24"/>
        </w:rPr>
        <w:sectPr w:rsidR="006B2155">
          <w:pgSz w:w="11910" w:h="16840"/>
          <w:pgMar w:top="1080" w:right="1000" w:bottom="920" w:left="1300" w:header="0" w:footer="732" w:gutter="0"/>
          <w:cols w:space="708"/>
        </w:sectPr>
      </w:pPr>
    </w:p>
    <w:p w:rsidR="006B2155" w:rsidRDefault="009D1B42">
      <w:pPr>
        <w:pStyle w:val="Zkladntext"/>
        <w:tabs>
          <w:tab w:val="left" w:pos="5783"/>
        </w:tabs>
        <w:spacing w:before="59"/>
      </w:pPr>
      <w:r>
        <w:t>Za</w:t>
      </w:r>
      <w:r>
        <w:rPr>
          <w:spacing w:val="-1"/>
        </w:rPr>
        <w:t xml:space="preserve"> </w:t>
      </w:r>
      <w:r>
        <w:t>NÚDZ:</w:t>
      </w:r>
      <w:r>
        <w:tab/>
        <w:t>Za</w:t>
      </w:r>
      <w:r>
        <w:rPr>
          <w:spacing w:val="1"/>
        </w:rPr>
        <w:t xml:space="preserve"> </w:t>
      </w:r>
      <w:r>
        <w:t>IKEM:</w:t>
      </w:r>
    </w:p>
    <w:p w:rsidR="006B2155" w:rsidRDefault="006B2155">
      <w:pPr>
        <w:spacing w:line="279" w:lineRule="exact"/>
        <w:rPr>
          <w:sz w:val="23"/>
        </w:rPr>
        <w:sectPr w:rsidR="006B2155">
          <w:type w:val="continuous"/>
          <w:pgSz w:w="11910" w:h="16840"/>
          <w:pgMar w:top="1080" w:right="1000" w:bottom="920" w:left="1300" w:header="708" w:footer="708" w:gutter="0"/>
          <w:cols w:num="3" w:space="708" w:equalWidth="0">
            <w:col w:w="805" w:space="421"/>
            <w:col w:w="1315" w:space="5009"/>
            <w:col w:w="2060"/>
          </w:cols>
        </w:sectPr>
      </w:pPr>
    </w:p>
    <w:p w:rsidR="006B2155" w:rsidRDefault="009D1B42">
      <w:pPr>
        <w:pStyle w:val="Zkladntext"/>
        <w:tabs>
          <w:tab w:val="left" w:pos="5783"/>
        </w:tabs>
        <w:spacing w:before="8"/>
      </w:pPr>
      <w:r>
        <w:t>…………………………………….</w:t>
      </w:r>
      <w:r>
        <w:tab/>
        <w:t>………………………………………</w:t>
      </w:r>
    </w:p>
    <w:p w:rsidR="006B2155" w:rsidRDefault="009D1B42">
      <w:pPr>
        <w:pStyle w:val="Zkladntext"/>
        <w:tabs>
          <w:tab w:val="left" w:pos="5784"/>
          <w:tab w:val="left" w:pos="6537"/>
        </w:tabs>
        <w:spacing w:before="1"/>
        <w:ind w:left="709" w:right="1717" w:hanging="591"/>
      </w:pPr>
      <w:r>
        <w:t>PhDr. Petr</w:t>
      </w:r>
      <w:r>
        <w:rPr>
          <w:spacing w:val="-5"/>
        </w:rPr>
        <w:t xml:space="preserve"> </w:t>
      </w:r>
      <w:r>
        <w:t>Winkler,</w:t>
      </w:r>
      <w:r>
        <w:rPr>
          <w:spacing w:val="-2"/>
        </w:rPr>
        <w:t xml:space="preserve"> </w:t>
      </w:r>
      <w:r>
        <w:t>Ph.D.</w:t>
      </w:r>
      <w:r>
        <w:tab/>
        <w:t xml:space="preserve">Ing. Michal Stiborek, </w:t>
      </w:r>
      <w:r>
        <w:rPr>
          <w:spacing w:val="-4"/>
        </w:rPr>
        <w:t xml:space="preserve">MBA </w:t>
      </w:r>
      <w:r>
        <w:t>ředitel</w:t>
      </w:r>
      <w:r>
        <w:tab/>
      </w:r>
      <w:bookmarkStart w:id="0" w:name="_GoBack"/>
      <w:bookmarkEnd w:id="0"/>
      <w:r>
        <w:tab/>
        <w:t>ředitel</w:t>
      </w:r>
    </w:p>
    <w:sectPr w:rsidR="006B2155">
      <w:type w:val="continuous"/>
      <w:pgSz w:w="11910" w:h="16840"/>
      <w:pgMar w:top="1080" w:right="1000" w:bottom="92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1B42">
      <w:r>
        <w:separator/>
      </w:r>
    </w:p>
  </w:endnote>
  <w:endnote w:type="continuationSeparator" w:id="0">
    <w:p w:rsidR="00000000" w:rsidRDefault="009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8D" w:rsidRDefault="00E701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55" w:rsidRDefault="006B2155">
    <w:pPr>
      <w:pStyle w:val="Zkladntext"/>
      <w:spacing w:line="14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8D" w:rsidRDefault="00E701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1B42">
      <w:r>
        <w:separator/>
      </w:r>
    </w:p>
  </w:footnote>
  <w:footnote w:type="continuationSeparator" w:id="0">
    <w:p w:rsidR="00000000" w:rsidRDefault="009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8D" w:rsidRDefault="00E701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8D" w:rsidRDefault="00E701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8D" w:rsidRDefault="00E701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00169"/>
    <w:multiLevelType w:val="hybridMultilevel"/>
    <w:tmpl w:val="9E62B4C8"/>
    <w:lvl w:ilvl="0" w:tplc="10FCF44E">
      <w:start w:val="1"/>
      <w:numFmt w:val="decimal"/>
      <w:lvlText w:val="%1."/>
      <w:lvlJc w:val="left"/>
      <w:pPr>
        <w:ind w:left="826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E08023E8">
      <w:numFmt w:val="bullet"/>
      <w:lvlText w:val="•"/>
      <w:lvlJc w:val="left"/>
      <w:pPr>
        <w:ind w:left="1698" w:hanging="348"/>
      </w:pPr>
      <w:rPr>
        <w:rFonts w:hint="default"/>
        <w:lang w:val="cs-CZ" w:eastAsia="cs-CZ" w:bidi="cs-CZ"/>
      </w:rPr>
    </w:lvl>
    <w:lvl w:ilvl="2" w:tplc="0068EBFE">
      <w:numFmt w:val="bullet"/>
      <w:lvlText w:val="•"/>
      <w:lvlJc w:val="left"/>
      <w:pPr>
        <w:ind w:left="2577" w:hanging="348"/>
      </w:pPr>
      <w:rPr>
        <w:rFonts w:hint="default"/>
        <w:lang w:val="cs-CZ" w:eastAsia="cs-CZ" w:bidi="cs-CZ"/>
      </w:rPr>
    </w:lvl>
    <w:lvl w:ilvl="3" w:tplc="EE1658DC">
      <w:numFmt w:val="bullet"/>
      <w:lvlText w:val="•"/>
      <w:lvlJc w:val="left"/>
      <w:pPr>
        <w:ind w:left="3455" w:hanging="348"/>
      </w:pPr>
      <w:rPr>
        <w:rFonts w:hint="default"/>
        <w:lang w:val="cs-CZ" w:eastAsia="cs-CZ" w:bidi="cs-CZ"/>
      </w:rPr>
    </w:lvl>
    <w:lvl w:ilvl="4" w:tplc="6B62F4A2">
      <w:numFmt w:val="bullet"/>
      <w:lvlText w:val="•"/>
      <w:lvlJc w:val="left"/>
      <w:pPr>
        <w:ind w:left="4334" w:hanging="348"/>
      </w:pPr>
      <w:rPr>
        <w:rFonts w:hint="default"/>
        <w:lang w:val="cs-CZ" w:eastAsia="cs-CZ" w:bidi="cs-CZ"/>
      </w:rPr>
    </w:lvl>
    <w:lvl w:ilvl="5" w:tplc="8C367DA0">
      <w:numFmt w:val="bullet"/>
      <w:lvlText w:val="•"/>
      <w:lvlJc w:val="left"/>
      <w:pPr>
        <w:ind w:left="5213" w:hanging="348"/>
      </w:pPr>
      <w:rPr>
        <w:rFonts w:hint="default"/>
        <w:lang w:val="cs-CZ" w:eastAsia="cs-CZ" w:bidi="cs-CZ"/>
      </w:rPr>
    </w:lvl>
    <w:lvl w:ilvl="6" w:tplc="C256DFEC">
      <w:numFmt w:val="bullet"/>
      <w:lvlText w:val="•"/>
      <w:lvlJc w:val="left"/>
      <w:pPr>
        <w:ind w:left="6091" w:hanging="348"/>
      </w:pPr>
      <w:rPr>
        <w:rFonts w:hint="default"/>
        <w:lang w:val="cs-CZ" w:eastAsia="cs-CZ" w:bidi="cs-CZ"/>
      </w:rPr>
    </w:lvl>
    <w:lvl w:ilvl="7" w:tplc="230E2CBC">
      <w:numFmt w:val="bullet"/>
      <w:lvlText w:val="•"/>
      <w:lvlJc w:val="left"/>
      <w:pPr>
        <w:ind w:left="6970" w:hanging="348"/>
      </w:pPr>
      <w:rPr>
        <w:rFonts w:hint="default"/>
        <w:lang w:val="cs-CZ" w:eastAsia="cs-CZ" w:bidi="cs-CZ"/>
      </w:rPr>
    </w:lvl>
    <w:lvl w:ilvl="8" w:tplc="81701660">
      <w:numFmt w:val="bullet"/>
      <w:lvlText w:val="•"/>
      <w:lvlJc w:val="left"/>
      <w:pPr>
        <w:ind w:left="7849" w:hanging="348"/>
      </w:pPr>
      <w:rPr>
        <w:rFonts w:hint="default"/>
        <w:lang w:val="cs-CZ" w:eastAsia="cs-CZ" w:bidi="cs-CZ"/>
      </w:rPr>
    </w:lvl>
  </w:abstractNum>
  <w:abstractNum w:abstractNumId="1" w15:restartNumberingAfterBreak="0">
    <w:nsid w:val="6B5B5DF0"/>
    <w:multiLevelType w:val="hybridMultilevel"/>
    <w:tmpl w:val="21FAFC82"/>
    <w:lvl w:ilvl="0" w:tplc="8E9A2618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B09E2B38">
      <w:numFmt w:val="bullet"/>
      <w:lvlText w:val="•"/>
      <w:lvlJc w:val="left"/>
      <w:pPr>
        <w:ind w:left="700" w:hanging="428"/>
      </w:pPr>
      <w:rPr>
        <w:rFonts w:hint="default"/>
        <w:lang w:val="cs-CZ" w:eastAsia="cs-CZ" w:bidi="cs-CZ"/>
      </w:rPr>
    </w:lvl>
    <w:lvl w:ilvl="2" w:tplc="7A126F16">
      <w:numFmt w:val="bullet"/>
      <w:lvlText w:val="•"/>
      <w:lvlJc w:val="left"/>
      <w:pPr>
        <w:ind w:left="1689" w:hanging="428"/>
      </w:pPr>
      <w:rPr>
        <w:rFonts w:hint="default"/>
        <w:lang w:val="cs-CZ" w:eastAsia="cs-CZ" w:bidi="cs-CZ"/>
      </w:rPr>
    </w:lvl>
    <w:lvl w:ilvl="3" w:tplc="0506214C">
      <w:numFmt w:val="bullet"/>
      <w:lvlText w:val="•"/>
      <w:lvlJc w:val="left"/>
      <w:pPr>
        <w:ind w:left="2679" w:hanging="428"/>
      </w:pPr>
      <w:rPr>
        <w:rFonts w:hint="default"/>
        <w:lang w:val="cs-CZ" w:eastAsia="cs-CZ" w:bidi="cs-CZ"/>
      </w:rPr>
    </w:lvl>
    <w:lvl w:ilvl="4" w:tplc="D6E0D19E">
      <w:numFmt w:val="bullet"/>
      <w:lvlText w:val="•"/>
      <w:lvlJc w:val="left"/>
      <w:pPr>
        <w:ind w:left="3668" w:hanging="428"/>
      </w:pPr>
      <w:rPr>
        <w:rFonts w:hint="default"/>
        <w:lang w:val="cs-CZ" w:eastAsia="cs-CZ" w:bidi="cs-CZ"/>
      </w:rPr>
    </w:lvl>
    <w:lvl w:ilvl="5" w:tplc="44C0C894">
      <w:numFmt w:val="bullet"/>
      <w:lvlText w:val="•"/>
      <w:lvlJc w:val="left"/>
      <w:pPr>
        <w:ind w:left="4658" w:hanging="428"/>
      </w:pPr>
      <w:rPr>
        <w:rFonts w:hint="default"/>
        <w:lang w:val="cs-CZ" w:eastAsia="cs-CZ" w:bidi="cs-CZ"/>
      </w:rPr>
    </w:lvl>
    <w:lvl w:ilvl="6" w:tplc="6B787558">
      <w:numFmt w:val="bullet"/>
      <w:lvlText w:val="•"/>
      <w:lvlJc w:val="left"/>
      <w:pPr>
        <w:ind w:left="5648" w:hanging="428"/>
      </w:pPr>
      <w:rPr>
        <w:rFonts w:hint="default"/>
        <w:lang w:val="cs-CZ" w:eastAsia="cs-CZ" w:bidi="cs-CZ"/>
      </w:rPr>
    </w:lvl>
    <w:lvl w:ilvl="7" w:tplc="3AFEACEE">
      <w:numFmt w:val="bullet"/>
      <w:lvlText w:val="•"/>
      <w:lvlJc w:val="left"/>
      <w:pPr>
        <w:ind w:left="6637" w:hanging="428"/>
      </w:pPr>
      <w:rPr>
        <w:rFonts w:hint="default"/>
        <w:lang w:val="cs-CZ" w:eastAsia="cs-CZ" w:bidi="cs-CZ"/>
      </w:rPr>
    </w:lvl>
    <w:lvl w:ilvl="8" w:tplc="D4EC1146">
      <w:numFmt w:val="bullet"/>
      <w:lvlText w:val="•"/>
      <w:lvlJc w:val="left"/>
      <w:pPr>
        <w:ind w:left="7627" w:hanging="428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55"/>
    <w:rsid w:val="00640DAC"/>
    <w:rsid w:val="006B2155"/>
    <w:rsid w:val="009D1B42"/>
    <w:rsid w:val="00C71F8E"/>
    <w:rsid w:val="00E7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3E249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line="259" w:lineRule="exact"/>
      <w:outlineLvl w:val="0"/>
    </w:pPr>
    <w:rPr>
      <w:sz w:val="53"/>
      <w:szCs w:val="53"/>
    </w:rPr>
  </w:style>
  <w:style w:type="paragraph" w:styleId="Nadpis2">
    <w:name w:val="heading 2"/>
    <w:basedOn w:val="Normln"/>
    <w:uiPriority w:val="1"/>
    <w:qFormat/>
    <w:pPr>
      <w:ind w:left="131"/>
      <w:outlineLvl w:val="1"/>
    </w:pPr>
    <w:rPr>
      <w:sz w:val="23"/>
      <w:szCs w:val="23"/>
    </w:rPr>
  </w:style>
  <w:style w:type="paragraph" w:styleId="Nadpis3">
    <w:name w:val="heading 3"/>
    <w:basedOn w:val="Normln"/>
    <w:uiPriority w:val="1"/>
    <w:qFormat/>
    <w:pPr>
      <w:ind w:left="118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46" w:right="130" w:hanging="42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70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018D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70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018D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udz.cz/pracovnik/?id=29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2022-04-21T07:51:00Z</dcterms:created>
  <dcterms:modified xsi:type="dcterms:W3CDTF">2022-04-21T07:51:00Z</dcterms:modified>
</cp:coreProperties>
</file>