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67" w:rsidRPr="00F81667" w:rsidRDefault="00A96D13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NEVA Group s.r.o.                                                                                                                     </w:t>
      </w:r>
      <w:r w:rsidR="00F81667" w:rsidRPr="00F816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1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Technická specifikace sady dílů pro montáž nákladního automobilu </w:t>
      </w:r>
      <w:r w:rsidR="00F816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–</w:t>
      </w:r>
      <w:r w:rsidRPr="00CC2D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podvozku  4x4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legislativní hmotnost vozidla 18 000 kg, min. užitečné zatížení vozidla 11 000 kg;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Motor splňující emisní limit EURO VI (SCR + PDF), minimální výkon 330kW (449 Hp) při 1.600 ot/min,  minimální kroutící moment 2300 Nm při 900-1125 ot/min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Typ převodovky automatizovaná, 16 stupňů vpřed, 1 stupeň vzad;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Brzdové systémy – provozní, nouzový, parkovací, zesílená motorová brzda;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Rozvor minimálně 3 700 mm, světlá výška minimálně 300 mm;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Krátká kabina (Day cab – oranžová barva), bez třetí sedačky, skleněný poklop, ruční ovládání, klimatizace s minimálně poloautomatickou regulací teploty a klimatizace, vyhřívané čelní sklo, vnější sluneční clona průsvitná zelená, včetně přídavných světel a majáku;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Náprava přední řízená s výkyvnými polonápravami nebo jiné technické řešení nápravy, zapínatelný přední pohon, osový diferenciál s uzávěrkou, příčník přední pro montáž radlice, technicky přípustná hmotnost na přední nápravu minimálně 9 000 kg;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Náprava zadní hnaná s výkyvnými polonápravami nebo jiné technické řešení nápravy, osový diferenciál s uzávěrkou, technicky přípustná hmotnost na zadní nápravu minimálně 11 500 kg; 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Kombinované přední pérování vzduchovými vlnovcovými pružinami a teleskopickými tlumiči nebo jiné technické řešení předního pérování, s předním stabilizátorem nebo obdobné technické řešení;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Kombinované zadní pérování vzduchovými vlnovcovými pružinami a s vinutými pružinami včetně teleskopických tlumičů nebo jiné technické řešení zadního pérování, s torzním stabilizátorem nebo obdobné technické řešení;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Nádrž palivová o objemu minimálně 300 l, hliník, vyhřívaný filtr, nádrž AdBlue o objemu minimálně 35 l;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Soustava sací pro krátkou kabinu vyvedena nahoře za kabinou, 2 vložky;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Soustava emisní, koncovka výfuku dolů, katalyzátor na rámu vozidla;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Sklápění korby - podvozek plně hydraulicky vybaven (tří-stranný sklápěč)+ rychlospojky pro přívěs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Vzduchot</w:t>
      </w:r>
      <w:r w:rsidR="00E02638">
        <w:rPr>
          <w:rFonts w:ascii="Times New Roman" w:eastAsia="Times New Roman" w:hAnsi="Times New Roman" w:cs="Times New Roman"/>
          <w:sz w:val="24"/>
          <w:szCs w:val="24"/>
          <w:lang w:eastAsia="cs-CZ"/>
        </w:rPr>
        <w:t>ech.</w:t>
      </w: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podvozku – soustava vzduchová podvozek – sklápění korby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Vzduchová soustava – rám s přívěsem;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ABS, EBS – přívěsu, 15-pólová zásuvka přívěsu;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Homologovaný limit zadní příčky rámu minimálně 200 kN;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Připojovací zařízení, závěs o průměru 50 mm, minimální homologovaný limit F=200 kN; </w:t>
      </w:r>
    </w:p>
    <w:p w:rsidR="00CC2DB2" w:rsidRPr="00CC2DB2" w:rsidRDefault="00CC2DB2" w:rsidP="00CC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Elektrovýstroj podvozku 24 V, alternátor minimálně 100 A, akumulátor minimálně 2x 180 Ah;</w:t>
      </w:r>
    </w:p>
    <w:p w:rsidR="00924E5F" w:rsidRPr="00EF7A95" w:rsidRDefault="00CC2DB2" w:rsidP="00EF7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DB2">
        <w:rPr>
          <w:rFonts w:ascii="Times New Roman" w:eastAsia="Times New Roman" w:hAnsi="Times New Roman" w:cs="Times New Roman"/>
          <w:sz w:val="24"/>
          <w:szCs w:val="24"/>
          <w:lang w:eastAsia="cs-CZ"/>
        </w:rPr>
        <w:t>Pneumatiky 385/65 R22,5 + 315/80 R22,5, smíšený provoz (M + S);</w:t>
      </w:r>
    </w:p>
    <w:sectPr w:rsidR="00924E5F" w:rsidRPr="00EF7A95" w:rsidSect="00EF7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B2"/>
    <w:rsid w:val="00307F46"/>
    <w:rsid w:val="007F52F7"/>
    <w:rsid w:val="00A96D13"/>
    <w:rsid w:val="00CC2DB2"/>
    <w:rsid w:val="00DC2A69"/>
    <w:rsid w:val="00E02638"/>
    <w:rsid w:val="00EF7A95"/>
    <w:rsid w:val="00F44D35"/>
    <w:rsid w:val="00F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B518C-126F-4F71-A003-E2D91EEC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2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SPŠD Plzeň-Křimice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Baxa</dc:creator>
  <cp:keywords/>
  <dc:description/>
  <cp:lastModifiedBy>Jana Slámová</cp:lastModifiedBy>
  <cp:revision>2</cp:revision>
  <cp:lastPrinted>2019-11-25T10:35:00Z</cp:lastPrinted>
  <dcterms:created xsi:type="dcterms:W3CDTF">2022-04-13T10:36:00Z</dcterms:created>
  <dcterms:modified xsi:type="dcterms:W3CDTF">2022-04-13T10:36:00Z</dcterms:modified>
</cp:coreProperties>
</file>