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58" w:h="523" w:wrap="none" w:hAnchor="page" w:x="3858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</w:p>
    <w:p>
      <w:pPr>
        <w:pStyle w:val="Style2"/>
        <w:keepNext w:val="0"/>
        <w:keepLines w:val="0"/>
        <w:framePr w:w="4258" w:h="523" w:wrap="none" w:hAnchor="page" w:x="38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Smlouvy o partnerství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finančním příspěvkem</w:t>
      </w:r>
    </w:p>
    <w:p>
      <w:pPr>
        <w:pStyle w:val="Style2"/>
        <w:keepNext w:val="0"/>
        <w:keepLines w:val="0"/>
        <w:framePr w:w="1747" w:h="254" w:wrap="none" w:hAnchor="page" w:x="5121" w:y="7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Smlouvy)</w:t>
      </w:r>
    </w:p>
    <w:p>
      <w:pPr>
        <w:pStyle w:val="Style2"/>
        <w:keepNext w:val="0"/>
        <w:keepLines w:val="0"/>
        <w:framePr w:w="9110" w:h="3379" w:wrap="none" w:hAnchor="page" w:x="1444" w:y="1316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podle § 1746 odst. 2 zákona č. 89/2012 Sb., občanský zákoník</w:t>
      </w:r>
    </w:p>
    <w:p>
      <w:pPr>
        <w:pStyle w:val="Style2"/>
        <w:keepNext w:val="0"/>
        <w:keepLines w:val="0"/>
        <w:framePr w:w="9110" w:h="3379" w:wrap="none" w:hAnchor="page" w:x="1444" w:y="1316"/>
        <w:widowControl w:val="0"/>
        <w:numPr>
          <w:ilvl w:val="0"/>
          <w:numId w:val="1"/>
        </w:numPr>
        <w:shd w:val="clear" w:color="auto" w:fill="auto"/>
        <w:tabs>
          <w:tab w:pos="695" w:val="left"/>
          <w:tab w:pos="695" w:val="left"/>
        </w:tabs>
        <w:bidi w:val="0"/>
        <w:spacing w:before="0" w:after="3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Dodatku č.2 je změna ve vykázání Indikátorů.</w:t>
      </w:r>
    </w:p>
    <w:p>
      <w:pPr>
        <w:pStyle w:val="Style2"/>
        <w:keepNext w:val="0"/>
        <w:keepLines w:val="0"/>
        <w:framePr w:w="9110" w:h="3379" w:wrap="none" w:hAnchor="page" w:x="1444" w:y="1316"/>
        <w:widowControl w:val="0"/>
        <w:numPr>
          <w:ilvl w:val="0"/>
          <w:numId w:val="1"/>
        </w:numPr>
        <w:shd w:val="clear" w:color="auto" w:fill="auto"/>
        <w:tabs>
          <w:tab w:pos="695" w:val="left"/>
          <w:tab w:pos="695" w:val="left"/>
        </w:tabs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Dodatkem č. 2 se mění následující Článek Smlouvy:</w:t>
      </w:r>
    </w:p>
    <w:p>
      <w:pPr>
        <w:pStyle w:val="Style2"/>
        <w:keepNext w:val="0"/>
        <w:keepLines w:val="0"/>
        <w:framePr w:w="9110" w:h="3379" w:wrap="none" w:hAnchor="page" w:x="1444" w:y="1316"/>
        <w:widowControl w:val="0"/>
        <w:shd w:val="clear" w:color="auto" w:fill="auto"/>
        <w:bidi w:val="0"/>
        <w:spacing w:before="0" w:after="30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Článek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odstavec 6, odrážka šestá, mění se text následujícím způsobem:</w:t>
      </w:r>
    </w:p>
    <w:p>
      <w:pPr>
        <w:pStyle w:val="Style2"/>
        <w:keepNext w:val="0"/>
        <w:keepLines w:val="0"/>
        <w:framePr w:w="9110" w:h="3379" w:wrap="none" w:hAnchor="page" w:x="1444" w:y="1316"/>
        <w:widowControl w:val="0"/>
        <w:shd w:val="clear" w:color="auto" w:fill="auto"/>
        <w:bidi w:val="0"/>
        <w:spacing w:before="0" w:after="4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během realizace Projektu poskytnout součinnost při naplňování indikátorů Projektu uvedených v</w:t>
      </w:r>
    </w:p>
    <w:p>
      <w:pPr>
        <w:pStyle w:val="Style2"/>
        <w:keepNext w:val="0"/>
        <w:keepLines w:val="0"/>
        <w:framePr w:w="806" w:h="245" w:wrap="none" w:hAnchor="page" w:x="2164" w:y="4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Projektu.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shd w:val="clear" w:color="auto" w:fill="auto"/>
        <w:bidi w:val="0"/>
        <w:spacing w:before="0" w:after="340" w:line="264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Partner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průběhu realizace projektu uvedeného v článku II. Smlouvy naplní tyto indikátory: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numPr>
          <w:ilvl w:val="0"/>
          <w:numId w:val="3"/>
        </w:numPr>
        <w:shd w:val="clear" w:color="auto" w:fill="auto"/>
        <w:tabs>
          <w:tab w:pos="715" w:val="left"/>
          <w:tab w:pos="715" w:val="left"/>
        </w:tabs>
        <w:bidi w:val="0"/>
        <w:spacing w:before="0" w:after="80" w:line="262" w:lineRule="exact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20400 Počet nových výzkumných pracovníků v podporovaných subjektech: 0 FTE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numPr>
          <w:ilvl w:val="0"/>
          <w:numId w:val="3"/>
        </w:numPr>
        <w:shd w:val="clear" w:color="auto" w:fill="auto"/>
        <w:tabs>
          <w:tab w:pos="715" w:val="left"/>
          <w:tab w:pos="715" w:val="left"/>
        </w:tabs>
        <w:bidi w:val="0"/>
        <w:spacing w:before="0" w:after="80" w:line="262" w:lineRule="exact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20500 Počet výzkumných pracovníků, kteří pracují v modernizovaných výzkumných infrastrukturách: 20 FTE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numPr>
          <w:ilvl w:val="0"/>
          <w:numId w:val="3"/>
        </w:numPr>
        <w:shd w:val="clear" w:color="auto" w:fill="auto"/>
        <w:tabs>
          <w:tab w:pos="715" w:val="left"/>
          <w:tab w:pos="715" w:val="left"/>
        </w:tabs>
        <w:bidi w:val="0"/>
        <w:spacing w:before="0" w:after="80" w:line="262" w:lineRule="exact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20213 Odborné publikace ve spoluautorství výzkumných organizací a podniků: 7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numPr>
          <w:ilvl w:val="0"/>
          <w:numId w:val="3"/>
        </w:numPr>
        <w:shd w:val="clear" w:color="auto" w:fill="auto"/>
        <w:tabs>
          <w:tab w:pos="715" w:val="left"/>
          <w:tab w:pos="715" w:val="left"/>
        </w:tabs>
        <w:bidi w:val="0"/>
        <w:spacing w:before="0" w:after="80" w:line="262" w:lineRule="exact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22011 Mezinárodní patentové přihlášky (PCT) vytvořené podpořenými subjekty: 1.</w:t>
      </w:r>
    </w:p>
    <w:p>
      <w:pPr>
        <w:pStyle w:val="Style2"/>
        <w:keepNext w:val="0"/>
        <w:keepLines w:val="0"/>
        <w:framePr w:w="7694" w:h="3470" w:wrap="none" w:hAnchor="page" w:x="2850" w:y="5238"/>
        <w:widowControl w:val="0"/>
        <w:numPr>
          <w:ilvl w:val="0"/>
          <w:numId w:val="3"/>
        </w:numPr>
        <w:shd w:val="clear" w:color="auto" w:fill="auto"/>
        <w:tabs>
          <w:tab w:pos="715" w:val="left"/>
          <w:tab w:pos="715" w:val="left"/>
        </w:tabs>
        <w:bidi w:val="0"/>
        <w:spacing w:before="0" w:after="80" w:line="262" w:lineRule="exact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21502 Počet nových produktů modernizujících systémy strategického řízení ve výzkumných organizacích: 0</w:t>
      </w:r>
    </w:p>
    <w:p>
      <w:pPr>
        <w:pStyle w:val="Style2"/>
        <w:keepNext w:val="0"/>
        <w:keepLines w:val="0"/>
        <w:framePr w:w="8770" w:h="1382" w:wrap="none" w:hAnchor="page" w:x="1756" w:y="9222"/>
        <w:widowControl w:val="0"/>
        <w:shd w:val="clear" w:color="auto" w:fill="auto"/>
        <w:bidi w:val="0"/>
        <w:spacing w:before="0" w:after="600" w:line="2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 Ostatní články Smlouvy zůstávají beze změny.</w:t>
      </w:r>
    </w:p>
    <w:p>
      <w:pPr>
        <w:pStyle w:val="Style2"/>
        <w:keepNext w:val="0"/>
        <w:keepLines w:val="0"/>
        <w:framePr w:w="8770" w:h="1382" w:wrap="none" w:hAnchor="page" w:x="1756" w:y="9222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č.2 je vyhotoven ve 2 vyhotoveních, z nichž každá ze smluvních stran obdrží po jednom vyhotovení.</w:t>
      </w:r>
    </w:p>
    <w:p>
      <w:pPr>
        <w:pStyle w:val="Style2"/>
        <w:keepNext w:val="0"/>
        <w:keepLines w:val="0"/>
        <w:framePr w:w="2563" w:h="749" w:wrap="none" w:hAnchor="page" w:x="1406" w:y="10350"/>
        <w:widowControl w:val="0"/>
        <w:shd w:val="clear" w:color="auto" w:fill="auto"/>
        <w:tabs>
          <w:tab w:leader="dot" w:pos="1973" w:val="left"/>
        </w:tabs>
        <w:bidi w:val="0"/>
        <w:spacing w:before="0" w:after="0" w:line="504" w:lineRule="exact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jednom vy^o^ní.^^ V Ostravě, dne</w:t>
        <w:tab/>
      </w:r>
    </w:p>
    <w:p>
      <w:pPr>
        <w:pStyle w:val="Style2"/>
        <w:keepNext w:val="0"/>
        <w:keepLines w:val="0"/>
        <w:framePr w:w="1848" w:h="278" w:wrap="none" w:hAnchor="page" w:x="6354" w:y="10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Senově u NJ, dne .</w:t>
      </w:r>
    </w:p>
    <w:p>
      <w:pPr>
        <w:pStyle w:val="Style2"/>
        <w:keepNext w:val="0"/>
        <w:keepLines w:val="0"/>
        <w:framePr w:w="821" w:h="245" w:wrap="none" w:hAnchor="page" w:x="1612" w:y="12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Příjemce</w:t>
      </w:r>
    </w:p>
    <w:p>
      <w:pPr>
        <w:pStyle w:val="Style2"/>
        <w:keepNext w:val="0"/>
        <w:keepLines w:val="0"/>
        <w:framePr w:w="869" w:h="206" w:wrap="none" w:hAnchor="page" w:x="6786" w:y="124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Partner 1</w:t>
      </w:r>
    </w:p>
    <w:p>
      <w:pPr>
        <w:pStyle w:val="Style6"/>
        <w:keepNext w:val="0"/>
        <w:keepLines w:val="0"/>
        <w:framePr w:w="3451" w:h="365" w:wrap="none" w:hAnchor="page" w:x="1324" w:y="127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Prof.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MUDr. Jan Lata. CSc.. rektor Ol i</w:t>
      </w:r>
    </w:p>
    <w:p>
      <w:pPr>
        <w:pStyle w:val="Style8"/>
        <w:keepNext w:val="0"/>
        <w:keepLines w:val="0"/>
        <w:framePr w:w="5213" w:h="653" w:wrap="none" w:hAnchor="page" w:x="3993" w:y="14204"/>
        <w:widowControl w:val="0"/>
        <w:shd w:val="clear" w:color="auto" w:fill="auto"/>
        <w:tabs>
          <w:tab w:pos="397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EVROPSKÁ UNIE</w:t>
        <w:tab/>
      </w:r>
      <w:r>
        <w:rPr>
          <w:color w:val="448A91"/>
          <w:spacing w:val="0"/>
          <w:w w:val="100"/>
          <w:position w:val="0"/>
          <w:shd w:val="clear" w:color="auto" w:fill="auto"/>
          <w:lang w:val="cs-CZ" w:eastAsia="cs-CZ" w:bidi="cs-CZ"/>
        </w:rPr>
        <w:t>|\/|&lt;^</w:t>
      </w:r>
    </w:p>
    <w:p>
      <w:pPr>
        <w:pStyle w:val="Style8"/>
        <w:keepNext w:val="0"/>
        <w:keepLines w:val="0"/>
        <w:framePr w:w="5213" w:h="653" w:wrap="none" w:hAnchor="page" w:x="3993" w:y="14204"/>
        <w:widowControl w:val="0"/>
        <w:shd w:val="clear" w:color="auto" w:fill="auto"/>
        <w:tabs>
          <w:tab w:pos="413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Evropské strukturální a investiční fondy</w:t>
        <w:tab/>
      </w:r>
      <w:r>
        <w:rPr>
          <w:color w:val="448A91"/>
          <w:spacing w:val="0"/>
          <w:w w:val="100"/>
          <w:position w:val="0"/>
          <w:shd w:val="clear" w:color="auto" w:fill="auto"/>
          <w:lang w:val="cs-CZ" w:eastAsia="cs-CZ" w:bidi="cs-CZ"/>
        </w:rPr>
        <w:t>rVl I</w:t>
      </w:r>
    </w:p>
    <w:p>
      <w:pPr>
        <w:pStyle w:val="Style8"/>
        <w:keepNext w:val="0"/>
        <w:keepLines w:val="0"/>
        <w:framePr w:w="5213" w:h="653" w:wrap="none" w:hAnchor="page" w:x="3993" w:y="142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Operační program Výzkum, vývoj a vzdělávání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^niste-s ,</w:t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. o </w:t>
      </w:r>
      <w:r>
        <w:rPr>
          <w:smallCaps/>
          <w:color w:val="448A91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Zols-.í</w:t>
      </w:r>
    </w:p>
    <w:p>
      <w:pPr>
        <w:pStyle w:val="Style13"/>
        <w:keepNext w:val="0"/>
        <w:keepLines w:val="0"/>
        <w:framePr w:w="1368" w:h="144" w:wrap="none" w:hAnchor="page" w:x="7722" w:y="14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MLÁDEŽE A TĚLOVÝCHOVY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353" w:right="1347" w:bottom="340" w:left="1323" w:header="925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Základní text (4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Základní text (4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Tisk C:\Users\Skapova.MS\AppData\Local\Temp\Magion\E90F.pdf</dc:title>
  <dc:subject/>
  <dc:creator>Skapova</dc:creator>
  <cp:keywords/>
</cp:coreProperties>
</file>