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0" w:after="0" w:line="220" w:lineRule="exact"/>
        <w:ind w:left="896" w:right="0" w:firstLine="0"/>
      </w:pPr>
      <w:r>
        <w:drawing>
          <wp:anchor simplePos="0" relativeHeight="251658551" behindDoc="0" locked="0" layoutInCell="1" allowOverlap="1">
            <wp:simplePos x="0" y="0"/>
            <wp:positionH relativeFrom="page">
              <wp:posOffset>3417485</wp:posOffset>
            </wp:positionH>
            <wp:positionV relativeFrom="line">
              <wp:posOffset>0</wp:posOffset>
            </wp:positionV>
            <wp:extent cx="1194710" cy="14020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4710" cy="140208"/>
                    </a:xfrm>
                    <a:custGeom>
                      <a:rect l="l" t="t" r="r" b="b"/>
                      <a:pathLst>
                        <a:path w="1194710" h="140208">
                          <a:moveTo>
                            <a:pt x="0" y="140208"/>
                          </a:moveTo>
                          <a:lnTo>
                            <a:pt x="1194710" y="140208"/>
                          </a:lnTo>
                          <a:lnTo>
                            <a:pt x="11947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Ivana Kov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říková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13. dubna 2022 9:30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Ondřej Kraus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ávka dle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ámcové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ohody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 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ti na L - 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cept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den,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896" w:right="201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akceptuj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 objednávku č.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2022/OBJ/43 ze dne 12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.4.2022 na stolní počítače a monitor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dle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objednávkového formuláře.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Ivana Kovaříková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18" baseline="0" dirty="0">
          <w:jc w:val="left"/>
          <w:rFonts w:ascii="Arial" w:hAnsi="Arial" w:cs="Arial"/>
          <w:color w:val="5F5F5F"/>
          <w:sz w:val="18"/>
          <w:szCs w:val="18"/>
        </w:rPr>
        <w:t>From: </w:t>
      </w:r>
      <w:r>
        <w:rPr lang="cs-CZ" sz="18" baseline="0" dirty="0">
          <w:jc w:val="left"/>
          <w:rFonts w:ascii="Arial" w:hAnsi="Arial" w:cs="Arial"/>
          <w:color w:val="5F5F5F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5F5F5F"/>
          <w:sz w:val="18"/>
          <w:szCs w:val="18"/>
        </w:rPr>
        <w:t>     </w:t>
      </w:r>
      <w:r>
        <w:rPr lang="cs-CZ" sz="18" baseline="0" dirty="0">
          <w:jc w:val="left"/>
          <w:rFonts w:ascii="Arial" w:hAnsi="Arial" w:cs="Arial"/>
          <w:color w:val="5F5F5F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"Ondřej Kraus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</w:tabs>
        <w:spacing w:before="0" w:after="0" w:line="220" w:lineRule="exact"/>
        <w:ind w:left="896" w:right="0" w:firstLine="0"/>
      </w:pPr>
      <w:r>
        <w:drawing>
          <wp:anchor simplePos="0" relativeHeight="251658567" behindDoc="0" locked="0" layoutInCell="1" allowOverlap="1">
            <wp:simplePos x="0" y="0"/>
            <wp:positionH relativeFrom="page">
              <wp:posOffset>1320038</wp:posOffset>
            </wp:positionH>
            <wp:positionV relativeFrom="line">
              <wp:posOffset>0</wp:posOffset>
            </wp:positionV>
            <wp:extent cx="805129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129" cy="140208"/>
                    </a:xfrm>
                    <a:custGeom>
                      <a:rect l="l" t="t" r="r" b="b"/>
                      <a:pathLst>
                        <a:path w="805129" h="140208">
                          <a:moveTo>
                            <a:pt x="0" y="140208"/>
                          </a:moveTo>
                          <a:lnTo>
                            <a:pt x="805129" y="140208"/>
                          </a:lnTo>
                          <a:lnTo>
                            <a:pt x="805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5F5F5F"/>
          <w:sz w:val="18"/>
          <w:szCs w:val="18"/>
        </w:rPr>
        <w:t>To:       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668" w:type="dxa"/>
        <w:tblLook w:val="04A0" w:firstRow="1" w:lastRow="0" w:firstColumn="1" w:lastColumn="0" w:noHBand="0" w:noVBand="1"/>
      </w:tblPr>
      <w:tblGrid>
        <w:gridCol w:w="127"/>
        <w:gridCol w:w="1208"/>
        <w:gridCol w:w="1418"/>
      </w:tblGrid>
      <w:tr>
        <w:trPr>
          <w:trHeight w:hRule="exact" w:val="220"/>
        </w:trPr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" w:right="-18" w:firstLine="0"/>
            </w:pP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"  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2917" w:space="-20"/>
            <w:col w:w="2794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18" baseline="0" dirty="0">
          <w:jc w:val="left"/>
          <w:rFonts w:ascii="Arial" w:hAnsi="Arial" w:cs="Arial"/>
          <w:color w:val="5F5F5F"/>
          <w:sz w:val="18"/>
          <w:szCs w:val="18"/>
        </w:rPr>
        <w:t>Date:   </w:t>
      </w:r>
      <w:r>
        <w:rPr lang="cs-CZ" sz="18" baseline="0" dirty="0">
          <w:jc w:val="left"/>
          <w:rFonts w:ascii="Arial" w:hAnsi="Arial" w:cs="Arial"/>
          <w:color w:val="5F5F5F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5F5F5F"/>
          <w:sz w:val="18"/>
          <w:szCs w:val="18"/>
        </w:rPr>
        <w:t>  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12.04.2022 11:59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18" baseline="0" dirty="0">
          <w:jc w:val="left"/>
          <w:rFonts w:ascii="Arial" w:hAnsi="Arial" w:cs="Arial"/>
          <w:color w:val="5F5F5F"/>
          <w:sz w:val="18"/>
          <w:szCs w:val="18"/>
        </w:rPr>
        <w:t>Subject:  </w:t>
      </w:r>
      <w:r>
        <w:rPr lang="cs-CZ" sz="18" baseline="0" dirty="0">
          <w:jc w:val="left"/>
          <w:rFonts w:ascii="Arial" w:hAnsi="Arial" w:cs="Arial"/>
          <w:color w:val="5F5F5F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5F5F5F"/>
          <w:sz w:val="18"/>
          <w:szCs w:val="18"/>
        </w:rPr>
        <w:t>    </w:t>
      </w:r>
      <w:r>
        <w:rPr lang="cs-CZ" sz="18" baseline="0" dirty="0">
          <w:jc w:val="left"/>
          <w:rFonts w:ascii="Arial" w:hAnsi="Arial" w:cs="Arial"/>
          <w:color w:val="5F5F5F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dle rámcové dohody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106680</wp:posOffset>
            </wp:positionV>
            <wp:extent cx="5972809" cy="2032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2809" cy="20320"/>
                    </a:xfrm>
                    <a:custGeom>
                      <a:rect l="l" t="t" r="r" b="b"/>
                      <a:pathLst>
                        <a:path w="5972809" h="20320">
                          <a:moveTo>
                            <a:pt x="0" y="20320"/>
                          </a:moveTo>
                          <a:lnTo>
                            <a:pt x="5972809" y="20320"/>
                          </a:lnTo>
                          <a:lnTo>
                            <a:pt x="5972809" y="0"/>
                          </a:lnTo>
                          <a:lnTo>
                            <a:pt x="0" y="0"/>
                          </a:lnTo>
                          <a:lnTo>
                            <a:pt x="0" y="20320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Vá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doda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ateli,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1442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 základě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ám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é dohod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číslo CES: 25/2021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-MSP-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CES u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řené me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 Vaší 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společností a Minister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tvem spra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edlnosti ze dne 15.09.2021 objedná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áme u Vaší 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společnosti 7ks stolních počíta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ů, 3k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monitoru t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 A a 3ks klá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esnic se čteč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 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čipo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ch karet.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2607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Ondř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j Kraus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-131064</wp:posOffset>
            </wp:positionV>
            <wp:extent cx="1076325" cy="150495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632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1986026</wp:posOffset>
            </wp:positionH>
            <wp:positionV relativeFrom="paragraph">
              <wp:posOffset>5689</wp:posOffset>
            </wp:positionV>
            <wp:extent cx="681609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1609" cy="168707"/>
                    </a:xfrm>
                    <a:custGeom>
                      <a:rect l="l" t="t" r="r" b="b"/>
                      <a:pathLst>
                        <a:path w="681609" h="168707">
                          <a:moveTo>
                            <a:pt x="0" y="168707"/>
                          </a:moveTo>
                          <a:lnTo>
                            <a:pt x="681609" y="168707"/>
                          </a:lnTo>
                          <a:lnTo>
                            <a:pt x="68160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2607" w:right="5372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Okresní soud v Ústí nad Labem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Kramol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641/37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260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401 24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Ústí nad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abem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2607" w:right="0" w:firstLine="0"/>
      </w:pPr>
      <w:r/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telefon: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0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mobil: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0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e-mail: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0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web: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734" w:type="dxa"/>
        <w:tblLook w:val="04A0" w:firstRow="1" w:lastRow="0" w:firstColumn="1" w:lastColumn="0" w:noHBand="0" w:noVBand="1"/>
      </w:tblPr>
      <w:tblGrid>
        <w:gridCol w:w="1540"/>
        <w:gridCol w:w="201"/>
        <w:gridCol w:w="1078"/>
      </w:tblGrid>
      <w:tr>
        <w:trPr>
          <w:trHeight w:hRule="exact" w:val="240"/>
        </w:trPr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3917" w:space="-20"/>
            <w:col w:w="2860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Ivana Kovaříková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asistentka ředitele společnosti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927" w:right="5451" w:firstLine="0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4747895</wp:posOffset>
            </wp:positionH>
            <wp:positionV relativeFrom="line">
              <wp:posOffset>162217</wp:posOffset>
            </wp:positionV>
            <wp:extent cx="2314575" cy="60007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 akciová společnost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|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Vinohradská 184,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130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52  Praha 3  </w:t>
      </w:r>
      <w:r/>
    </w:p>
    <w:tbl>
      <w:tblPr>
        <w:tblStyle w:val="TableGrid"/>
        <w:tblLayout w:type="fixed"/>
        <w:tblpPr w:leftFromText="0" w:rightFromText="0" w:vertAnchor="text" w:horzAnchor="page" w:tblpX="1447" w:tblpY="0"/>
        <w:tblOverlap w:val="never"/>
        "
        <w:tblW w:w="4516" w:type="dxa"/>
        <w:tblLook w:val="04A0" w:firstRow="1" w:lastRow="0" w:firstColumn="1" w:lastColumn="0" w:noHBand="0" w:noVBand="1"/>
      </w:tblPr>
      <w:tblGrid>
        <w:gridCol w:w="1754"/>
        <w:gridCol w:w="2782"/>
      </w:tblGrid>
      <w:tr>
        <w:trPr>
          <w:trHeight w:hRule="exact" w:val="26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918844</wp:posOffset>
            </wp:positionH>
            <wp:positionV relativeFrom="page">
              <wp:posOffset>9092376</wp:posOffset>
            </wp:positionV>
            <wp:extent cx="6143625" cy="57148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3625" cy="57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76" w:lineRule="exact"/>
        <w:ind w:left="927" w:right="58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 této zpráv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stejně jako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 související osobní a telefonické komunikace zástupců 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zaměstnanců společnosti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 slouží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lučně jako prostředek k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informací a, není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to 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slovně uvedeno, nejsou právním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jednáním zakládajícím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závaznou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nabídku,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vznik,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zánik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následků anebo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směřujícím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bezprostředně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uzavření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společnost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nenese  jakoukoliv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odpovědnost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za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důsledk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vzniklou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neuzavřením 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3" Type="http://schemas.openxmlformats.org/officeDocument/2006/relationships/image" Target="media/image103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2022-04-13T08:29:27Z</dcterms:created>
  <dcterms:modified xsi:type="dcterms:W3CDTF">2022-04-13T08:29:27Z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