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spacing w:lineRule="auto" w:line="276" w:before="0" w:after="120"/>
        <w:rPr/>
      </w:pPr>
      <w:r>
        <w:rPr>
          <w:sz w:val="22"/>
          <w:szCs w:val="24"/>
          <w:u w:val="single"/>
        </w:rPr>
        <w:t xml:space="preserve">Smlouva o vypořádání závazků </w:t>
      </w:r>
    </w:p>
    <w:p>
      <w:pPr>
        <w:pStyle w:val="Podtitul"/>
        <w:spacing w:lineRule="auto" w:line="276" w:before="0" w:after="120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sz w:val="22"/>
          <w:szCs w:val="24"/>
          <w:u w:val="none"/>
        </w:rPr>
        <w:t>4</w:t>
      </w:r>
      <w:r>
        <w:rPr>
          <w:i w:val="false"/>
          <w:iCs w:val="false"/>
          <w:sz w:val="22"/>
          <w:szCs w:val="24"/>
          <w:u w:val="none"/>
        </w:rPr>
        <w:t>1/70836256/2022</w:t>
      </w:r>
    </w:p>
    <w:p>
      <w:pPr>
        <w:pStyle w:val="Textbody"/>
        <w:spacing w:lineRule="auto" w:line="276"/>
        <w:jc w:val="center"/>
        <w:rPr/>
      </w:pPr>
      <w:r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>
      <w:pPr>
        <w:pStyle w:val="ListContinue"/>
        <w:spacing w:lineRule="auto" w:line="276"/>
        <w:ind w:left="0" w:hanging="0"/>
        <w:jc w:val="both"/>
        <w:rPr/>
      </w:pPr>
      <w:r>
        <w:rPr>
          <w:b/>
          <w:i/>
          <w:sz w:val="22"/>
          <w:szCs w:val="24"/>
        </w:rPr>
        <w:t>Objednatelem</w:t>
      </w:r>
    </w:p>
    <w:p>
      <w:pPr>
        <w:pStyle w:val="ListContinue"/>
        <w:spacing w:lineRule="auto" w:line="276"/>
        <w:jc w:val="both"/>
        <w:rPr/>
      </w:pPr>
      <w:r>
        <w:rPr>
          <w:sz w:val="22"/>
          <w:szCs w:val="24"/>
        </w:rPr>
        <w:t xml:space="preserve">Název: </w:t>
        <w:tab/>
      </w:r>
      <w:r>
        <w:rPr>
          <w:rFonts w:eastAsia="Times New Roman" w:cs="Times New Roman"/>
          <w:sz w:val="22"/>
          <w:szCs w:val="24"/>
          <w:lang w:eastAsia="cs-CZ"/>
        </w:rPr>
        <w:t>Základní škola Kouřim, Okružní 435</w:t>
      </w:r>
    </w:p>
    <w:p>
      <w:pPr>
        <w:pStyle w:val="ListContinue"/>
        <w:spacing w:lineRule="auto" w:line="276"/>
        <w:jc w:val="both"/>
        <w:rPr/>
      </w:pPr>
      <w:r>
        <w:rPr>
          <w:sz w:val="22"/>
          <w:szCs w:val="24"/>
        </w:rPr>
        <w:t>Sídlo:  Okružní 435, 281 61 Kouřim, IČO: 70836256</w:t>
      </w:r>
    </w:p>
    <w:p>
      <w:pPr>
        <w:pStyle w:val="ListContinue"/>
        <w:spacing w:lineRule="auto" w:line="276"/>
        <w:jc w:val="both"/>
        <w:rPr/>
      </w:pPr>
      <w:r>
        <w:rPr>
          <w:sz w:val="22"/>
          <w:szCs w:val="24"/>
        </w:rPr>
        <w:t>Zastoupený:  Mgr. Janou Ležalovou, ředitelkou Základní školy, Kouřim, Okružní 435</w:t>
      </w:r>
    </w:p>
    <w:p>
      <w:pPr>
        <w:pStyle w:val="ListContinue"/>
        <w:spacing w:lineRule="auto" w:line="276"/>
        <w:jc w:val="both"/>
        <w:rPr/>
      </w:pPr>
      <w:r>
        <w:rPr>
          <w:sz w:val="22"/>
          <w:szCs w:val="24"/>
        </w:rPr>
        <w:t>č.ú.: 0427289329/0800</w:t>
      </w:r>
    </w:p>
    <w:p>
      <w:pPr>
        <w:pStyle w:val="ListContinue"/>
        <w:spacing w:lineRule="auto" w:line="276"/>
        <w:ind w:left="0" w:firstLine="283"/>
        <w:jc w:val="both"/>
        <w:rPr/>
      </w:pPr>
      <w:r>
        <w:rPr>
          <w:sz w:val="22"/>
          <w:szCs w:val="24"/>
        </w:rPr>
        <w:t xml:space="preserve">kontaktní email: </w:t>
        <w:tab/>
        <w:t>zvskourim@centrum.cz</w:t>
      </w:r>
    </w:p>
    <w:p>
      <w:pPr>
        <w:pStyle w:val="ListContinue"/>
        <w:spacing w:lineRule="auto" w:line="276"/>
        <w:ind w:left="0" w:hanging="0"/>
        <w:jc w:val="both"/>
        <w:rPr/>
      </w:pPr>
      <w:r>
        <w:rPr>
          <w:sz w:val="22"/>
          <w:szCs w:val="24"/>
        </w:rPr>
        <w:t xml:space="preserve">                                   </w:t>
      </w:r>
      <w:r>
        <w:rPr>
          <w:sz w:val="22"/>
          <w:szCs w:val="24"/>
        </w:rPr>
        <w:t>a</w:t>
      </w:r>
    </w:p>
    <w:p>
      <w:pPr>
        <w:pStyle w:val="ListContinue"/>
        <w:spacing w:lineRule="auto" w:line="276"/>
        <w:ind w:left="0" w:hanging="0"/>
        <w:jc w:val="both"/>
        <w:rPr/>
      </w:pPr>
      <w:r>
        <w:rPr>
          <w:b/>
          <w:i/>
          <w:sz w:val="22"/>
          <w:szCs w:val="24"/>
        </w:rPr>
        <w:t>Dodavatelem</w:t>
      </w:r>
    </w:p>
    <w:p>
      <w:pPr>
        <w:pStyle w:val="ListContinue"/>
        <w:spacing w:lineRule="auto" w:line="276"/>
        <w:jc w:val="both"/>
        <w:rPr>
          <w:rFonts w:eastAsia="Times New Roman" w:cs="Times New Roman"/>
          <w:sz w:val="22"/>
          <w:szCs w:val="24"/>
          <w:lang w:eastAsia="cs-CZ"/>
        </w:rPr>
      </w:pPr>
      <w:r>
        <w:rPr>
          <w:rFonts w:eastAsia="Times New Roman" w:cs="Times New Roman"/>
          <w:sz w:val="22"/>
          <w:szCs w:val="24"/>
          <w:lang w:eastAsia="cs-CZ"/>
        </w:rPr>
        <w:t>TECHart systems, s.r.o.</w:t>
      </w:r>
    </w:p>
    <w:p>
      <w:pPr>
        <w:pStyle w:val="ListContinue"/>
        <w:spacing w:lineRule="auto" w:line="276"/>
        <w:jc w:val="both"/>
        <w:rPr>
          <w:rFonts w:eastAsia="Times New Roman" w:cs="Times New Roman"/>
          <w:sz w:val="22"/>
          <w:szCs w:val="24"/>
          <w:lang w:eastAsia="cs-CZ"/>
        </w:rPr>
      </w:pPr>
      <w:r>
        <w:rPr>
          <w:rFonts w:eastAsia="Times New Roman" w:cs="Times New Roman"/>
          <w:sz w:val="22"/>
          <w:szCs w:val="24"/>
          <w:lang w:eastAsia="cs-CZ"/>
        </w:rPr>
        <w:t xml:space="preserve">Komenského 128, 281 61 Kouřim </w:t>
      </w:r>
    </w:p>
    <w:p>
      <w:pPr>
        <w:pStyle w:val="ListContinue"/>
        <w:spacing w:lineRule="auto" w:line="276"/>
        <w:jc w:val="both"/>
        <w:rPr/>
      </w:pPr>
      <w:r>
        <w:rPr>
          <w:sz w:val="22"/>
          <w:szCs w:val="24"/>
        </w:rPr>
        <w:t>IČ: 26172615</w:t>
      </w:r>
    </w:p>
    <w:p>
      <w:pPr>
        <w:pStyle w:val="ListContinue"/>
        <w:spacing w:lineRule="auto" w:line="276"/>
        <w:jc w:val="both"/>
        <w:rPr>
          <w:sz w:val="22"/>
          <w:szCs w:val="24"/>
        </w:rPr>
      </w:pPr>
      <w:r>
        <w:rPr>
          <w:rStyle w:val="Silnzdraznn"/>
          <w:sz w:val="22"/>
          <w:szCs w:val="24"/>
        </w:rPr>
        <w:t>DIČ: CZ26172615</w:t>
      </w:r>
      <w:r>
        <w:rPr>
          <w:sz w:val="22"/>
          <w:szCs w:val="24"/>
        </w:rPr>
        <w:t xml:space="preserve"> </w:t>
      </w:r>
    </w:p>
    <w:p>
      <w:pPr>
        <w:pStyle w:val="ListContinue"/>
        <w:spacing w:lineRule="auto" w:line="276"/>
        <w:jc w:val="both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ListContinue"/>
        <w:spacing w:lineRule="auto" w:line="276"/>
        <w:jc w:val="both"/>
        <w:rPr/>
      </w:pPr>
      <w:r>
        <w:rPr>
          <w:sz w:val="22"/>
          <w:szCs w:val="24"/>
        </w:rPr>
        <w:t xml:space="preserve">Zapsaná v obchodním rejstříku vedeném Městským soudem v Praze, oddíl  </w:t>
      </w:r>
    </w:p>
    <w:tbl>
      <w:tblPr>
        <w:tblW w:w="7480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2"/>
        <w:gridCol w:w="4412"/>
        <w:gridCol w:w="1307"/>
        <w:gridCol w:w="1638"/>
      </w:tblGrid>
      <w:tr>
        <w:trPr/>
        <w:tc>
          <w:tcPr>
            <w:tcW w:w="122" w:type="dxa"/>
            <w:tcBorders/>
            <w:shd w:fill="auto" w:val="clear"/>
            <w:vAlign w:val="center"/>
          </w:tcPr>
          <w:p>
            <w:pPr>
              <w:pStyle w:val="Nadpistabulky"/>
              <w:rPr>
                <w:rFonts w:eastAsia="Times New Roman" w:cs="Times New Roman"/>
                <w:sz w:val="22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2"/>
                <w:szCs w:val="24"/>
                <w:lang w:eastAsia="cs-CZ"/>
              </w:rPr>
            </w:r>
          </w:p>
        </w:tc>
        <w:tc>
          <w:tcPr>
            <w:tcW w:w="4412" w:type="dxa"/>
            <w:tcBorders/>
            <w:shd w:fill="auto" w:val="clear"/>
            <w:vAlign w:val="center"/>
          </w:tcPr>
          <w:p>
            <w:pPr>
              <w:pStyle w:val="Obsahtabulky"/>
              <w:rPr>
                <w:rFonts w:eastAsia="Times New Roman" w:cs="Times New Roman"/>
                <w:b w:val="false"/>
                <w:b w:val="false"/>
                <w:bCs w:val="false"/>
                <w:sz w:val="22"/>
                <w:szCs w:val="24"/>
                <w:lang w:eastAsia="cs-CZ"/>
              </w:rPr>
            </w:pPr>
            <w:r>
              <w:rPr>
                <w:rFonts w:eastAsia="Times New Roman" w:cs="Times New Roman"/>
                <w:b w:val="false"/>
                <w:bCs w:val="false"/>
                <w:sz w:val="22"/>
                <w:szCs w:val="24"/>
                <w:lang w:eastAsia="cs-CZ"/>
              </w:rPr>
              <w:t xml:space="preserve">  </w:t>
            </w:r>
            <w:r>
              <w:rPr>
                <w:rFonts w:eastAsia="Times New Roman" w:cs="Times New Roman"/>
                <w:b w:val="false"/>
                <w:bCs w:val="false"/>
                <w:sz w:val="22"/>
                <w:szCs w:val="24"/>
                <w:lang w:eastAsia="cs-CZ"/>
              </w:rPr>
              <w:t xml:space="preserve">C 76785  </w:t>
            </w:r>
          </w:p>
        </w:tc>
        <w:tc>
          <w:tcPr>
            <w:tcW w:w="1307" w:type="dxa"/>
            <w:tcBorders/>
            <w:shd w:fill="auto" w:val="clear"/>
            <w:vAlign w:val="center"/>
          </w:tcPr>
          <w:p>
            <w:pPr>
              <w:pStyle w:val="Nadpistabulky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638" w:type="dxa"/>
            <w:tcBorders/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122" w:type="dxa"/>
            <w:tcBorders/>
            <w:shd w:fill="auto" w:val="clear"/>
            <w:vAlign w:val="center"/>
          </w:tcPr>
          <w:p>
            <w:pPr>
              <w:pStyle w:val="Nadpistabulky"/>
              <w:rPr>
                <w:rFonts w:eastAsia="Times New Roman" w:cs="Times New Roman"/>
                <w:sz w:val="22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2"/>
                <w:szCs w:val="24"/>
                <w:lang w:eastAsia="cs-CZ"/>
              </w:rPr>
            </w:r>
          </w:p>
        </w:tc>
        <w:tc>
          <w:tcPr>
            <w:tcW w:w="4412" w:type="dxa"/>
            <w:tcBorders/>
            <w:shd w:fill="auto" w:val="clear"/>
            <w:vAlign w:val="center"/>
          </w:tcPr>
          <w:p>
            <w:pPr>
              <w:pStyle w:val="Obsahtabulky"/>
              <w:rPr>
                <w:rFonts w:eastAsia="Times New Roman" w:cs="Times New Roman"/>
                <w:sz w:val="22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2"/>
                <w:szCs w:val="24"/>
                <w:lang w:eastAsia="cs-CZ"/>
              </w:rPr>
              <w:t xml:space="preserve">  </w:t>
            </w:r>
            <w:r>
              <w:rPr>
                <w:rFonts w:eastAsia="Times New Roman" w:cs="Times New Roman"/>
                <w:sz w:val="22"/>
                <w:szCs w:val="24"/>
                <w:lang w:eastAsia="cs-CZ"/>
              </w:rPr>
              <w:t>den zápisu:26.4.2000</w:t>
            </w:r>
          </w:p>
        </w:tc>
        <w:tc>
          <w:tcPr>
            <w:tcW w:w="1307" w:type="dxa"/>
            <w:tcBorders/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638" w:type="dxa"/>
            <w:tcBorders/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ListContinue"/>
        <w:spacing w:lineRule="auto" w:line="276"/>
        <w:ind w:left="283" w:hanging="0"/>
        <w:jc w:val="both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ListContinue"/>
        <w:spacing w:lineRule="auto" w:line="276"/>
        <w:jc w:val="both"/>
        <w:rPr/>
      </w:pPr>
      <w:r>
        <w:rPr>
          <w:sz w:val="22"/>
          <w:szCs w:val="24"/>
        </w:rPr>
        <w:t xml:space="preserve">bankovní spojení: </w:t>
      </w:r>
      <w:r>
        <w:rPr>
          <w:rFonts w:eastAsia="Times New Roman" w:cs="Times New Roman"/>
          <w:sz w:val="22"/>
          <w:szCs w:val="24"/>
          <w:lang w:eastAsia="cs-CZ"/>
        </w:rPr>
        <w:t>288773001/5500</w:t>
      </w:r>
    </w:p>
    <w:p>
      <w:pPr>
        <w:pStyle w:val="ListContinue"/>
        <w:spacing w:lineRule="auto" w:line="276"/>
        <w:jc w:val="both"/>
        <w:rPr/>
      </w:pPr>
      <w:r>
        <w:rPr>
          <w:sz w:val="22"/>
          <w:szCs w:val="24"/>
        </w:rPr>
        <w:t xml:space="preserve">zastoupena: </w:t>
      </w:r>
      <w:r>
        <w:rPr>
          <w:rFonts w:eastAsia="Times New Roman" w:cs="Times New Roman"/>
          <w:sz w:val="22"/>
          <w:szCs w:val="24"/>
          <w:lang w:eastAsia="cs-CZ"/>
        </w:rPr>
        <w:t>Ing. Radkem Linhartem</w:t>
      </w:r>
    </w:p>
    <w:p>
      <w:pPr>
        <w:pStyle w:val="ListContinue"/>
        <w:spacing w:lineRule="auto" w:line="276"/>
        <w:jc w:val="both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Standard"/>
        <w:spacing w:before="0" w:after="120"/>
        <w:jc w:val="center"/>
        <w:rPr/>
      </w:pPr>
      <w:r>
        <w:rPr>
          <w:rFonts w:cs="Times New Roman"/>
          <w:b/>
        </w:rPr>
        <w:t>I.</w:t>
      </w:r>
    </w:p>
    <w:p>
      <w:pPr>
        <w:pStyle w:val="Standard"/>
        <w:spacing w:before="0" w:after="120"/>
        <w:jc w:val="center"/>
        <w:rPr/>
      </w:pPr>
      <w:r>
        <w:rPr>
          <w:rFonts w:cs="Times New Roman"/>
          <w:b/>
        </w:rPr>
        <w:t>Popis skutkového stavu</w:t>
      </w:r>
    </w:p>
    <w:p>
      <w:pPr>
        <w:pStyle w:val="ListParagraph"/>
        <w:numPr>
          <w:ilvl w:val="0"/>
          <w:numId w:val="2"/>
        </w:numPr>
        <w:spacing w:lineRule="auto" w:line="276" w:before="0" w:after="120"/>
        <w:ind w:left="426" w:hanging="0"/>
        <w:jc w:val="both"/>
        <w:rPr/>
      </w:pPr>
      <w:r>
        <w:rPr>
          <w:rFonts w:cs="Times New Roman"/>
        </w:rPr>
        <w:t xml:space="preserve">Smluvní strany uzavřely dne </w:t>
      </w:r>
      <w:r>
        <w:rPr>
          <w:rFonts w:eastAsia="SimSun" w:cs="Times New Roman"/>
          <w:color w:val="auto"/>
          <w:kern w:val="2"/>
          <w:sz w:val="24"/>
          <w:szCs w:val="24"/>
          <w:lang w:val="cs-CZ" w:eastAsia="zh-CN" w:bidi="hi-IN"/>
        </w:rPr>
        <w:t>11.12.2020</w:t>
      </w:r>
      <w:r>
        <w:rPr>
          <w:rFonts w:cs="Times New Roman"/>
        </w:rPr>
        <w:t xml:space="preserve"> Objednávku na dodání 5 ks notebooku značky Dell Latitude 3510 včetně licenčních balíčků MS Office Standard 2019 a ADATA DashDrive Elite S102.Tato objednávka byla uzavřena v souladu s výběrem objednatele.</w:t>
      </w:r>
    </w:p>
    <w:p>
      <w:pPr>
        <w:pStyle w:val="ListParagraph"/>
        <w:spacing w:lineRule="auto" w:line="276" w:before="0" w:after="120"/>
        <w:ind w:left="426" w:hanging="426"/>
        <w:jc w:val="both"/>
        <w:rPr/>
      </w:pPr>
      <w:r>
        <w:rPr>
          <w:rFonts w:cs="Times New Roman"/>
        </w:rPr>
        <w:t>Strana objednatele je povinným subjektem pro uveřejňování v registru smluv dle smlouvy uvedené v ustanovení odst. 1. tohoto článku a má povinnost uzavřenou smlouvu (objednávku) uveřejnit postupem podle zákona č. 340/2015 Sb., zákon o registru smluv, ve znění pozdějších předpisů.</w:t>
      </w:r>
    </w:p>
    <w:p>
      <w:pPr>
        <w:pStyle w:val="ListParagraph"/>
        <w:spacing w:lineRule="auto" w:line="276" w:before="0" w:after="120"/>
        <w:ind w:left="426" w:hanging="426"/>
        <w:jc w:val="both"/>
        <w:rPr/>
      </w:pPr>
      <w:r>
        <w:rPr>
          <w:rFonts w:cs="Times New Roman"/>
        </w:rPr>
        <w:t>Obě smluvní strany shodně konstatují, že do okamžiku sjednání této smlouvy nedošlo k uveřejnění objednávky uvedené v odst. 1 tohoto článku v registru smluv, a že jsou si vědomy právních následků s tím spojených.</w:t>
      </w:r>
    </w:p>
    <w:p>
      <w:pPr>
        <w:pStyle w:val="ListParagraph"/>
        <w:spacing w:lineRule="auto" w:line="276" w:before="0" w:after="120"/>
        <w:ind w:left="426" w:hanging="426"/>
        <w:jc w:val="both"/>
        <w:rPr/>
      </w:pPr>
      <w:r>
        <w:rPr>
          <w:rFonts w:cs="Times New Roman"/>
        </w:rPr>
        <w:t>V zájmu úpravy vzájemných práv a povinností vyplývajících z původně sjednané smlouvy (objednávky), s ohledem na skutečnost, že obě strany jednaly s vědomím závaznosti uzavřené smlouvy a v souladu s jejím obsahem plnily, co si vzájemně ujednaly, a ve snaze napravit stav vzniklý v důsledku neuveřejnění objednávky v registru smluv, sjednávají smluvní strany tuto novou smlouvu ve znění, jak je dále uvedeno.</w:t>
      </w:r>
    </w:p>
    <w:p>
      <w:pPr>
        <w:pStyle w:val="Standard"/>
        <w:spacing w:before="0" w:after="120"/>
        <w:jc w:val="center"/>
        <w:rPr/>
      </w:pPr>
      <w:r>
        <w:rPr>
          <w:rFonts w:cs="Times New Roman"/>
          <w:b/>
        </w:rPr>
        <w:t>II.</w:t>
      </w:r>
    </w:p>
    <w:p>
      <w:pPr>
        <w:pStyle w:val="Standard"/>
        <w:spacing w:before="0" w:after="120"/>
        <w:jc w:val="center"/>
        <w:rPr/>
      </w:pPr>
      <w:r>
        <w:rPr>
          <w:rFonts w:cs="Times New Roman"/>
          <w:b/>
        </w:rPr>
        <w:t>Práva a závazky smluvních stran</w:t>
      </w:r>
    </w:p>
    <w:p>
      <w:pPr>
        <w:pStyle w:val="ListParagraph"/>
        <w:numPr>
          <w:ilvl w:val="0"/>
          <w:numId w:val="3"/>
        </w:numPr>
        <w:spacing w:lineRule="auto" w:line="276" w:before="0" w:after="120"/>
        <w:ind w:left="426" w:hanging="426"/>
        <w:jc w:val="both"/>
        <w:rPr/>
      </w:pPr>
      <w:r>
        <w:rPr>
          <w:rFonts w:cs="Times New Roman"/>
        </w:rPr>
        <w:t>Smluvní strany si tímto ujednáním vzájemně stvrzují, že obsah vzájemných práv a povinností, který touto smlouvou nově sjednávají, je zcela a beze zbytku vyjádřen textem původně sjednané smlouvy (objednávky), která tvoří pro tyto účely přílohu této smlouvy. Lhůty se rovněž řídí původně sjednanou smlouvou a počítají se od uplynutí 31 dnů od data jejího uzavření.</w:t>
      </w:r>
    </w:p>
    <w:p>
      <w:pPr>
        <w:pStyle w:val="ListParagraph"/>
        <w:spacing w:lineRule="auto" w:line="276" w:before="0" w:after="120"/>
        <w:ind w:left="426" w:hanging="426"/>
        <w:jc w:val="both"/>
        <w:rPr/>
      </w:pPr>
      <w:r>
        <w:rPr>
          <w:rFonts w:cs="Times New Roman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>
      <w:pPr>
        <w:pStyle w:val="ListParagraph"/>
        <w:spacing w:lineRule="auto" w:line="276" w:before="0" w:after="120"/>
        <w:ind w:left="426" w:hanging="426"/>
        <w:jc w:val="both"/>
        <w:rPr/>
      </w:pPr>
      <w:r>
        <w:rPr>
          <w:rFonts w:cs="Times New Roman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>
      <w:pPr>
        <w:pStyle w:val="ListParagraph"/>
        <w:spacing w:lineRule="auto" w:line="276" w:before="0" w:after="120"/>
        <w:ind w:left="426" w:hanging="426"/>
        <w:jc w:val="both"/>
        <w:rPr/>
      </w:pPr>
      <w:r>
        <w:rPr>
          <w:rFonts w:cs="Times New Roman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>
      <w:pPr>
        <w:pStyle w:val="Standard"/>
        <w:spacing w:before="0" w:after="120"/>
        <w:jc w:val="center"/>
        <w:rPr/>
      </w:pPr>
      <w:r>
        <w:rPr>
          <w:rFonts w:cs="Times New Roman"/>
          <w:b/>
        </w:rPr>
        <w:t>III.</w:t>
      </w:r>
    </w:p>
    <w:p>
      <w:pPr>
        <w:pStyle w:val="Standard"/>
        <w:spacing w:before="0" w:after="120"/>
        <w:jc w:val="center"/>
        <w:rPr/>
      </w:pPr>
      <w:r>
        <w:rPr>
          <w:rFonts w:cs="Times New Roman"/>
          <w:b/>
        </w:rPr>
        <w:t>Závěrečná ustanovení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276" w:before="0" w:after="120"/>
        <w:ind w:left="0" w:hanging="720"/>
        <w:jc w:val="both"/>
        <w:rPr/>
      </w:pPr>
      <w:r>
        <w:rPr>
          <w:rFonts w:cs="Times New Roman"/>
        </w:rPr>
        <w:t>Tato smlouva o vypořádání závazků nabývá účinnosti dnem uveřejnění v registru smluv.</w:t>
      </w:r>
    </w:p>
    <w:p>
      <w:pPr>
        <w:pStyle w:val="Standard"/>
        <w:tabs>
          <w:tab w:val="clear" w:pos="708"/>
          <w:tab w:val="left" w:pos="852" w:leader="none"/>
        </w:tabs>
        <w:spacing w:lineRule="auto" w:line="276" w:before="0" w:after="120"/>
        <w:ind w:left="426" w:hanging="426"/>
        <w:jc w:val="both"/>
        <w:rPr/>
      </w:pPr>
      <w:r>
        <w:rPr>
          <w:rFonts w:cs="Times New Roman"/>
        </w:rPr>
        <w:t>Tato smlouva o vypořádání závazků je vyhotovena ve dvou stejnopisech, každý s hodnotou originálu, přičemž každá ze smluvních stran obdrží jeden stejnopis.</w:t>
      </w:r>
    </w:p>
    <w:p>
      <w:pPr>
        <w:pStyle w:val="Standard"/>
        <w:spacing w:before="0" w:after="12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spacing w:before="0" w:after="120"/>
        <w:jc w:val="both"/>
        <w:rPr/>
      </w:pPr>
      <w:r>
        <w:rPr>
          <w:rFonts w:cs="Times New Roman"/>
        </w:rPr>
        <w:t xml:space="preserve">Příloha č. 1 – Objednávka č. </w:t>
      </w:r>
      <w:r>
        <w:rPr>
          <w:rFonts w:eastAsia="SimSun" w:cs="Times New Roman"/>
          <w:color w:val="auto"/>
          <w:kern w:val="2"/>
          <w:sz w:val="24"/>
          <w:szCs w:val="24"/>
          <w:lang w:val="cs-CZ" w:eastAsia="zh-CN" w:bidi="hi-IN"/>
        </w:rPr>
        <w:t>102/70836256/2020</w:t>
      </w:r>
    </w:p>
    <w:p>
      <w:pPr>
        <w:pStyle w:val="Standard"/>
        <w:spacing w:before="0" w:after="120"/>
        <w:jc w:val="both"/>
        <w:rPr>
          <w:rFonts w:ascii="Times New Roman" w:hAnsi="Times New Roman" w:eastAsia="SimSun" w:cs="Times New Roman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SimSun" w:cs="Times New Roman"/>
          <w:color w:val="auto"/>
          <w:kern w:val="2"/>
          <w:sz w:val="24"/>
          <w:szCs w:val="24"/>
          <w:lang w:val="cs-CZ" w:eastAsia="zh-CN" w:bidi="hi-IN"/>
        </w:rPr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V Kouřimi, dne</w:t>
        <w:tab/>
        <w:tab/>
        <w:tab/>
        <w:tab/>
        <w:tab/>
        <w:tab/>
        <w:t>V  Kouřimi  dne</w:t>
      </w:r>
    </w:p>
    <w:p>
      <w:pPr>
        <w:pStyle w:val="ListParagraph"/>
        <w:ind w:left="360" w:hanging="0"/>
        <w:rPr/>
      </w:pPr>
      <w:r>
        <w:rPr/>
      </w:r>
    </w:p>
    <w:p>
      <w:pPr>
        <w:pStyle w:val="ListParagraph"/>
        <w:ind w:left="360" w:hanging="0"/>
        <w:rPr/>
      </w:pPr>
      <w:r>
        <w:rPr/>
      </w:r>
    </w:p>
    <w:p>
      <w:pPr>
        <w:pStyle w:val="ListParagraph"/>
        <w:ind w:left="360" w:hanging="0"/>
        <w:rPr/>
      </w:pPr>
      <w:r>
        <w:rPr/>
      </w:r>
    </w:p>
    <w:p>
      <w:pPr>
        <w:pStyle w:val="ListParagraph"/>
        <w:ind w:left="360" w:hanging="0"/>
        <w:rPr/>
      </w:pPr>
      <w:r>
        <w:rPr>
          <w:rFonts w:cs="Times New Roman"/>
        </w:rPr>
        <w:t>---------------------------------------</w:t>
        <w:tab/>
        <w:tab/>
        <w:tab/>
        <w:t>-----------------------------------------</w:t>
      </w:r>
    </w:p>
    <w:p>
      <w:pPr>
        <w:pStyle w:val="Standard"/>
        <w:rPr/>
      </w:pPr>
      <w:r>
        <w:rPr>
          <w:rFonts w:cs="Times New Roman"/>
        </w:rPr>
        <w:t xml:space="preserve">  </w:t>
      </w:r>
      <w:r>
        <w:rPr>
          <w:rFonts w:cs="Times New Roman"/>
        </w:rPr>
        <w:tab/>
        <w:tab/>
        <w:t xml:space="preserve">   dodavatel</w:t>
        <w:tab/>
        <w:tab/>
        <w:tab/>
        <w:tab/>
        <w:tab/>
        <w:t xml:space="preserve"> odběratel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Arial">
    <w:charset w:val="ee"/>
    <w:family w:val="roman"/>
    <w:pitch w:val="variable"/>
  </w:font>
  <w:font w:name="URW DI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dstrike w:val="false"/>
        <w:strike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91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cs-CZ" w:eastAsia="zh-CN" w:bidi="hi-IN"/>
    </w:rPr>
  </w:style>
  <w:style w:type="paragraph" w:styleId="Nadpis2">
    <w:name w:val="Heading 2"/>
    <w:basedOn w:val="Nadpis"/>
    <w:next w:val="Tlotextu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Arial Unicode M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qFormat/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character" w:styleId="ZkladntextChar" w:customStyle="1">
    <w:name w:val="Základní text Char"/>
    <w:basedOn w:val="DefaultParagraphFont"/>
    <w:qFormat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OdstavecseseznamemChar" w:customStyle="1">
    <w:name w:val="Odstavec se seznamem Char"/>
    <w:basedOn w:val="DefaultParagraphFont"/>
    <w:qFormat/>
    <w:rPr/>
  </w:style>
  <w:style w:type="character" w:styleId="TextpoznpodarouChar" w:customStyle="1">
    <w:name w:val="Text pozn. pod čarou Char"/>
    <w:basedOn w:val="DefaultParagraphFont"/>
    <w:qFormat/>
    <w:rPr>
      <w:sz w:val="20"/>
      <w:szCs w:val="20"/>
    </w:rPr>
  </w:style>
  <w:style w:type="character" w:styleId="Ukotvenpoznmkypodarou" w:customStyle="1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A2" w:customStyle="1">
    <w:name w:val="A2"/>
    <w:qFormat/>
    <w:rPr>
      <w:rFonts w:cs="URW DIN"/>
      <w:color w:val="000000"/>
      <w:sz w:val="20"/>
      <w:szCs w:val="20"/>
    </w:rPr>
  </w:style>
  <w:style w:type="character" w:styleId="Znakypropoznmkupodarou" w:customStyle="1">
    <w:name w:val="Znaky pro poznámku pod čarou"/>
    <w:qFormat/>
    <w:rPr/>
  </w:style>
  <w:style w:type="character" w:styleId="Silnzdraznn">
    <w:name w:val="Silné zdůraznění"/>
    <w:qFormat/>
    <w:rPr>
      <w:b/>
      <w:bCs/>
    </w:rPr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 w:customStyle="1">
    <w:name w:val="Nadpis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xtbody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 w:customStyle="1">
    <w:name w:val="Rejstřík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cs-CZ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>
      <w:rFonts w:eastAsia="Times New Roman" w:cs="Times New Roman"/>
      <w:sz w:val="20"/>
      <w:szCs w:val="20"/>
      <w:lang w:eastAsia="cs-CZ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Nzev">
    <w:name w:val="Title"/>
    <w:basedOn w:val="Standard"/>
    <w:next w:val="Podtitul"/>
    <w:qFormat/>
    <w:pPr>
      <w:jc w:val="center"/>
    </w:pPr>
    <w:rPr>
      <w:rFonts w:eastAsia="Times New Roman" w:cs="Times New Roman"/>
      <w:b/>
      <w:bCs/>
      <w:szCs w:val="20"/>
      <w:lang w:eastAsia="cs-CZ"/>
    </w:rPr>
  </w:style>
  <w:style w:type="paragraph" w:styleId="Podtitul">
    <w:name w:val="Subtitle"/>
    <w:basedOn w:val="Nadpis"/>
    <w:next w:val="Textbody"/>
    <w:qFormat/>
    <w:pPr>
      <w:jc w:val="center"/>
    </w:pPr>
    <w:rPr>
      <w:i/>
      <w:iCs/>
    </w:rPr>
  </w:style>
  <w:style w:type="paragraph" w:styleId="ListContinue">
    <w:name w:val="List Continue"/>
    <w:basedOn w:val="Standard"/>
    <w:qFormat/>
    <w:pPr>
      <w:spacing w:before="0" w:after="120"/>
      <w:ind w:left="283" w:hanging="0"/>
    </w:pPr>
    <w:rPr>
      <w:rFonts w:eastAsia="Times New Roman" w:cs="Times New Roman"/>
      <w:sz w:val="20"/>
      <w:szCs w:val="20"/>
      <w:lang w:eastAsia="cs-CZ"/>
    </w:rPr>
  </w:style>
  <w:style w:type="paragraph" w:styleId="Poznmkapodarou">
    <w:name w:val="Footnote Text"/>
    <w:basedOn w:val="Standard"/>
    <w:pPr/>
    <w:rPr>
      <w:sz w:val="20"/>
      <w:szCs w:val="20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  <w:textAlignment w:val="baseline"/>
    </w:pPr>
    <w:rPr>
      <w:rFonts w:ascii="URW DIN" w:hAnsi="URW DIN" w:eastAsia="SimSun" w:cs="URW DIN"/>
      <w:color w:val="000000"/>
      <w:kern w:val="2"/>
      <w:sz w:val="24"/>
      <w:szCs w:val="24"/>
      <w:lang w:val="cs-CZ" w:eastAsia="zh-CN" w:bidi="hi-IN"/>
    </w:rPr>
  </w:style>
  <w:style w:type="paragraph" w:styleId="Footnote" w:customStyle="1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LibreOffice/6.3.2.2$Windows_x86 LibreOffice_project/98b30e735bda24bc04ab42594c85f7fd8be07b9c</Application>
  <Pages>2</Pages>
  <Words>506</Words>
  <Characters>3020</Characters>
  <CharactersWithSpaces>3555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2021-11-23T16:17:00Z</dcterms:created>
  <dc:creator>david zahora</dc:creator>
  <dc:description/>
  <dc:language>cs-CZ</dc:language>
  <cp:lastModifiedBy/>
  <cp:lastPrinted>2022-04-12T12:06:14Z</cp:lastPrinted>
  <dcterms:modified xsi:type="dcterms:W3CDTF">2022-04-12T12:07:55Z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