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Default="00805434" w:rsidP="00CB3A6C">
      <w:pPr>
        <w:ind w:left="6372"/>
      </w:pPr>
      <w:r>
        <w:t>Č.j.: NPU-450/29094</w:t>
      </w:r>
      <w:r w:rsidR="00B134A3">
        <w:t>/2022</w:t>
      </w:r>
    </w:p>
    <w:p w:rsidR="00CB3A6C" w:rsidRPr="00CB3A6C" w:rsidRDefault="00CB3A6C" w:rsidP="00CB3A6C">
      <w:pPr>
        <w:spacing w:line="240" w:lineRule="auto"/>
        <w:contextualSpacing/>
        <w:rPr>
          <w:b/>
        </w:rPr>
      </w:pPr>
      <w:r w:rsidRPr="00CB3A6C">
        <w:rPr>
          <w:b/>
        </w:rPr>
        <w:t>Národní památkový ústav, státní příspěvková organizace</w:t>
      </w:r>
    </w:p>
    <w:p w:rsidR="00CB3A6C" w:rsidRDefault="00CB3A6C" w:rsidP="00CB3A6C">
      <w:pPr>
        <w:spacing w:line="240" w:lineRule="auto"/>
        <w:contextualSpacing/>
      </w:pPr>
      <w:r>
        <w:t>IČO: 75032333, DIČ: CZ75032333,</w:t>
      </w:r>
    </w:p>
    <w:p w:rsidR="00CB3A6C" w:rsidRDefault="00CB3A6C" w:rsidP="00CB3A6C">
      <w:pPr>
        <w:spacing w:line="240" w:lineRule="auto"/>
        <w:contextualSpacing/>
      </w:pPr>
      <w:r>
        <w:t>se sídlem: Valdštejnské nám. 162/3, PSČ 118 01 Praha 1 – Malá Strana,</w:t>
      </w:r>
    </w:p>
    <w:p w:rsidR="00CB3A6C" w:rsidRDefault="00CB3A6C" w:rsidP="00CB3A6C">
      <w:pPr>
        <w:spacing w:line="240" w:lineRule="auto"/>
        <w:contextualSpacing/>
      </w:pPr>
      <w:r>
        <w:t>jednající generální ředitelkou lng. arch. Naděždou Goryczkovou</w:t>
      </w:r>
    </w:p>
    <w:p w:rsidR="00CB3A6C" w:rsidRDefault="00CB3A6C" w:rsidP="00CB3A6C">
      <w:pPr>
        <w:spacing w:line="240" w:lineRule="auto"/>
        <w:contextualSpacing/>
      </w:pPr>
      <w:r>
        <w:t>kterou zastupuje:</w:t>
      </w:r>
    </w:p>
    <w:p w:rsidR="00CB3A6C" w:rsidRDefault="00CB3A6C" w:rsidP="00CB3A6C">
      <w:pPr>
        <w:spacing w:line="240" w:lineRule="auto"/>
        <w:contextualSpacing/>
      </w:pPr>
      <w:r>
        <w:t>Územní památková správa v Kroměříži</w:t>
      </w:r>
    </w:p>
    <w:p w:rsidR="00CB3A6C" w:rsidRDefault="00CB3A6C" w:rsidP="00CB3A6C">
      <w:pPr>
        <w:spacing w:line="240" w:lineRule="auto"/>
        <w:contextualSpacing/>
      </w:pPr>
      <w:r>
        <w:t>se sídlem Sněmovní nám. 1, 767 01 Kroměříž</w:t>
      </w:r>
    </w:p>
    <w:p w:rsidR="00CB3A6C" w:rsidRPr="00467BC1" w:rsidRDefault="00CB3A6C" w:rsidP="00CB3A6C">
      <w:pPr>
        <w:spacing w:line="240" w:lineRule="auto"/>
        <w:contextualSpacing/>
        <w:rPr>
          <w:b/>
        </w:rPr>
      </w:pPr>
      <w:r w:rsidRPr="00467BC1">
        <w:rPr>
          <w:b/>
        </w:rPr>
        <w:t>jednající ředitelem Ing. Petrem Šubíkem</w:t>
      </w:r>
    </w:p>
    <w:p w:rsidR="00CB3A6C" w:rsidRDefault="00CB3A6C" w:rsidP="00CB3A6C">
      <w:pPr>
        <w:spacing w:line="240" w:lineRule="auto"/>
        <w:contextualSpacing/>
      </w:pPr>
      <w:r>
        <w:t xml:space="preserve">osoba pro věcná jednání: </w:t>
      </w:r>
      <w:r w:rsidR="00830637">
        <w:t xml:space="preserve">xxxxxxxxxxxxxx </w:t>
      </w:r>
      <w:r>
        <w:t>zámku Milotice</w:t>
      </w:r>
    </w:p>
    <w:p w:rsidR="00CB3A6C" w:rsidRDefault="00CB3A6C" w:rsidP="00CB3A6C">
      <w:pPr>
        <w:spacing w:line="240" w:lineRule="auto"/>
        <w:contextualSpacing/>
      </w:pPr>
      <w:r>
        <w:t>Bankovní spojení: ČNB</w:t>
      </w:r>
    </w:p>
    <w:p w:rsidR="00CB3A6C" w:rsidRDefault="00CB3A6C" w:rsidP="00CB3A6C">
      <w:pPr>
        <w:spacing w:line="240" w:lineRule="auto"/>
        <w:contextualSpacing/>
      </w:pPr>
      <w:r>
        <w:t>Č. účtu: 500005-60039011/0710</w:t>
      </w:r>
    </w:p>
    <w:p w:rsidR="00CB3A6C" w:rsidRDefault="00CB3A6C" w:rsidP="00CB3A6C">
      <w:pPr>
        <w:spacing w:line="240" w:lineRule="auto"/>
        <w:contextualSpacing/>
      </w:pPr>
    </w:p>
    <w:p w:rsidR="00CB3A6C" w:rsidRDefault="00CB3A6C" w:rsidP="00CB3A6C">
      <w:pPr>
        <w:spacing w:line="240" w:lineRule="auto"/>
        <w:contextualSpacing/>
      </w:pPr>
      <w:r>
        <w:t xml:space="preserve"> (dále jen „pronajímatel“)</w:t>
      </w:r>
    </w:p>
    <w:p w:rsidR="00CB3A6C" w:rsidRDefault="00CB3A6C" w:rsidP="00CB3A6C">
      <w:pPr>
        <w:spacing w:line="240" w:lineRule="auto"/>
        <w:contextualSpacing/>
      </w:pPr>
    </w:p>
    <w:p w:rsidR="00CB3A6C" w:rsidRDefault="00CB3A6C" w:rsidP="00CB3A6C">
      <w:pPr>
        <w:spacing w:line="240" w:lineRule="auto"/>
        <w:contextualSpacing/>
      </w:pPr>
      <w:r>
        <w:t>a</w:t>
      </w:r>
    </w:p>
    <w:p w:rsidR="00CB3A6C" w:rsidRDefault="00CB3A6C" w:rsidP="00CB3A6C">
      <w:pPr>
        <w:spacing w:line="240" w:lineRule="auto"/>
        <w:contextualSpacing/>
      </w:pPr>
    </w:p>
    <w:p w:rsidR="00CB3A6C" w:rsidRPr="00CB3A6C" w:rsidRDefault="00CB3A6C" w:rsidP="00CB3A6C">
      <w:pPr>
        <w:spacing w:line="240" w:lineRule="auto"/>
        <w:contextualSpacing/>
        <w:rPr>
          <w:b/>
        </w:rPr>
      </w:pPr>
      <w:r w:rsidRPr="00CB3A6C">
        <w:rPr>
          <w:b/>
        </w:rPr>
        <w:t>Libor Hofr</w:t>
      </w:r>
    </w:p>
    <w:p w:rsidR="00CB3A6C" w:rsidRDefault="00CB3A6C" w:rsidP="00CB3A6C">
      <w:pPr>
        <w:spacing w:line="240" w:lineRule="auto"/>
        <w:contextualSpacing/>
      </w:pPr>
      <w:r w:rsidRPr="00CB3A6C">
        <w:t>Fyzická osoba podnikající dle živnostenského zákona</w:t>
      </w:r>
    </w:p>
    <w:p w:rsidR="00CB3A6C" w:rsidRDefault="00CB3A6C" w:rsidP="00CB3A6C">
      <w:pPr>
        <w:spacing w:line="240" w:lineRule="auto"/>
        <w:contextualSpacing/>
      </w:pPr>
      <w:r>
        <w:t>se sídlem: Vrchní konec 61, 696 05 Milotice</w:t>
      </w:r>
    </w:p>
    <w:p w:rsidR="00884BB0" w:rsidRDefault="00CB3A6C" w:rsidP="00CB3A6C">
      <w:pPr>
        <w:spacing w:line="240" w:lineRule="auto"/>
        <w:contextualSpacing/>
      </w:pPr>
      <w:r>
        <w:t>IČO: 72411791, DIČ: CZ7911144274</w:t>
      </w:r>
    </w:p>
    <w:p w:rsidR="00CB3A6C" w:rsidRPr="003733B1" w:rsidRDefault="00CB3A6C" w:rsidP="00CB3A6C">
      <w:pPr>
        <w:rPr>
          <w:rFonts w:cs="Arial"/>
        </w:rPr>
      </w:pPr>
      <w:r w:rsidRPr="003733B1">
        <w:rPr>
          <w:rFonts w:cs="Arial"/>
        </w:rPr>
        <w:t>(dále jen „</w:t>
      </w:r>
      <w:r w:rsidRPr="00CB3A6C">
        <w:rPr>
          <w:rFonts w:cs="Arial"/>
        </w:rPr>
        <w:t>nájemce</w:t>
      </w:r>
      <w:r w:rsidRPr="003733B1">
        <w:rPr>
          <w:rFonts w:cs="Arial"/>
        </w:rPr>
        <w:t>“)</w:t>
      </w:r>
    </w:p>
    <w:p w:rsidR="00CB3A6C" w:rsidRDefault="00CB3A6C" w:rsidP="00CB3A6C">
      <w:pPr>
        <w:spacing w:line="240" w:lineRule="auto"/>
        <w:contextualSpacing/>
      </w:pPr>
    </w:p>
    <w:p w:rsidR="00CB3A6C" w:rsidRDefault="00CB3A6C" w:rsidP="00CB3A6C">
      <w:pPr>
        <w:spacing w:line="240" w:lineRule="auto"/>
        <w:contextualSpacing/>
      </w:pPr>
    </w:p>
    <w:p w:rsidR="00884BB0" w:rsidRDefault="00884BB0" w:rsidP="00CB3A6C">
      <w:pPr>
        <w:spacing w:line="240" w:lineRule="auto"/>
        <w:contextualSpacing/>
      </w:pPr>
      <w:r>
        <w:t>jako smluvní strany uzavřely níže uvedeného dne, měsíce roku tento</w:t>
      </w:r>
    </w:p>
    <w:p w:rsidR="00884BB0" w:rsidRDefault="00884BB0" w:rsidP="00884BB0">
      <w:pPr>
        <w:spacing w:line="240" w:lineRule="auto"/>
        <w:contextualSpacing/>
        <w:jc w:val="center"/>
        <w:rPr>
          <w:b/>
        </w:rPr>
      </w:pPr>
    </w:p>
    <w:p w:rsidR="00884BB0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</w:p>
    <w:p w:rsidR="006E3887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F664BD">
        <w:rPr>
          <w:b/>
          <w:sz w:val="24"/>
          <w:szCs w:val="24"/>
        </w:rPr>
        <w:t xml:space="preserve">ke smlouvě </w:t>
      </w:r>
      <w:r>
        <w:rPr>
          <w:b/>
          <w:sz w:val="24"/>
          <w:szCs w:val="24"/>
        </w:rPr>
        <w:t xml:space="preserve">o nájmu prostor sloužících k podnikání </w:t>
      </w:r>
    </w:p>
    <w:p w:rsidR="00884BB0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č.j. NPÚ-450/</w:t>
      </w:r>
      <w:r w:rsidR="00CB3A6C" w:rsidRPr="00CB3A6C">
        <w:rPr>
          <w:b/>
          <w:sz w:val="24"/>
          <w:szCs w:val="24"/>
        </w:rPr>
        <w:t>86176</w:t>
      </w:r>
      <w:r>
        <w:rPr>
          <w:b/>
          <w:sz w:val="24"/>
          <w:szCs w:val="24"/>
        </w:rPr>
        <w:t>/20</w:t>
      </w:r>
      <w:r w:rsidR="00CB3A6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="004D5D40">
        <w:rPr>
          <w:b/>
          <w:sz w:val="24"/>
          <w:szCs w:val="24"/>
        </w:rPr>
        <w:t xml:space="preserve">uzavřené dne </w:t>
      </w:r>
      <w:r w:rsidR="00CB3A6C">
        <w:rPr>
          <w:b/>
          <w:sz w:val="24"/>
          <w:szCs w:val="24"/>
        </w:rPr>
        <w:t>4. 11</w:t>
      </w:r>
      <w:r w:rsidR="006E3887">
        <w:rPr>
          <w:b/>
          <w:sz w:val="24"/>
          <w:szCs w:val="24"/>
        </w:rPr>
        <w:t>.</w:t>
      </w:r>
      <w:r w:rsidR="00CB3A6C">
        <w:rPr>
          <w:b/>
          <w:sz w:val="24"/>
          <w:szCs w:val="24"/>
        </w:rPr>
        <w:t xml:space="preserve"> 2020</w:t>
      </w:r>
    </w:p>
    <w:p w:rsidR="00884BB0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35606C" w:rsidRDefault="00884BB0" w:rsidP="00884BB0">
      <w:pPr>
        <w:spacing w:line="240" w:lineRule="auto"/>
        <w:contextualSpacing/>
        <w:jc w:val="center"/>
        <w:rPr>
          <w:b/>
        </w:rPr>
      </w:pPr>
      <w:r w:rsidRPr="0035606C">
        <w:rPr>
          <w:b/>
        </w:rPr>
        <w:t>I.</w:t>
      </w:r>
    </w:p>
    <w:p w:rsidR="00CB3A6C" w:rsidRPr="00CB3A6C" w:rsidRDefault="00A864F8" w:rsidP="00A864F8">
      <w:pPr>
        <w:spacing w:line="240" w:lineRule="auto"/>
        <w:contextualSpacing/>
        <w:jc w:val="both"/>
      </w:pPr>
      <w:r>
        <w:t xml:space="preserve">1. </w:t>
      </w:r>
      <w:r w:rsidRPr="00A864F8">
        <w:t>Výše uvedené smluvní strany smlouvy o nájmu prostor sloužících k podnikání se</w:t>
      </w:r>
      <w:r>
        <w:t xml:space="preserve"> v návaznosti na růst cen energií</w:t>
      </w:r>
      <w:r w:rsidRPr="00A864F8">
        <w:t xml:space="preserve"> tímto dohodly</w:t>
      </w:r>
      <w:r>
        <w:t xml:space="preserve"> na navýšení plateb záloh za poskytované služby souvisejících s tímto nájmem. Na základě této skutečnosti se obě smluvní strany dohodly na následují</w:t>
      </w:r>
      <w:r w:rsidR="00CB3A6C">
        <w:t>cích změnách obsahu přílohy č. 2</w:t>
      </w:r>
      <w:r>
        <w:t xml:space="preserve"> k této smlouvě,</w:t>
      </w:r>
      <w:r w:rsidR="00CB3A6C">
        <w:t xml:space="preserve"> kde se obsah textu Přílohy č. 2</w:t>
      </w:r>
      <w:r>
        <w:t xml:space="preserve"> ruší a nahrazuje takto:</w:t>
      </w:r>
    </w:p>
    <w:p w:rsidR="00CB3A6C" w:rsidRPr="00A864F8" w:rsidRDefault="00CB3A6C" w:rsidP="00A864F8">
      <w:pPr>
        <w:spacing w:line="240" w:lineRule="auto"/>
        <w:jc w:val="both"/>
        <w:rPr>
          <w:i/>
        </w:rPr>
      </w:pP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„Příloha č. 2 ke smlouvě č.j.: NPÚ – 450/86176/2020</w:t>
      </w:r>
    </w:p>
    <w:p w:rsidR="00CB3A6C" w:rsidRPr="00CB3A6C" w:rsidRDefault="00CB3A6C" w:rsidP="00CB3A6C">
      <w:pPr>
        <w:spacing w:line="240" w:lineRule="auto"/>
        <w:jc w:val="both"/>
        <w:rPr>
          <w:b/>
          <w:i/>
        </w:rPr>
      </w:pPr>
      <w:r w:rsidRPr="00CB3A6C">
        <w:rPr>
          <w:b/>
          <w:i/>
        </w:rPr>
        <w:t>Elektrická energie: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Spotřeba elektrické energie bude hrazena nájemcem přeúčtováním nákladů od poskytovatele této služby, na základě odečtu na podružném elektroměru č. 00070009, který se bude provádět vždy k 30. 6. a 31. 12. každého kalendářního roku v době trvání nájmu.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Úhradu za spotřebovanou energii</w:t>
      </w:r>
      <w:r w:rsidR="00467BC1">
        <w:rPr>
          <w:i/>
        </w:rPr>
        <w:t xml:space="preserve"> za daný kalendářní rok</w:t>
      </w:r>
      <w:r w:rsidRPr="00CB3A6C">
        <w:rPr>
          <w:i/>
        </w:rPr>
        <w:t xml:space="preserve"> bude nájemce pronajímateli hradit formou záloh /dále jen záloha/ - nájemce uhradí pronajímateli</w:t>
      </w:r>
      <w:r>
        <w:rPr>
          <w:i/>
        </w:rPr>
        <w:t xml:space="preserve"> pololetní zálohy ve výši 35 000</w:t>
      </w:r>
      <w:r w:rsidRPr="00CB3A6C">
        <w:rPr>
          <w:i/>
        </w:rPr>
        <w:t>,- Kč na základě zálohové faktury pronajímatele se 21-ti denní splatností, která bude vystavena ve stejném termínu jako v případě plateb nájemného, a to na stejný účet pronajímatele.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lastRenderedPageBreak/>
        <w:t>Vyúčtování záloh za příslušný kalendářní rok včetně náležitostí stanovených z. č. 235/2004 Sb. v pl. znění, bude provedeno 1x ročně po obdržení dodavatelské faktury. Vyúčtování pronajímatel d</w:t>
      </w:r>
      <w:r>
        <w:rPr>
          <w:i/>
        </w:rPr>
        <w:t>oručí nájemci zpravidla do 31. 3</w:t>
      </w:r>
      <w:r w:rsidRPr="00CB3A6C">
        <w:rPr>
          <w:i/>
        </w:rPr>
        <w:t>. následujícího roku. Pronajímatel přeúčtuje nájemci na základě stavu na podružném měřidle skutečné náklady od dodavatele služby pro odběrné místo.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Přeplatky a doplatky vyplývající z vyúčtování záloh za příslušný kalendářní rok jsou splatné do 15 dnů od doručení vyúčtování nájemci.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 xml:space="preserve">Úhrada za spotřebovanou energii podléhá DPH v zákonem stanovené výši. 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Nájemce bere na vědomí, že v případě změny celkové spotřeby elektřiny v konkrétním místě odběru nebo změny cen elektřiny, je pronajímatel oprávněn provést jednostranný přepočet záloh a změnit jejich výši. Nová výše zálohy bude oznámena nájemci písemně s dostatečným časovým předstihem.</w:t>
      </w:r>
    </w:p>
    <w:p w:rsidR="00CB3A6C" w:rsidRPr="00CB3A6C" w:rsidRDefault="00467BC1" w:rsidP="00CB3A6C">
      <w:pPr>
        <w:spacing w:line="240" w:lineRule="auto"/>
        <w:jc w:val="both"/>
        <w:rPr>
          <w:i/>
        </w:rPr>
      </w:pPr>
      <w:r>
        <w:rPr>
          <w:i/>
        </w:rPr>
        <w:t>Zúčtovací období je kalendářní rok.</w:t>
      </w:r>
    </w:p>
    <w:p w:rsidR="00CB3A6C" w:rsidRPr="00CB3A6C" w:rsidRDefault="00CB3A6C" w:rsidP="00CB3A6C">
      <w:pPr>
        <w:spacing w:line="240" w:lineRule="auto"/>
        <w:jc w:val="both"/>
        <w:rPr>
          <w:b/>
          <w:i/>
        </w:rPr>
      </w:pPr>
      <w:r w:rsidRPr="00CB3A6C">
        <w:rPr>
          <w:b/>
          <w:i/>
        </w:rPr>
        <w:t>Vodné a stočné: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Spotřeba vody bude hrazena nájemcem přeúčtováním nákladů od poskytovatele této služby na základě odečtu na podružném vodoměru č. 33001837, který se bude provádět vždy k 30. 6. a 31. 12. každého kalendářního roku v době trvání nájmu.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Nájemce uhradí pronajímateli stočné za množství odvedených odpadních vod ve výši odpovídající spotřebované vodě.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 xml:space="preserve">Vyúčtování spotřeby za příslušný kalendářní rok včetně náležitostí stanovených z. č. 235/2004 Sb. v pl. znění, bude provedeno 1x ročně po obdržení dodavatelské faktury. Vyúčtování pronajímatel doručí nájemci zpravidla do </w:t>
      </w:r>
      <w:r>
        <w:rPr>
          <w:i/>
        </w:rPr>
        <w:t>31. 3</w:t>
      </w:r>
      <w:r w:rsidRPr="00CB3A6C">
        <w:rPr>
          <w:i/>
        </w:rPr>
        <w:t>. následujícího roku. Pronajímatel přeúčtuje nájemci na základě stavu na podružném měřidle skutečné náklady od dodavatele služby pro odběrné místo.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Přeplatky a doplatky vyplývající z vyúčtování záloh za příslušný kalendářní rok jsou splatné do 15 dnů od doručení vyúčtování nájemci.</w:t>
      </w:r>
    </w:p>
    <w:p w:rsidR="00CB3A6C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 xml:space="preserve">Úhrada za spotřebovanou vodu a stočné podléhá DPH v zákonem stanovené výši. </w:t>
      </w:r>
    </w:p>
    <w:p w:rsid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>Nájemce bere na vědomí, že v případě změny celkové spotřeby vody a stočné v konkrétním místě odběru nebo změny cen vodného a stočného, je pronajímatel oprávněn provést jednostranný přepočet záloh a změnit jejich výši. Nová výše zálohy bude oznámena nájemci písemně s dostatečným časovým předstihem.</w:t>
      </w:r>
    </w:p>
    <w:p w:rsidR="00467BC1" w:rsidRPr="00CB3A6C" w:rsidRDefault="00467BC1" w:rsidP="00CB3A6C">
      <w:pPr>
        <w:spacing w:line="240" w:lineRule="auto"/>
        <w:jc w:val="both"/>
        <w:rPr>
          <w:i/>
        </w:rPr>
      </w:pPr>
      <w:r>
        <w:rPr>
          <w:i/>
        </w:rPr>
        <w:t>Zúčtovací období je kalendářní rok.</w:t>
      </w:r>
    </w:p>
    <w:p w:rsidR="00CB3A6C" w:rsidRPr="00CB3A6C" w:rsidRDefault="00CB3A6C" w:rsidP="00CB3A6C">
      <w:pPr>
        <w:spacing w:line="240" w:lineRule="auto"/>
        <w:jc w:val="both"/>
        <w:rPr>
          <w:b/>
          <w:i/>
        </w:rPr>
      </w:pPr>
      <w:r w:rsidRPr="00CB3A6C">
        <w:rPr>
          <w:b/>
          <w:i/>
        </w:rPr>
        <w:t>Komunální odpad:</w:t>
      </w:r>
    </w:p>
    <w:p w:rsidR="00A864F8" w:rsidRPr="00CB3A6C" w:rsidRDefault="00CB3A6C" w:rsidP="00CB3A6C">
      <w:pPr>
        <w:spacing w:line="240" w:lineRule="auto"/>
        <w:jc w:val="both"/>
        <w:rPr>
          <w:i/>
        </w:rPr>
      </w:pPr>
      <w:r w:rsidRPr="00CB3A6C">
        <w:rPr>
          <w:i/>
        </w:rPr>
        <w:t xml:space="preserve"> Nájemce má uzavřenu vlastní smlouvu na odvoz odpadů</w:t>
      </w:r>
      <w:r>
        <w:rPr>
          <w:i/>
        </w:rPr>
        <w:t>“</w:t>
      </w:r>
    </w:p>
    <w:p w:rsidR="00884BB0" w:rsidRDefault="00884BB0" w:rsidP="00884BB0">
      <w:pPr>
        <w:spacing w:line="240" w:lineRule="auto"/>
        <w:jc w:val="center"/>
        <w:rPr>
          <w:b/>
        </w:rPr>
      </w:pPr>
      <w:r w:rsidRPr="0035606C">
        <w:rPr>
          <w:b/>
        </w:rPr>
        <w:t>I</w:t>
      </w:r>
      <w:r>
        <w:rPr>
          <w:b/>
        </w:rPr>
        <w:t>I</w:t>
      </w:r>
      <w:r w:rsidRPr="0035606C">
        <w:rPr>
          <w:b/>
        </w:rPr>
        <w:t>.</w:t>
      </w:r>
    </w:p>
    <w:p w:rsidR="00CB3A6C" w:rsidRPr="0035606C" w:rsidRDefault="00CB3A6C" w:rsidP="00884BB0">
      <w:pPr>
        <w:spacing w:line="240" w:lineRule="auto"/>
        <w:jc w:val="center"/>
        <w:rPr>
          <w:b/>
        </w:rPr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Ostatní ustanovení smlouvy zůstávají beze změny.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Tento dodate</w:t>
      </w:r>
      <w:r w:rsidR="00FA7EC6">
        <w:t>k nabývá platnosti</w:t>
      </w:r>
      <w:r w:rsidR="00A864F8">
        <w:t xml:space="preserve"> a účinnosti ke dni </w:t>
      </w:r>
      <w:r w:rsidR="00FA7EC6">
        <w:t>1</w:t>
      </w:r>
      <w:r w:rsidR="00CB3A6C">
        <w:t>5</w:t>
      </w:r>
      <w:r w:rsidR="00FA7EC6">
        <w:t>. 4. 2022</w:t>
      </w:r>
      <w:r w:rsidR="00A864F8">
        <w:t>.</w:t>
      </w:r>
      <w:r>
        <w:t xml:space="preserve"> 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Tento dodatek se vyhotovuje ve třech vyhotoveních, z nichž dvě vyhotovení dodatku obdrží pronajímatel a jedno vyhotovení dodatku nájemce.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CB3A6C" w:rsidRDefault="00CB3A6C" w:rsidP="00A864F8">
      <w:pPr>
        <w:pStyle w:val="Odstavecseseznamem"/>
        <w:spacing w:line="240" w:lineRule="auto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lastRenderedPageBreak/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884BB0" w:rsidRDefault="00884BB0" w:rsidP="00884BB0">
      <w:pPr>
        <w:spacing w:line="240" w:lineRule="auto"/>
        <w:jc w:val="both"/>
      </w:pPr>
    </w:p>
    <w:p w:rsidR="00A864F8" w:rsidRDefault="00A864F8" w:rsidP="00884BB0">
      <w:pPr>
        <w:spacing w:line="240" w:lineRule="auto"/>
        <w:jc w:val="both"/>
      </w:pPr>
    </w:p>
    <w:p w:rsidR="00A864F8" w:rsidRDefault="00A864F8" w:rsidP="00884BB0">
      <w:pPr>
        <w:spacing w:line="240" w:lineRule="auto"/>
        <w:jc w:val="both"/>
      </w:pPr>
    </w:p>
    <w:p w:rsidR="00884BB0" w:rsidRDefault="00467BC1" w:rsidP="00884BB0">
      <w:pPr>
        <w:spacing w:line="240" w:lineRule="auto"/>
        <w:jc w:val="both"/>
      </w:pPr>
      <w:r>
        <w:t>V Kroměříži dne 8. 4</w:t>
      </w:r>
      <w:r w:rsidR="00A864F8">
        <w:t xml:space="preserve">. </w:t>
      </w:r>
      <w:r w:rsidR="00805434">
        <w:t>2022</w:t>
      </w:r>
      <w:r w:rsidR="00805434">
        <w:tab/>
      </w:r>
      <w:r w:rsidR="00805434">
        <w:tab/>
      </w:r>
      <w:r w:rsidR="00805434">
        <w:tab/>
      </w:r>
      <w:r w:rsidR="00805434">
        <w:tab/>
      </w:r>
      <w:r w:rsidR="00805434">
        <w:tab/>
      </w:r>
      <w:r w:rsidR="00830637">
        <w:t>V Miloti</w:t>
      </w:r>
      <w:bookmarkStart w:id="0" w:name="_GoBack"/>
      <w:bookmarkEnd w:id="0"/>
      <w:r w:rsidR="00805434">
        <w:t>cích</w:t>
      </w:r>
      <w:r>
        <w:t xml:space="preserve"> dne 11. 4</w:t>
      </w:r>
      <w:r w:rsidR="00A864F8">
        <w:t xml:space="preserve">. </w:t>
      </w:r>
      <w:r w:rsidR="00FA7EC6">
        <w:t>2022</w:t>
      </w:r>
    </w:p>
    <w:p w:rsidR="00884BB0" w:rsidRDefault="00884BB0" w:rsidP="00884BB0">
      <w:pPr>
        <w:spacing w:line="240" w:lineRule="auto"/>
        <w:jc w:val="both"/>
      </w:pPr>
    </w:p>
    <w:p w:rsidR="00884BB0" w:rsidRDefault="00884BB0" w:rsidP="00884BB0">
      <w:pPr>
        <w:spacing w:line="240" w:lineRule="auto"/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884BB0" w:rsidRDefault="00884BB0" w:rsidP="00884BB0">
      <w:pPr>
        <w:spacing w:line="240" w:lineRule="auto"/>
        <w:contextualSpacing/>
        <w:jc w:val="both"/>
      </w:pPr>
      <w:r>
        <w:t xml:space="preserve">    (podpis pronajímatele)</w:t>
      </w:r>
      <w:r>
        <w:tab/>
      </w:r>
      <w:r>
        <w:tab/>
      </w:r>
      <w:r>
        <w:tab/>
      </w:r>
      <w:r>
        <w:tab/>
      </w:r>
      <w:r>
        <w:tab/>
        <w:t xml:space="preserve">         (podpis</w:t>
      </w:r>
      <w:r w:rsidR="00A864F8">
        <w:t xml:space="preserve"> </w:t>
      </w:r>
      <w:r>
        <w:t>nájemce)</w:t>
      </w:r>
    </w:p>
    <w:p w:rsidR="00CB3A6C" w:rsidRPr="00292CD9" w:rsidRDefault="00884BB0" w:rsidP="00CB3A6C">
      <w:pPr>
        <w:rPr>
          <w:rFonts w:cs="Arial"/>
          <w:b/>
        </w:rPr>
      </w:pPr>
      <w:r>
        <w:t xml:space="preserve">          Ing. Petr Šubík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B3A6C">
        <w:t xml:space="preserve">      </w:t>
      </w:r>
      <w:r w:rsidR="00830637">
        <w:rPr>
          <w:rFonts w:cs="Arial"/>
        </w:rPr>
        <w:t>xxxxxxxxxx</w:t>
      </w:r>
    </w:p>
    <w:p w:rsidR="00884BB0" w:rsidRDefault="00884BB0" w:rsidP="00884BB0">
      <w:pPr>
        <w:spacing w:line="240" w:lineRule="auto"/>
        <w:contextualSpacing/>
        <w:jc w:val="both"/>
      </w:pPr>
    </w:p>
    <w:p w:rsidR="00EA5B26" w:rsidRDefault="00884BB0" w:rsidP="00884BB0">
      <w:r>
        <w:t xml:space="preserve">              /razítko/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/razítko</w:t>
      </w:r>
      <w:r w:rsidR="00830637">
        <w:t>/</w:t>
      </w:r>
    </w:p>
    <w:sectPr w:rsidR="00EA5B26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9E" w:rsidRDefault="002C209E" w:rsidP="00E257C8">
      <w:pPr>
        <w:spacing w:after="0" w:line="240" w:lineRule="auto"/>
      </w:pPr>
      <w:r>
        <w:separator/>
      </w:r>
    </w:p>
  </w:endnote>
  <w:endnote w:type="continuationSeparator" w:id="0">
    <w:p w:rsidR="002C209E" w:rsidRDefault="002C209E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257C8" w:rsidRDefault="002C209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57C8" w:rsidRDefault="00E257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9E" w:rsidRDefault="002C209E" w:rsidP="00E257C8">
      <w:pPr>
        <w:spacing w:after="0" w:line="240" w:lineRule="auto"/>
      </w:pPr>
      <w:r>
        <w:separator/>
      </w:r>
    </w:p>
  </w:footnote>
  <w:footnote w:type="continuationSeparator" w:id="0">
    <w:p w:rsidR="002C209E" w:rsidRDefault="002C209E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2C209E"/>
    <w:rsid w:val="00467BC1"/>
    <w:rsid w:val="004D5D40"/>
    <w:rsid w:val="006E3887"/>
    <w:rsid w:val="00787A5C"/>
    <w:rsid w:val="00805434"/>
    <w:rsid w:val="00830637"/>
    <w:rsid w:val="0084163A"/>
    <w:rsid w:val="00884BB0"/>
    <w:rsid w:val="008B4D0C"/>
    <w:rsid w:val="00A864F8"/>
    <w:rsid w:val="00B134A3"/>
    <w:rsid w:val="00C8088D"/>
    <w:rsid w:val="00CB3A6C"/>
    <w:rsid w:val="00CF31F3"/>
    <w:rsid w:val="00D73C73"/>
    <w:rsid w:val="00E257C8"/>
    <w:rsid w:val="00EA5B26"/>
    <w:rsid w:val="00EB591B"/>
    <w:rsid w:val="00EC1A50"/>
    <w:rsid w:val="00F935C0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4654"/>
  <w15:docId w15:val="{C00F1CF6-C9F1-4C06-9243-63ED2030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paragraph" w:styleId="Textbubliny">
    <w:name w:val="Balloon Text"/>
    <w:basedOn w:val="Normln"/>
    <w:link w:val="TextbublinyChar"/>
    <w:uiPriority w:val="99"/>
    <w:semiHidden/>
    <w:unhideWhenUsed/>
    <w:rsid w:val="0083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2022-04-11T11:35:00Z</cp:lastPrinted>
  <dcterms:created xsi:type="dcterms:W3CDTF">2022-04-11T13:07:00Z</dcterms:created>
  <dcterms:modified xsi:type="dcterms:W3CDTF">2022-04-11T13:07:00Z</dcterms:modified>
</cp:coreProperties>
</file>