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9"/>
        <w:gridCol w:w="1393"/>
        <w:tblGridChange w:id="0">
          <w:tblGrid>
            <w:gridCol w:w="8959"/>
            <w:gridCol w:w="1393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Právní předpis, typ prohlídky, cena základního vyšetření praktickým lékařem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spacing w:before="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Vyhláška 79/2013 Sb. – kategorie 1,2, 2R, 3 a 4, příloha č. 2, část II. – riziko ohrožení zdraví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Vstupní prohlídka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before="9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470 Kč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Pravidelná prohlídka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before="9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470 Kč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Mimořádná prohlídka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9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470 Kč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Výstupní prohlídka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9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470 Kč</w:t>
            </w:r>
          </w:p>
        </w:tc>
      </w:tr>
    </w:tbl>
    <w:p w:rsidR="00000000" w:rsidDel="00000000" w:rsidP="00000000" w:rsidRDefault="00000000" w:rsidRPr="00000000" w14:paraId="0000000E">
      <w:pPr>
        <w:spacing w:before="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9"/>
        <w:gridCol w:w="1393"/>
        <w:tblGridChange w:id="0">
          <w:tblGrid>
            <w:gridCol w:w="8959"/>
            <w:gridCol w:w="1393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Neklinická činnost v rámci pracovnělékařských služeb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Roční paušální poplatek za poradenství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9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5 000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Kč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Dohlídka pracoviště Vídeňská 1083, 142 20 Praha 4-Krč (cena za 1 započatou hodinu)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9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2 000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Kč</w:t>
            </w:r>
          </w:p>
        </w:tc>
      </w:tr>
    </w:tbl>
    <w:p w:rsidR="00000000" w:rsidDel="00000000" w:rsidP="00000000" w:rsidRDefault="00000000" w:rsidRPr="00000000" w14:paraId="00000015">
      <w:pPr>
        <w:spacing w:before="9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96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tabs>
          <w:tab w:val="left" w:pos="3960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Uvedené ceny v rámci této přílohy jsou bez DPH.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1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  <w:tab w:val="left" w:pos="284"/>
        <w:tab w:val="left" w:pos="1701"/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  <w:tab w:val="left" w:pos="284"/>
        <w:tab w:val="left" w:pos="1701"/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Příloha č. 1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  <w:tab w:val="left" w:pos="284"/>
        <w:tab w:val="left" w:pos="1701"/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Příloha č. 2 – Ceník PLS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uiPriority w:val="1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pPr>
      <w:ind w:left="776"/>
    </w:pPr>
    <w:rPr>
      <w:rFonts w:ascii="Calibri" w:eastAsia="Calibri" w:hAnsi="Calibri"/>
      <w:sz w:val="20"/>
      <w:szCs w:val="20"/>
    </w:rPr>
  </w:style>
  <w:style w:type="paragraph" w:styleId="Odstavecseseznamem">
    <w:name w:val="List Paragraph"/>
    <w:basedOn w:val="Normln"/>
    <w:uiPriority w:val="34"/>
    <w:qFormat w:val="1"/>
  </w:style>
  <w:style w:type="paragraph" w:styleId="TableParagraph" w:customStyle="1">
    <w:name w:val="Table Paragraph"/>
    <w:basedOn w:val="Normln"/>
    <w:uiPriority w:val="1"/>
    <w:qFormat w:val="1"/>
  </w:style>
  <w:style w:type="table" w:styleId="Mkatabulky">
    <w:name w:val="Table Grid"/>
    <w:basedOn w:val="Normlntabulka"/>
    <w:uiPriority w:val="39"/>
    <w:rsid w:val="005F65C0"/>
    <w:pPr>
      <w:widowControl w:val="1"/>
    </w:pPr>
    <w:rPr>
      <w:lang w:val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5F65C0"/>
    <w:pPr>
      <w:widowControl w:val="1"/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rsid w:val="00FD6C7A"/>
    <w:pPr>
      <w:widowControl w:val="1"/>
      <w:tabs>
        <w:tab w:val="left" w:pos="0"/>
        <w:tab w:val="left" w:pos="284"/>
        <w:tab w:val="left" w:pos="1701"/>
        <w:tab w:val="center" w:pos="4536"/>
        <w:tab w:val="right" w:pos="9072"/>
      </w:tabs>
      <w:jc w:val="both"/>
    </w:pPr>
    <w:rPr>
      <w:rFonts w:ascii="Times New Roman" w:cs="Times New Roman" w:eastAsia="Times New Roman" w:hAnsi="Times New Roman"/>
      <w:sz w:val="24"/>
      <w:szCs w:val="20"/>
      <w:lang w:eastAsia="cs-CZ" w:val="cs-CZ"/>
    </w:rPr>
  </w:style>
  <w:style w:type="character" w:styleId="ZhlavChar" w:customStyle="1">
    <w:name w:val="Záhlaví Char"/>
    <w:basedOn w:val="Standardnpsmoodstavce"/>
    <w:link w:val="Zhlav"/>
    <w:rsid w:val="00FD6C7A"/>
    <w:rPr>
      <w:rFonts w:ascii="Times New Roman" w:cs="Times New Roman" w:eastAsia="Times New Roman" w:hAnsi="Times New Roman"/>
      <w:sz w:val="24"/>
      <w:szCs w:val="20"/>
      <w:lang w:eastAsia="cs-CZ" w:val="cs-CZ"/>
    </w:rPr>
  </w:style>
  <w:style w:type="paragraph" w:styleId="Zpat">
    <w:name w:val="footer"/>
    <w:basedOn w:val="Normln"/>
    <w:link w:val="ZpatChar"/>
    <w:rsid w:val="00FD6C7A"/>
    <w:pPr>
      <w:widowControl w:val="1"/>
      <w:tabs>
        <w:tab w:val="left" w:pos="0"/>
        <w:tab w:val="left" w:pos="284"/>
        <w:tab w:val="left" w:pos="1701"/>
        <w:tab w:val="center" w:pos="4536"/>
        <w:tab w:val="right" w:pos="9072"/>
      </w:tabs>
      <w:jc w:val="both"/>
    </w:pPr>
    <w:rPr>
      <w:rFonts w:ascii="Times New Roman" w:cs="Times New Roman" w:eastAsia="Times New Roman" w:hAnsi="Times New Roman"/>
      <w:sz w:val="24"/>
      <w:szCs w:val="20"/>
      <w:lang w:eastAsia="cs-CZ" w:val="cs-CZ"/>
    </w:rPr>
  </w:style>
  <w:style w:type="character" w:styleId="ZpatChar" w:customStyle="1">
    <w:name w:val="Zápatí Char"/>
    <w:basedOn w:val="Standardnpsmoodstavce"/>
    <w:link w:val="Zpat"/>
    <w:rsid w:val="00FD6C7A"/>
    <w:rPr>
      <w:rFonts w:ascii="Times New Roman" w:cs="Times New Roman" w:eastAsia="Times New Roman" w:hAnsi="Times New Roman"/>
      <w:sz w:val="24"/>
      <w:szCs w:val="20"/>
      <w:lang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qOipwncIaOiMQIhcx7AivSIR/g==">AMUW2mXrTGHiIqsOx0qqm9IJ4Rxqot2IGJkrUdjA0BR35VrKk6JOf6e2lCRNOXknGc0rrJfYMMXtLSBsxyts9MOJJyDoJFn2vl43xCyVOQckx+bB++2ZOTQ5nYX5wzcxqXAQaQhxucml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2017-12-20T13:44:00Z</dcterms:created>
  <dc:creator>Miroslav Pavlíček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2016-02-22T00:00:00Z</vt:filetime>
  </property>
</Properties>
</file>