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28D5" w14:textId="38D5CBCC" w:rsidR="000E51F6" w:rsidRPr="006368D9" w:rsidRDefault="00C93C4E" w:rsidP="0058529F">
      <w:pPr>
        <w:jc w:val="right"/>
        <w:rPr>
          <w:rFonts w:cs="Arial"/>
          <w:b/>
          <w:bCs/>
          <w:i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E313FF2" wp14:editId="5C014C37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0" b="0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A340A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39CB5A78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495A8A94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31833991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12443570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5DC2C148" w14:textId="77777777" w:rsidR="00C04539" w:rsidRPr="006368D9" w:rsidRDefault="00C04539" w:rsidP="00C04539">
      <w:pPr>
        <w:pStyle w:val="Zkladntext32"/>
        <w:spacing w:line="240" w:lineRule="auto"/>
        <w:jc w:val="right"/>
        <w:rPr>
          <w:rFonts w:ascii="Koop Office" w:hAnsi="Koop Office" w:cs="Arial"/>
          <w:i/>
        </w:rPr>
      </w:pPr>
    </w:p>
    <w:p w14:paraId="137DDED2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5ED9D4D6" w14:textId="20622BD6" w:rsidR="00E71674" w:rsidRPr="00AA4296" w:rsidRDefault="00E71674" w:rsidP="00AA4296">
      <w:pPr>
        <w:ind w:left="600"/>
        <w:jc w:val="center"/>
        <w:rPr>
          <w:rFonts w:cs="Arial"/>
          <w:b/>
          <w:sz w:val="32"/>
          <w:szCs w:val="32"/>
        </w:rPr>
      </w:pPr>
    </w:p>
    <w:p w14:paraId="65C6F892" w14:textId="2E9736C6" w:rsidR="00AA4296" w:rsidRDefault="00AA4296" w:rsidP="00D7357B">
      <w:pPr>
        <w:ind w:left="600"/>
        <w:rPr>
          <w:rFonts w:cs="Arial"/>
          <w:sz w:val="24"/>
        </w:rPr>
      </w:pPr>
    </w:p>
    <w:p w14:paraId="4D17302C" w14:textId="77777777" w:rsidR="00EC68F6" w:rsidRDefault="00EC68F6" w:rsidP="00D7357B">
      <w:pPr>
        <w:rPr>
          <w:rFonts w:cs="Arial"/>
          <w:b/>
          <w:sz w:val="32"/>
        </w:rPr>
      </w:pPr>
      <w:bookmarkStart w:id="0" w:name="Priloha_1"/>
      <w:bookmarkEnd w:id="0"/>
      <w:r w:rsidRPr="00EF47D0">
        <w:rPr>
          <w:rFonts w:cs="Arial"/>
          <w:b/>
          <w:sz w:val="32"/>
        </w:rPr>
        <w:t>Dodatek č. 1</w:t>
      </w:r>
    </w:p>
    <w:p w14:paraId="1D3AE949" w14:textId="4A879ACD" w:rsidR="00D7357B" w:rsidRPr="006368D9" w:rsidRDefault="00EC68F6" w:rsidP="00D7357B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t>k p</w:t>
      </w:r>
      <w:r w:rsidR="00D7357B" w:rsidRPr="006368D9">
        <w:rPr>
          <w:rFonts w:cs="Arial"/>
          <w:b/>
          <w:sz w:val="32"/>
        </w:rPr>
        <w:t>ojistn</w:t>
      </w:r>
      <w:r>
        <w:rPr>
          <w:rFonts w:cs="Arial"/>
          <w:b/>
          <w:sz w:val="32"/>
        </w:rPr>
        <w:t>é</w:t>
      </w:r>
      <w:r w:rsidR="00D7357B" w:rsidRPr="006368D9">
        <w:rPr>
          <w:rFonts w:cs="Arial"/>
          <w:b/>
          <w:sz w:val="32"/>
        </w:rPr>
        <w:t xml:space="preserve"> smlouv</w:t>
      </w:r>
      <w:r>
        <w:rPr>
          <w:rFonts w:cs="Arial"/>
          <w:b/>
          <w:sz w:val="32"/>
        </w:rPr>
        <w:t>ě</w:t>
      </w:r>
      <w:r w:rsidR="00D7357B" w:rsidRPr="006368D9">
        <w:rPr>
          <w:rFonts w:cs="Arial"/>
          <w:b/>
          <w:sz w:val="32"/>
        </w:rPr>
        <w:t xml:space="preserve"> č. </w:t>
      </w:r>
      <w:r w:rsidR="006E1A88">
        <w:rPr>
          <w:rFonts w:cs="Arial"/>
          <w:b/>
          <w:sz w:val="32"/>
        </w:rPr>
        <w:t>7721137419</w:t>
      </w:r>
    </w:p>
    <w:p w14:paraId="78144CBD" w14:textId="77777777" w:rsidR="00D7357B" w:rsidRPr="006368D9" w:rsidRDefault="00D7357B" w:rsidP="00D7357B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14:paraId="3DD0E9D8" w14:textId="7533920A" w:rsidR="00D7357B" w:rsidRDefault="00D7357B" w:rsidP="00D7357B">
      <w:pPr>
        <w:rPr>
          <w:rFonts w:cs="Arial"/>
        </w:rPr>
      </w:pPr>
    </w:p>
    <w:p w14:paraId="567678FA" w14:textId="77777777" w:rsidR="00214E32" w:rsidRDefault="00214E32" w:rsidP="00D7357B">
      <w:pPr>
        <w:rPr>
          <w:rFonts w:cs="Arial"/>
        </w:rPr>
      </w:pPr>
    </w:p>
    <w:p w14:paraId="4AAE8AB8" w14:textId="77777777" w:rsidR="00E71674" w:rsidRPr="006368D9" w:rsidRDefault="00E71674" w:rsidP="00D7357B">
      <w:pPr>
        <w:rPr>
          <w:rFonts w:cs="Arial"/>
        </w:rPr>
      </w:pPr>
    </w:p>
    <w:p w14:paraId="250C9055" w14:textId="77777777" w:rsidR="00D7357B" w:rsidRPr="006368D9" w:rsidRDefault="00D7357B" w:rsidP="00D7357B">
      <w:pPr>
        <w:rPr>
          <w:rFonts w:cs="Arial"/>
          <w:b/>
          <w:spacing w:val="20"/>
          <w:sz w:val="32"/>
        </w:rPr>
      </w:pPr>
      <w:r w:rsidRPr="006368D9">
        <w:rPr>
          <w:rFonts w:cs="Arial"/>
          <w:b/>
          <w:spacing w:val="20"/>
          <w:sz w:val="32"/>
        </w:rPr>
        <w:t xml:space="preserve">Kooperativa pojišťovna, a.s., </w:t>
      </w:r>
      <w:proofErr w:type="spellStart"/>
      <w:r w:rsidRPr="006368D9">
        <w:rPr>
          <w:rFonts w:cs="Arial"/>
          <w:b/>
          <w:spacing w:val="20"/>
          <w:sz w:val="32"/>
        </w:rPr>
        <w:t>Vienna</w:t>
      </w:r>
      <w:proofErr w:type="spellEnd"/>
      <w:r w:rsidRPr="006368D9">
        <w:rPr>
          <w:rFonts w:cs="Arial"/>
          <w:b/>
          <w:spacing w:val="20"/>
          <w:sz w:val="32"/>
        </w:rPr>
        <w:t xml:space="preserve"> </w:t>
      </w:r>
      <w:proofErr w:type="spellStart"/>
      <w:r w:rsidRPr="006368D9">
        <w:rPr>
          <w:rFonts w:cs="Arial"/>
          <w:b/>
          <w:spacing w:val="20"/>
          <w:sz w:val="32"/>
        </w:rPr>
        <w:t>Insurance</w:t>
      </w:r>
      <w:proofErr w:type="spellEnd"/>
      <w:r w:rsidRPr="006368D9">
        <w:rPr>
          <w:rFonts w:cs="Arial"/>
          <w:b/>
          <w:spacing w:val="20"/>
          <w:sz w:val="32"/>
        </w:rPr>
        <w:t xml:space="preserve"> Group</w:t>
      </w:r>
    </w:p>
    <w:p w14:paraId="6E09DE66" w14:textId="77777777"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A70018" w:rsidRPr="006368D9">
        <w:rPr>
          <w:rFonts w:cs="Arial"/>
          <w:b/>
        </w:rPr>
        <w:t>Praha 8, Pobřežní 665/21, PSČ 186 00</w:t>
      </w:r>
      <w:r w:rsidRPr="006368D9">
        <w:rPr>
          <w:rFonts w:cs="Arial"/>
          <w:b/>
        </w:rPr>
        <w:t xml:space="preserve">, Česká republika </w:t>
      </w:r>
    </w:p>
    <w:p w14:paraId="0BA5E0E0" w14:textId="77777777"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>IČ</w:t>
      </w:r>
      <w:r w:rsidR="00D86F64" w:rsidRPr="006368D9">
        <w:rPr>
          <w:rFonts w:cs="Arial"/>
          <w:b/>
        </w:rPr>
        <w:t>O</w:t>
      </w:r>
      <w:r w:rsidRPr="006368D9">
        <w:rPr>
          <w:rFonts w:cs="Arial"/>
          <w:b/>
        </w:rPr>
        <w:t xml:space="preserve">: 47116617 </w:t>
      </w:r>
    </w:p>
    <w:p w14:paraId="75B0A18D" w14:textId="77777777"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6368D9">
        <w:rPr>
          <w:rFonts w:cs="Arial"/>
          <w:sz w:val="20"/>
        </w:rPr>
        <w:t>sp</w:t>
      </w:r>
      <w:proofErr w:type="spellEnd"/>
      <w:r w:rsidRPr="006368D9">
        <w:rPr>
          <w:rFonts w:cs="Arial"/>
          <w:sz w:val="20"/>
        </w:rPr>
        <w:t>. zn. B 1897</w:t>
      </w:r>
    </w:p>
    <w:p w14:paraId="1432968F" w14:textId="77777777"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(dále jen </w:t>
      </w:r>
      <w:r w:rsidR="00D86F64" w:rsidRPr="006368D9">
        <w:rPr>
          <w:rFonts w:cs="Arial"/>
          <w:sz w:val="20"/>
        </w:rPr>
        <w:t>„</w:t>
      </w:r>
      <w:r w:rsidRPr="006368D9">
        <w:rPr>
          <w:rFonts w:cs="Arial"/>
          <w:b/>
          <w:sz w:val="20"/>
        </w:rPr>
        <w:t>pojistitel</w:t>
      </w:r>
      <w:r w:rsidR="001C2A7F" w:rsidRPr="006368D9">
        <w:rPr>
          <w:rFonts w:cs="Arial"/>
          <w:b/>
          <w:sz w:val="20"/>
        </w:rPr>
        <w:t>“</w:t>
      </w:r>
      <w:r w:rsidRPr="006368D9">
        <w:rPr>
          <w:rFonts w:cs="Arial"/>
          <w:sz w:val="20"/>
        </w:rPr>
        <w:t>),</w:t>
      </w:r>
    </w:p>
    <w:p w14:paraId="73C6BAFF" w14:textId="77777777" w:rsidR="00E71674" w:rsidRDefault="00D7357B" w:rsidP="00E71674">
      <w:pPr>
        <w:spacing w:line="280" w:lineRule="exact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zastoupený na základě zmocnění níže podepsanými osobami </w:t>
      </w:r>
    </w:p>
    <w:p w14:paraId="2A00BAAE" w14:textId="77777777" w:rsidR="00E71674" w:rsidRPr="005E1D2B" w:rsidRDefault="00E71674" w:rsidP="00E71674">
      <w:pPr>
        <w:spacing w:line="280" w:lineRule="exact"/>
        <w:rPr>
          <w:rFonts w:cs="Arial"/>
          <w:sz w:val="20"/>
        </w:rPr>
      </w:pPr>
      <w:r w:rsidRPr="005E1D2B">
        <w:rPr>
          <w:rFonts w:cs="Arial"/>
          <w:sz w:val="20"/>
        </w:rPr>
        <w:t xml:space="preserve">Pracoviště: Kooperativa pojišťovna, a.s., </w:t>
      </w:r>
      <w:proofErr w:type="spellStart"/>
      <w:r w:rsidRPr="005E1D2B">
        <w:rPr>
          <w:rFonts w:cs="Arial"/>
          <w:sz w:val="20"/>
        </w:rPr>
        <w:t>Vienna</w:t>
      </w:r>
      <w:proofErr w:type="spellEnd"/>
      <w:r w:rsidRPr="005E1D2B">
        <w:rPr>
          <w:rFonts w:cs="Arial"/>
          <w:sz w:val="20"/>
        </w:rPr>
        <w:t xml:space="preserve"> </w:t>
      </w:r>
      <w:proofErr w:type="spellStart"/>
      <w:r w:rsidRPr="005E1D2B">
        <w:rPr>
          <w:rFonts w:cs="Arial"/>
          <w:sz w:val="20"/>
        </w:rPr>
        <w:t>Insurance</w:t>
      </w:r>
      <w:proofErr w:type="spellEnd"/>
      <w:r w:rsidRPr="005E1D2B">
        <w:rPr>
          <w:rFonts w:cs="Arial"/>
          <w:sz w:val="20"/>
        </w:rPr>
        <w:t xml:space="preserve"> Group, Praha </w:t>
      </w:r>
      <w:r>
        <w:rPr>
          <w:rFonts w:cs="Arial"/>
          <w:sz w:val="20"/>
        </w:rPr>
        <w:t>8</w:t>
      </w:r>
      <w:r w:rsidRPr="005E1D2B">
        <w:rPr>
          <w:rFonts w:cs="Arial"/>
          <w:sz w:val="20"/>
        </w:rPr>
        <w:t xml:space="preserve">, </w:t>
      </w:r>
      <w:r>
        <w:rPr>
          <w:rFonts w:cs="Arial"/>
          <w:sz w:val="20"/>
        </w:rPr>
        <w:t>Pobřežní 665/21, PSČ 186 00</w:t>
      </w:r>
    </w:p>
    <w:p w14:paraId="79066A5E" w14:textId="3BDE21E0" w:rsidR="00E71674" w:rsidRPr="005E1D2B" w:rsidRDefault="00E71674" w:rsidP="00E71674">
      <w:pPr>
        <w:spacing w:line="280" w:lineRule="exact"/>
        <w:rPr>
          <w:rFonts w:cs="Arial"/>
          <w:sz w:val="20"/>
        </w:rPr>
      </w:pPr>
      <w:r w:rsidRPr="005E1D2B">
        <w:rPr>
          <w:rFonts w:cs="Arial"/>
          <w:sz w:val="20"/>
        </w:rPr>
        <w:t xml:space="preserve">tel. </w:t>
      </w:r>
      <w:proofErr w:type="spellStart"/>
      <w:r w:rsidR="00653634">
        <w:rPr>
          <w:rFonts w:cs="Arial"/>
          <w:sz w:val="20"/>
        </w:rPr>
        <w:t>xxxxxxxxxxxxxxxx</w:t>
      </w:r>
      <w:proofErr w:type="spellEnd"/>
    </w:p>
    <w:p w14:paraId="062B8B18" w14:textId="77777777" w:rsidR="00D7357B" w:rsidRDefault="00D7357B" w:rsidP="00E71674">
      <w:pPr>
        <w:rPr>
          <w:rFonts w:cs="Arial"/>
          <w:sz w:val="20"/>
        </w:rPr>
      </w:pPr>
    </w:p>
    <w:p w14:paraId="0C0626A3" w14:textId="77777777" w:rsidR="00D7357B" w:rsidRPr="006368D9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14:paraId="4DDB9E44" w14:textId="77777777" w:rsidR="00E71674" w:rsidRPr="006368D9" w:rsidRDefault="00E71674" w:rsidP="00D7357B">
      <w:pPr>
        <w:rPr>
          <w:rFonts w:cs="Arial"/>
          <w:sz w:val="20"/>
        </w:rPr>
      </w:pPr>
    </w:p>
    <w:p w14:paraId="7D53849F" w14:textId="77777777" w:rsidR="00D7357B" w:rsidRPr="00D33879" w:rsidRDefault="00D33879" w:rsidP="00D7357B"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Vodárna Káraný, a.s.</w:t>
      </w:r>
    </w:p>
    <w:p w14:paraId="0813B383" w14:textId="77777777" w:rsidR="00A34B30" w:rsidRDefault="001A1DC3" w:rsidP="00D7357B">
      <w:pPr>
        <w:jc w:val="both"/>
        <w:rPr>
          <w:rFonts w:cs="Arial"/>
          <w:b/>
        </w:rPr>
      </w:pPr>
      <w:r>
        <w:rPr>
          <w:rFonts w:cs="Arial"/>
          <w:b/>
        </w:rPr>
        <w:t>se sídlem</w:t>
      </w:r>
      <w:r w:rsidR="004F46FE">
        <w:rPr>
          <w:rFonts w:cs="Arial"/>
          <w:b/>
        </w:rPr>
        <w:t xml:space="preserve"> </w:t>
      </w:r>
      <w:r w:rsidR="00E71674">
        <w:rPr>
          <w:rFonts w:cs="Arial"/>
          <w:b/>
        </w:rPr>
        <w:t xml:space="preserve">Praha </w:t>
      </w:r>
      <w:r w:rsidR="00D33879">
        <w:rPr>
          <w:rFonts w:cs="Arial"/>
          <w:b/>
        </w:rPr>
        <w:t xml:space="preserve">1, Staré </w:t>
      </w:r>
      <w:r w:rsidR="00740B6D">
        <w:rPr>
          <w:rFonts w:cs="Arial"/>
          <w:b/>
        </w:rPr>
        <w:t>M</w:t>
      </w:r>
      <w:r w:rsidR="00D33879">
        <w:rPr>
          <w:rFonts w:cs="Arial"/>
          <w:b/>
        </w:rPr>
        <w:t>ěsto, Žatecká 110/2, PSČ 110 00</w:t>
      </w:r>
    </w:p>
    <w:p w14:paraId="76DA63DB" w14:textId="77777777" w:rsidR="00D7357B" w:rsidRPr="00E71674" w:rsidRDefault="001A1DC3" w:rsidP="00E71674">
      <w:pPr>
        <w:rPr>
          <w:rFonts w:cs="Arial"/>
          <w:b/>
        </w:rPr>
      </w:pPr>
      <w:r>
        <w:rPr>
          <w:rFonts w:cs="Arial"/>
          <w:b/>
        </w:rPr>
        <w:t>IČO</w:t>
      </w:r>
      <w:r w:rsidR="00E71674" w:rsidRPr="00E71674">
        <w:rPr>
          <w:rFonts w:cs="Arial"/>
          <w:b/>
        </w:rPr>
        <w:t>:</w:t>
      </w:r>
      <w:r w:rsidR="004F46FE">
        <w:rPr>
          <w:rFonts w:cs="Arial"/>
          <w:b/>
        </w:rPr>
        <w:t xml:space="preserve"> </w:t>
      </w:r>
      <w:r w:rsidR="00D33879">
        <w:rPr>
          <w:rFonts w:cs="Arial"/>
          <w:b/>
        </w:rPr>
        <w:t>29148995</w:t>
      </w:r>
    </w:p>
    <w:p w14:paraId="3335BC66" w14:textId="77777777" w:rsidR="00E71674" w:rsidRPr="006368D9" w:rsidRDefault="00E71674" w:rsidP="00E71674">
      <w:pPr>
        <w:rPr>
          <w:rFonts w:cs="Arial"/>
          <w:sz w:val="20"/>
        </w:rPr>
      </w:pPr>
      <w:r w:rsidRPr="006368D9">
        <w:rPr>
          <w:rFonts w:cs="Arial"/>
          <w:sz w:val="20"/>
        </w:rPr>
        <w:t>zapsaná v obchodním rejstříku u Městské</w:t>
      </w:r>
      <w:r w:rsidR="00D33879">
        <w:rPr>
          <w:rFonts w:cs="Arial"/>
          <w:sz w:val="20"/>
        </w:rPr>
        <w:t xml:space="preserve">ho soudu v Praze, </w:t>
      </w:r>
      <w:proofErr w:type="spellStart"/>
      <w:r w:rsidR="00D33879">
        <w:rPr>
          <w:rFonts w:cs="Arial"/>
          <w:sz w:val="20"/>
        </w:rPr>
        <w:t>sp</w:t>
      </w:r>
      <w:proofErr w:type="spellEnd"/>
      <w:r w:rsidR="00D33879">
        <w:rPr>
          <w:rFonts w:cs="Arial"/>
          <w:sz w:val="20"/>
        </w:rPr>
        <w:t>. zn. B 18857</w:t>
      </w:r>
    </w:p>
    <w:p w14:paraId="2F896800" w14:textId="77777777" w:rsidR="00D7357B" w:rsidRPr="006368D9" w:rsidRDefault="00D7357B" w:rsidP="00E71674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(dále jen </w:t>
      </w:r>
      <w:r w:rsidR="00A34B30" w:rsidRPr="006368D9">
        <w:rPr>
          <w:rFonts w:cs="Arial"/>
          <w:bCs/>
          <w:sz w:val="20"/>
        </w:rPr>
        <w:t>„</w:t>
      </w:r>
      <w:r w:rsidRPr="006368D9">
        <w:rPr>
          <w:rFonts w:cs="Arial"/>
          <w:b/>
          <w:sz w:val="20"/>
        </w:rPr>
        <w:t>pojistník</w:t>
      </w:r>
      <w:r w:rsidR="00A34B30" w:rsidRPr="006368D9">
        <w:rPr>
          <w:rFonts w:cs="Arial"/>
          <w:b/>
          <w:sz w:val="20"/>
        </w:rPr>
        <w:t>“</w:t>
      </w:r>
      <w:r w:rsidRPr="006368D9">
        <w:rPr>
          <w:rFonts w:cs="Arial"/>
          <w:bCs/>
          <w:sz w:val="20"/>
        </w:rPr>
        <w:t>)</w:t>
      </w:r>
    </w:p>
    <w:p w14:paraId="43A8BAC5" w14:textId="79EA8A94" w:rsidR="00167C21" w:rsidRPr="00167C21" w:rsidRDefault="00167C21" w:rsidP="00167C21">
      <w:pPr>
        <w:spacing w:before="60" w:after="120"/>
        <w:rPr>
          <w:sz w:val="20"/>
          <w:szCs w:val="18"/>
        </w:rPr>
      </w:pPr>
      <w:r w:rsidRPr="00167C21">
        <w:rPr>
          <w:sz w:val="20"/>
          <w:szCs w:val="18"/>
        </w:rPr>
        <w:t xml:space="preserve">zastoupený </w:t>
      </w:r>
      <w:bookmarkStart w:id="1" w:name="_Hlk35257138"/>
      <w:r w:rsidRPr="00167C21">
        <w:rPr>
          <w:sz w:val="20"/>
          <w:szCs w:val="18"/>
        </w:rPr>
        <w:t>níže podepsanými osobami</w:t>
      </w:r>
      <w:bookmarkEnd w:id="1"/>
    </w:p>
    <w:p w14:paraId="3B11F959" w14:textId="0595FB85" w:rsidR="00167C21" w:rsidRPr="00167C21" w:rsidRDefault="00167C21" w:rsidP="00167C21">
      <w:pPr>
        <w:spacing w:before="120"/>
        <w:rPr>
          <w:sz w:val="20"/>
          <w:szCs w:val="18"/>
        </w:rPr>
      </w:pPr>
      <w:r w:rsidRPr="00167C21">
        <w:rPr>
          <w:b/>
          <w:sz w:val="20"/>
          <w:szCs w:val="18"/>
        </w:rPr>
        <w:t>Korespondenční adresa:</w:t>
      </w:r>
      <w:r w:rsidRPr="00167C21">
        <w:rPr>
          <w:sz w:val="20"/>
          <w:szCs w:val="18"/>
        </w:rPr>
        <w:t xml:space="preserve"> </w:t>
      </w:r>
    </w:p>
    <w:p w14:paraId="3B97A6BF" w14:textId="291F15BC" w:rsidR="00167C21" w:rsidRPr="00167C21" w:rsidRDefault="00167C21" w:rsidP="00167C21">
      <w:pPr>
        <w:rPr>
          <w:sz w:val="20"/>
          <w:szCs w:val="18"/>
        </w:rPr>
      </w:pPr>
      <w:r w:rsidRPr="00167C21">
        <w:rPr>
          <w:sz w:val="20"/>
          <w:szCs w:val="18"/>
        </w:rPr>
        <w:t>Korespondenční adresa pojistníka je totožná s výše uvedenou adresou pojistníka.</w:t>
      </w:r>
    </w:p>
    <w:p w14:paraId="15D17B6C" w14:textId="48F25F06" w:rsidR="00A34B30" w:rsidRDefault="00A34B30" w:rsidP="00D7357B">
      <w:pPr>
        <w:rPr>
          <w:rFonts w:cs="Arial"/>
          <w:b/>
          <w:sz w:val="18"/>
          <w:szCs w:val="22"/>
        </w:rPr>
      </w:pPr>
    </w:p>
    <w:p w14:paraId="207894B6" w14:textId="77777777" w:rsidR="00D7357B" w:rsidRPr="006368D9" w:rsidRDefault="00D7357B" w:rsidP="00D7357B">
      <w:pPr>
        <w:ind w:left="284" w:hanging="284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uzavírají </w:t>
      </w:r>
    </w:p>
    <w:p w14:paraId="4CEDBF9E" w14:textId="0F46FC26" w:rsidR="00D7357B" w:rsidRDefault="00D7357B" w:rsidP="00D7357B">
      <w:pPr>
        <w:pStyle w:val="Zkladntext32"/>
        <w:spacing w:line="240" w:lineRule="auto"/>
        <w:rPr>
          <w:rFonts w:ascii="Koop Office" w:hAnsi="Koop Office" w:cs="Arial"/>
        </w:rPr>
      </w:pPr>
    </w:p>
    <w:p w14:paraId="57DCDE66" w14:textId="6E965026" w:rsidR="00D7357B" w:rsidRPr="00EF47D0" w:rsidRDefault="00EC68F6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EF47D0">
        <w:rPr>
          <w:rFonts w:ascii="Koop Office" w:hAnsi="Koop Office"/>
        </w:rPr>
        <w:t>ve smyslu zákona č. 89/2012 Sb., občanského zákoníku, tento dodatek, který spolu s výše uvedenou pojistnou smlouvou, pojistnými podmínkami pojistitele a přílohami, na které se pojistná smlouva (ve znění tohoto dodatku) odvolává, tvoří nedílný celek.</w:t>
      </w:r>
    </w:p>
    <w:p w14:paraId="4F4CCC44" w14:textId="77777777" w:rsidR="00D7357B" w:rsidRPr="00EF47D0" w:rsidRDefault="00D7357B" w:rsidP="00D7357B">
      <w:pPr>
        <w:rPr>
          <w:rFonts w:cs="Arial"/>
          <w:sz w:val="20"/>
        </w:rPr>
      </w:pPr>
    </w:p>
    <w:p w14:paraId="5045250B" w14:textId="77777777" w:rsidR="00E71674" w:rsidRPr="00EF47D0" w:rsidRDefault="00E71674" w:rsidP="00D7357B">
      <w:pPr>
        <w:rPr>
          <w:rFonts w:cs="Arial"/>
          <w:sz w:val="20"/>
        </w:rPr>
      </w:pPr>
    </w:p>
    <w:p w14:paraId="02790205" w14:textId="638311A0" w:rsidR="00214E32" w:rsidRPr="00167C21" w:rsidRDefault="00214E32" w:rsidP="00214E32">
      <w:pPr>
        <w:rPr>
          <w:rFonts w:cs="Arial"/>
          <w:sz w:val="18"/>
          <w:szCs w:val="22"/>
        </w:rPr>
      </w:pPr>
      <w:r w:rsidRPr="00EF47D0">
        <w:rPr>
          <w:sz w:val="20"/>
          <w:szCs w:val="18"/>
        </w:rPr>
        <w:t>T</w:t>
      </w:r>
      <w:r w:rsidR="00EC68F6" w:rsidRPr="00EF47D0">
        <w:rPr>
          <w:sz w:val="20"/>
          <w:szCs w:val="18"/>
        </w:rPr>
        <w:t xml:space="preserve">ento dodatek </w:t>
      </w:r>
      <w:r w:rsidRPr="00EF47D0">
        <w:rPr>
          <w:sz w:val="20"/>
          <w:szCs w:val="18"/>
        </w:rPr>
        <w:t>byl sjednán prostřednictvím samostatného zprostředkovatele</w:t>
      </w:r>
    </w:p>
    <w:p w14:paraId="774F305C" w14:textId="77777777" w:rsidR="00214E32" w:rsidRPr="00727ED4" w:rsidRDefault="00214E32" w:rsidP="00214E32"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GRANTEX </w:t>
      </w:r>
      <w:proofErr w:type="spellStart"/>
      <w:r>
        <w:rPr>
          <w:rFonts w:cs="Arial"/>
          <w:b/>
          <w:sz w:val="32"/>
        </w:rPr>
        <w:t>financial</w:t>
      </w:r>
      <w:proofErr w:type="spellEnd"/>
      <w:r>
        <w:rPr>
          <w:rFonts w:cs="Arial"/>
          <w:b/>
          <w:sz w:val="32"/>
        </w:rPr>
        <w:t xml:space="preserve"> </w:t>
      </w:r>
      <w:proofErr w:type="spellStart"/>
      <w:r>
        <w:rPr>
          <w:rFonts w:cs="Arial"/>
          <w:b/>
          <w:sz w:val="32"/>
        </w:rPr>
        <w:t>services</w:t>
      </w:r>
      <w:proofErr w:type="spellEnd"/>
      <w:r>
        <w:rPr>
          <w:rFonts w:cs="Arial"/>
          <w:b/>
          <w:sz w:val="32"/>
        </w:rPr>
        <w:t xml:space="preserve"> s.r.o.</w:t>
      </w:r>
    </w:p>
    <w:p w14:paraId="33FF429E" w14:textId="77777777" w:rsidR="00214E32" w:rsidRPr="00727ED4" w:rsidRDefault="00214E32" w:rsidP="00214E32">
      <w:pPr>
        <w:spacing w:line="280" w:lineRule="exact"/>
        <w:jc w:val="both"/>
        <w:rPr>
          <w:rFonts w:cs="Arial"/>
          <w:b/>
        </w:rPr>
      </w:pPr>
      <w:r w:rsidRPr="00727ED4">
        <w:rPr>
          <w:rFonts w:cs="Arial"/>
          <w:b/>
        </w:rPr>
        <w:t xml:space="preserve">se sídlem Praha </w:t>
      </w:r>
      <w:r>
        <w:rPr>
          <w:rFonts w:cs="Arial"/>
          <w:b/>
        </w:rPr>
        <w:t>1, Malá Strana, Tržiště 366/13, PSČ 118 00</w:t>
      </w:r>
    </w:p>
    <w:p w14:paraId="62AB8847" w14:textId="77777777" w:rsidR="00214E32" w:rsidRPr="00727ED4" w:rsidRDefault="00214E32" w:rsidP="00214E32">
      <w:pPr>
        <w:spacing w:line="280" w:lineRule="exact"/>
        <w:jc w:val="both"/>
        <w:rPr>
          <w:rFonts w:cs="Arial"/>
          <w:b/>
        </w:rPr>
      </w:pPr>
      <w:r w:rsidRPr="00727ED4">
        <w:rPr>
          <w:rFonts w:cs="Arial"/>
          <w:b/>
        </w:rPr>
        <w:t>IČ</w:t>
      </w:r>
      <w:r>
        <w:rPr>
          <w:rFonts w:cs="Arial"/>
          <w:b/>
        </w:rPr>
        <w:t>O</w:t>
      </w:r>
      <w:r w:rsidRPr="00727ED4">
        <w:rPr>
          <w:rFonts w:cs="Arial"/>
          <w:b/>
        </w:rPr>
        <w:t xml:space="preserve">: </w:t>
      </w:r>
      <w:r>
        <w:rPr>
          <w:rFonts w:cs="Arial"/>
          <w:b/>
        </w:rPr>
        <w:t>08055271</w:t>
      </w:r>
    </w:p>
    <w:p w14:paraId="699806AC" w14:textId="77777777" w:rsidR="00214E32" w:rsidRPr="00167C21" w:rsidRDefault="00214E32" w:rsidP="00214E32">
      <w:pPr>
        <w:spacing w:after="120"/>
        <w:rPr>
          <w:sz w:val="20"/>
          <w:szCs w:val="18"/>
        </w:rPr>
      </w:pPr>
      <w:r w:rsidRPr="00167C21">
        <w:rPr>
          <w:sz w:val="20"/>
          <w:szCs w:val="18"/>
        </w:rPr>
        <w:t>(dále jen „</w:t>
      </w:r>
      <w:r w:rsidRPr="00167C21">
        <w:rPr>
          <w:b/>
          <w:sz w:val="20"/>
          <w:szCs w:val="18"/>
        </w:rPr>
        <w:t>samostatný zprostředkovatel</w:t>
      </w:r>
      <w:r w:rsidRPr="00167C21">
        <w:rPr>
          <w:sz w:val="20"/>
          <w:szCs w:val="18"/>
        </w:rPr>
        <w:t>“)</w:t>
      </w:r>
    </w:p>
    <w:p w14:paraId="0844F07F" w14:textId="77777777" w:rsidR="00214E32" w:rsidRPr="00167C21" w:rsidRDefault="00214E32" w:rsidP="00214E32">
      <w:pPr>
        <w:spacing w:before="120"/>
        <w:rPr>
          <w:sz w:val="20"/>
          <w:szCs w:val="18"/>
        </w:rPr>
      </w:pPr>
      <w:r w:rsidRPr="00167C21">
        <w:rPr>
          <w:b/>
          <w:sz w:val="20"/>
          <w:szCs w:val="18"/>
        </w:rPr>
        <w:t>Korespondenční adresa samostatného zprostředkovatele:</w:t>
      </w:r>
      <w:r w:rsidRPr="00167C21">
        <w:rPr>
          <w:sz w:val="20"/>
          <w:szCs w:val="18"/>
        </w:rPr>
        <w:t xml:space="preserve"> </w:t>
      </w:r>
    </w:p>
    <w:p w14:paraId="57CADCDA" w14:textId="77777777" w:rsidR="00214E32" w:rsidRPr="00167C21" w:rsidRDefault="00214E32" w:rsidP="00214E32">
      <w:pPr>
        <w:jc w:val="both"/>
        <w:rPr>
          <w:sz w:val="20"/>
          <w:szCs w:val="18"/>
        </w:rPr>
      </w:pPr>
      <w:r w:rsidRPr="00167C21">
        <w:rPr>
          <w:sz w:val="20"/>
          <w:szCs w:val="18"/>
        </w:rPr>
        <w:t>Korespondenční adresa samostatného zprostředkovatele je totožná s výše uvedenou adresou samostatného zprostředkovatele.</w:t>
      </w:r>
    </w:p>
    <w:p w14:paraId="44C92933" w14:textId="5B051B28" w:rsidR="00E71674" w:rsidRPr="006368D9" w:rsidRDefault="00214E32" w:rsidP="00EC68F6">
      <w:pPr>
        <w:spacing w:before="120"/>
        <w:jc w:val="both"/>
        <w:rPr>
          <w:rFonts w:cs="Arial"/>
          <w:sz w:val="20"/>
        </w:rPr>
      </w:pPr>
      <w:r w:rsidRPr="00167C21">
        <w:rPr>
          <w:sz w:val="20"/>
          <w:szCs w:val="18"/>
        </w:rPr>
        <w:t>Sjednání t</w:t>
      </w:r>
      <w:r w:rsidR="00EC68F6">
        <w:rPr>
          <w:sz w:val="20"/>
          <w:szCs w:val="18"/>
        </w:rPr>
        <w:t xml:space="preserve">ohoto dodatku </w:t>
      </w:r>
      <w:r w:rsidRPr="00167C21">
        <w:rPr>
          <w:sz w:val="20"/>
          <w:szCs w:val="18"/>
        </w:rPr>
        <w:t>zprostředkoval pro pojistníka samostatný zprostředkovatel v postavení pojišťovacího makléře.</w:t>
      </w:r>
    </w:p>
    <w:p w14:paraId="2EC5B447" w14:textId="548F97AC" w:rsidR="00EC68F6" w:rsidRDefault="00E71674" w:rsidP="00EC68F6">
      <w:pPr>
        <w:rPr>
          <w:sz w:val="20"/>
          <w:szCs w:val="22"/>
        </w:rPr>
      </w:pPr>
      <w:r w:rsidRPr="00EC68F6">
        <w:rPr>
          <w:rFonts w:cs="Arial"/>
          <w:sz w:val="18"/>
          <w:szCs w:val="22"/>
        </w:rPr>
        <w:br w:type="page"/>
      </w:r>
      <w:r w:rsidR="00EC68F6" w:rsidRPr="00EF47D0">
        <w:rPr>
          <w:sz w:val="20"/>
          <w:szCs w:val="22"/>
        </w:rPr>
        <w:lastRenderedPageBreak/>
        <w:t>Výše uvedená pojistná smlouva (včetně výše uvedených údajů o výše uvedených subjektech) se mění takto:</w:t>
      </w:r>
    </w:p>
    <w:p w14:paraId="23BA7914" w14:textId="77777777" w:rsidR="00EC68F6" w:rsidRPr="00EC68F6" w:rsidRDefault="00EC68F6" w:rsidP="00EC68F6">
      <w:pPr>
        <w:rPr>
          <w:sz w:val="20"/>
          <w:szCs w:val="22"/>
        </w:rPr>
      </w:pPr>
    </w:p>
    <w:p w14:paraId="41090D0B" w14:textId="637AA1B4" w:rsidR="00EC68F6" w:rsidRDefault="00EC68F6" w:rsidP="00EF47D0">
      <w:pPr>
        <w:pStyle w:val="Odstavecseseznamem"/>
        <w:keepNext/>
        <w:numPr>
          <w:ilvl w:val="0"/>
          <w:numId w:val="36"/>
        </w:numPr>
        <w:spacing w:before="120" w:after="120" w:line="240" w:lineRule="auto"/>
        <w:contextualSpacing w:val="0"/>
        <w:jc w:val="both"/>
        <w:rPr>
          <w:rFonts w:ascii="Koop Office" w:hAnsi="Koop Office" w:cs="Arial"/>
          <w:b/>
          <w:i/>
          <w:sz w:val="20"/>
          <w:szCs w:val="20"/>
        </w:rPr>
      </w:pPr>
      <w:r w:rsidRPr="004C219A">
        <w:rPr>
          <w:rFonts w:ascii="Koop Office" w:hAnsi="Koop Office" w:cs="Arial"/>
          <w:b/>
          <w:i/>
          <w:sz w:val="20"/>
          <w:szCs w:val="20"/>
        </w:rPr>
        <w:t>Článek I</w:t>
      </w:r>
      <w:r>
        <w:rPr>
          <w:rFonts w:ascii="Koop Office" w:hAnsi="Koop Office" w:cs="Arial"/>
          <w:b/>
          <w:i/>
          <w:sz w:val="20"/>
          <w:szCs w:val="20"/>
        </w:rPr>
        <w:t>I</w:t>
      </w:r>
      <w:r w:rsidRPr="004C219A">
        <w:rPr>
          <w:rFonts w:ascii="Koop Office" w:hAnsi="Koop Office" w:cs="Arial"/>
          <w:b/>
          <w:i/>
          <w:sz w:val="20"/>
          <w:szCs w:val="20"/>
        </w:rPr>
        <w:t>. (</w:t>
      </w:r>
      <w:r>
        <w:rPr>
          <w:rFonts w:ascii="Koop Office" w:hAnsi="Koop Office" w:cs="Arial"/>
          <w:b/>
          <w:i/>
          <w:sz w:val="20"/>
          <w:szCs w:val="20"/>
        </w:rPr>
        <w:t>Druhy a způsoby pojištění, předměty a rozsah pojištění)</w:t>
      </w:r>
      <w:r w:rsidRPr="004C219A">
        <w:rPr>
          <w:rFonts w:ascii="Koop Office" w:hAnsi="Koop Office" w:cs="Arial"/>
          <w:b/>
          <w:i/>
          <w:sz w:val="20"/>
          <w:szCs w:val="20"/>
        </w:rPr>
        <w:t>, bod 2. (Přehled sjednaných pojištění) se mění takto:</w:t>
      </w:r>
    </w:p>
    <w:p w14:paraId="375BF856" w14:textId="00B6CD3F" w:rsidR="00FB4CEE" w:rsidRPr="00EF47D0" w:rsidRDefault="00EF47D0" w:rsidP="00C93ACC">
      <w:pPr>
        <w:keepNext/>
        <w:rPr>
          <w:bCs/>
          <w:sz w:val="20"/>
          <w:szCs w:val="20"/>
        </w:rPr>
      </w:pPr>
      <w:r w:rsidRPr="00EF47D0">
        <w:rPr>
          <w:bCs/>
          <w:sz w:val="20"/>
          <w:szCs w:val="20"/>
        </w:rPr>
        <w:t>V tabulce č. 2.1.1. se zvyšují pojistné částky a maximální roční limity plnění. Tabulka č. 2.1.1. nově zní:</w:t>
      </w:r>
    </w:p>
    <w:p w14:paraId="5E52C559" w14:textId="77777777" w:rsidR="009805D8" w:rsidRPr="00D06D34" w:rsidRDefault="009805D8" w:rsidP="00741B06">
      <w:pPr>
        <w:keepNext/>
        <w:numPr>
          <w:ilvl w:val="0"/>
          <w:numId w:val="18"/>
        </w:numPr>
        <w:ind w:hanging="720"/>
        <w:rPr>
          <w:rFonts w:cs="Arial"/>
          <w:b/>
          <w:sz w:val="20"/>
        </w:rPr>
      </w:pPr>
      <w:bookmarkStart w:id="2" w:name="_MON_1248770050"/>
      <w:bookmarkStart w:id="3" w:name="_MON_1248770071"/>
      <w:bookmarkStart w:id="4" w:name="_MON_1248770207"/>
      <w:bookmarkStart w:id="5" w:name="_MON_1248770217"/>
      <w:bookmarkStart w:id="6" w:name="_MON_1251802589"/>
      <w:bookmarkStart w:id="7" w:name="_MON_1279608977"/>
      <w:bookmarkStart w:id="8" w:name="_MON_1279608992"/>
      <w:bookmarkStart w:id="9" w:name="_MON_1322461876"/>
      <w:bookmarkStart w:id="10" w:name="_MON_1322463704"/>
      <w:bookmarkStart w:id="11" w:name="_MON_1324275999"/>
      <w:bookmarkStart w:id="12" w:name="_MON_1338278826"/>
      <w:bookmarkStart w:id="13" w:name="_MON_1248769334"/>
      <w:bookmarkStart w:id="14" w:name="_MON_1248769927"/>
      <w:bookmarkStart w:id="15" w:name="_MON_1248769935"/>
      <w:bookmarkStart w:id="16" w:name="_MON_1248769967"/>
      <w:bookmarkStart w:id="17" w:name="_MON_1248769999"/>
      <w:bookmarkStart w:id="18" w:name="_MON_124877002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D06D34">
        <w:rPr>
          <w:rFonts w:cs="Arial"/>
          <w:b/>
          <w:sz w:val="20"/>
        </w:rPr>
        <w:t>Živelní pojištění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1417"/>
        <w:gridCol w:w="1134"/>
        <w:gridCol w:w="1276"/>
        <w:gridCol w:w="993"/>
      </w:tblGrid>
      <w:tr w:rsidR="009805D8" w:rsidRPr="006368D9" w14:paraId="7C3E657D" w14:textId="77777777" w:rsidTr="00A2121E">
        <w:tc>
          <w:tcPr>
            <w:tcW w:w="10065" w:type="dxa"/>
            <w:gridSpan w:val="7"/>
            <w:shd w:val="clear" w:color="auto" w:fill="auto"/>
          </w:tcPr>
          <w:p w14:paraId="2869C1D9" w14:textId="77777777" w:rsidR="009805D8" w:rsidRPr="00532F42" w:rsidRDefault="009805D8" w:rsidP="009805D8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 w:rsidR="00532F42">
              <w:rPr>
                <w:b/>
                <w:sz w:val="20"/>
                <w:szCs w:val="20"/>
              </w:rPr>
              <w:t xml:space="preserve"> </w:t>
            </w:r>
            <w:r w:rsidR="00532F42">
              <w:rPr>
                <w:sz w:val="20"/>
                <w:szCs w:val="20"/>
              </w:rPr>
              <w:t xml:space="preserve">viz </w:t>
            </w:r>
            <w:proofErr w:type="spellStart"/>
            <w:r w:rsidR="00532F42">
              <w:rPr>
                <w:sz w:val="20"/>
                <w:szCs w:val="20"/>
              </w:rPr>
              <w:t>čl.II</w:t>
            </w:r>
            <w:proofErr w:type="spellEnd"/>
            <w:r w:rsidR="00532F42">
              <w:rPr>
                <w:sz w:val="20"/>
                <w:szCs w:val="20"/>
              </w:rPr>
              <w:t>, bod 1.2.</w:t>
            </w:r>
          </w:p>
        </w:tc>
      </w:tr>
      <w:tr w:rsidR="00B140DB" w:rsidRPr="006368D9" w14:paraId="241B3370" w14:textId="77777777" w:rsidTr="00A2121E">
        <w:tc>
          <w:tcPr>
            <w:tcW w:w="10065" w:type="dxa"/>
            <w:gridSpan w:val="7"/>
            <w:shd w:val="clear" w:color="auto" w:fill="auto"/>
          </w:tcPr>
          <w:p w14:paraId="00C86D71" w14:textId="77777777" w:rsidR="00B140DB" w:rsidRPr="00CA248D" w:rsidRDefault="00B140DB" w:rsidP="00532F42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32F42">
              <w:rPr>
                <w:sz w:val="20"/>
                <w:szCs w:val="20"/>
              </w:rPr>
              <w:t>sdružený živel</w:t>
            </w:r>
          </w:p>
        </w:tc>
      </w:tr>
      <w:tr w:rsidR="009805D8" w:rsidRPr="006368D9" w14:paraId="512D542E" w14:textId="77777777" w:rsidTr="00A2121E">
        <w:tc>
          <w:tcPr>
            <w:tcW w:w="10065" w:type="dxa"/>
            <w:gridSpan w:val="7"/>
            <w:shd w:val="clear" w:color="auto" w:fill="auto"/>
          </w:tcPr>
          <w:p w14:paraId="429109AF" w14:textId="77777777" w:rsidR="009805D8" w:rsidRPr="00666281" w:rsidRDefault="009805D8" w:rsidP="00343282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P-150/14 a doložkami DOB101, DOB103, </w:t>
            </w:r>
            <w:r w:rsidR="008E6A28">
              <w:rPr>
                <w:sz w:val="20"/>
                <w:szCs w:val="20"/>
              </w:rPr>
              <w:t xml:space="preserve">DOB104, </w:t>
            </w:r>
            <w:r w:rsidRPr="00666281">
              <w:rPr>
                <w:sz w:val="20"/>
                <w:szCs w:val="20"/>
              </w:rPr>
              <w:t xml:space="preserve">DOB105, </w:t>
            </w:r>
            <w:r w:rsidR="008E6A28">
              <w:rPr>
                <w:sz w:val="20"/>
                <w:szCs w:val="20"/>
              </w:rPr>
              <w:t>DOB108,</w:t>
            </w:r>
            <w:r w:rsidR="00532F42">
              <w:rPr>
                <w:sz w:val="20"/>
                <w:szCs w:val="20"/>
              </w:rPr>
              <w:t xml:space="preserve"> DZ101, DZ106, DZ112</w:t>
            </w:r>
            <w:r w:rsidR="00A2121E">
              <w:rPr>
                <w:sz w:val="20"/>
                <w:szCs w:val="20"/>
              </w:rPr>
              <w:t>, DZ113, DZ114</w:t>
            </w:r>
          </w:p>
        </w:tc>
      </w:tr>
      <w:tr w:rsidR="00E71674" w:rsidRPr="006368D9" w14:paraId="5C9C19D7" w14:textId="77777777" w:rsidTr="00A2121E">
        <w:tc>
          <w:tcPr>
            <w:tcW w:w="709" w:type="dxa"/>
            <w:shd w:val="clear" w:color="auto" w:fill="auto"/>
            <w:vAlign w:val="center"/>
          </w:tcPr>
          <w:p w14:paraId="53034386" w14:textId="77777777" w:rsidR="009805D8" w:rsidRPr="00666281" w:rsidRDefault="009805D8" w:rsidP="006662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66281">
              <w:rPr>
                <w:b/>
                <w:sz w:val="20"/>
                <w:szCs w:val="20"/>
              </w:rPr>
              <w:t>Poř</w:t>
            </w:r>
            <w:proofErr w:type="spellEnd"/>
            <w:r w:rsidRPr="00666281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424B37" w14:textId="77777777" w:rsidR="009805D8" w:rsidRPr="00666281" w:rsidRDefault="009805D8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4C4728" w14:textId="77777777" w:rsidR="009805D8" w:rsidRPr="00666281" w:rsidRDefault="003B3C93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</w:t>
            </w:r>
            <w:r w:rsidR="009805D8" w:rsidRPr="00666281">
              <w:rPr>
                <w:b/>
                <w:sz w:val="20"/>
                <w:szCs w:val="20"/>
              </w:rPr>
              <w:t>ojistná částka</w:t>
            </w:r>
            <w:r w:rsidR="001773E3"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52C2FE" w14:textId="77777777" w:rsidR="009805D8" w:rsidRPr="00666281" w:rsidRDefault="009805D8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F4EAE" w14:textId="77777777" w:rsidR="009805D8" w:rsidRPr="00666281" w:rsidRDefault="009805D8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</w:t>
            </w:r>
            <w:r w:rsidR="00133185" w:rsidRPr="00666281">
              <w:rPr>
                <w:b/>
                <w:sz w:val="20"/>
                <w:szCs w:val="20"/>
              </w:rPr>
              <w:t xml:space="preserve">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A6332" w14:textId="77777777" w:rsidR="008C1B8D" w:rsidRPr="00666281" w:rsidRDefault="009805D8" w:rsidP="0066628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="008C1B8D" w:rsidRPr="00666281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  <w:p w14:paraId="0ACC43EB" w14:textId="77777777" w:rsidR="009805D8" w:rsidRPr="00666281" w:rsidRDefault="003B3C93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63E2D" w14:textId="77777777" w:rsidR="009805D8" w:rsidRPr="00666281" w:rsidRDefault="009805D8" w:rsidP="008378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="003B3C93"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71674" w:rsidRPr="006368D9" w14:paraId="7D6C8136" w14:textId="77777777" w:rsidTr="00A2121E">
        <w:tc>
          <w:tcPr>
            <w:tcW w:w="709" w:type="dxa"/>
            <w:shd w:val="clear" w:color="auto" w:fill="auto"/>
            <w:vAlign w:val="center"/>
          </w:tcPr>
          <w:p w14:paraId="6B98309C" w14:textId="77777777" w:rsidR="009805D8" w:rsidRPr="00666281" w:rsidRDefault="009805D8" w:rsidP="00532F42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8DB2E7" w14:textId="77777777" w:rsidR="00532F42" w:rsidRDefault="00532F42" w:rsidP="005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vlastních a cizích budov a ostatních staveb </w:t>
            </w:r>
          </w:p>
          <w:p w14:paraId="7F1526D9" w14:textId="77777777" w:rsidR="009805D8" w:rsidRPr="00666281" w:rsidRDefault="00532F42" w:rsidP="005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vč. „vodních děl“ a oplocení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0585A" w14:textId="38EB50D0" w:rsidR="009805D8" w:rsidRPr="00EF47D0" w:rsidRDefault="00EF47D0" w:rsidP="00532F42">
            <w:pPr>
              <w:jc w:val="center"/>
              <w:rPr>
                <w:b/>
                <w:bCs/>
                <w:sz w:val="20"/>
                <w:szCs w:val="20"/>
              </w:rPr>
            </w:pPr>
            <w:r w:rsidRPr="00EF47D0">
              <w:rPr>
                <w:b/>
                <w:bCs/>
                <w:sz w:val="20"/>
                <w:szCs w:val="20"/>
              </w:rPr>
              <w:t>2</w:t>
            </w:r>
            <w:r w:rsidR="00532F42" w:rsidRPr="00EF47D0">
              <w:rPr>
                <w:b/>
                <w:bCs/>
                <w:sz w:val="20"/>
                <w:szCs w:val="20"/>
              </w:rPr>
              <w:t> </w:t>
            </w:r>
            <w:r w:rsidRPr="00EF47D0">
              <w:rPr>
                <w:b/>
                <w:bCs/>
                <w:sz w:val="20"/>
                <w:szCs w:val="20"/>
              </w:rPr>
              <w:t>1</w:t>
            </w:r>
            <w:r w:rsidR="00532F42" w:rsidRPr="00EF47D0">
              <w:rPr>
                <w:b/>
                <w:bCs/>
                <w:sz w:val="20"/>
                <w:szCs w:val="20"/>
              </w:rPr>
              <w:t>00 000 000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CA68E8" w14:textId="77777777" w:rsidR="009805D8" w:rsidRPr="00666281" w:rsidRDefault="00532F42" w:rsidP="00532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781EC" w14:textId="77777777" w:rsidR="009805D8" w:rsidRPr="00666281" w:rsidRDefault="00CD75D7" w:rsidP="00532F42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AFF51A" w14:textId="77777777" w:rsidR="009805D8" w:rsidRPr="00666281" w:rsidRDefault="009805D8" w:rsidP="00532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5AD363" w14:textId="77777777" w:rsidR="009805D8" w:rsidRPr="00666281" w:rsidRDefault="009805D8" w:rsidP="00532F42">
            <w:pPr>
              <w:jc w:val="center"/>
              <w:rPr>
                <w:sz w:val="20"/>
                <w:szCs w:val="20"/>
              </w:rPr>
            </w:pPr>
          </w:p>
        </w:tc>
      </w:tr>
      <w:tr w:rsidR="00532F42" w:rsidRPr="006368D9" w14:paraId="7B948A7F" w14:textId="77777777" w:rsidTr="00A2121E">
        <w:tc>
          <w:tcPr>
            <w:tcW w:w="709" w:type="dxa"/>
            <w:shd w:val="clear" w:color="auto" w:fill="auto"/>
            <w:vAlign w:val="center"/>
          </w:tcPr>
          <w:p w14:paraId="46A5E562" w14:textId="77777777" w:rsidR="00532F42" w:rsidRPr="00666281" w:rsidRDefault="00532F42" w:rsidP="005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5DC8AD" w14:textId="77777777" w:rsidR="00532F42" w:rsidRPr="00666281" w:rsidRDefault="00532F42" w:rsidP="005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</w:t>
            </w:r>
            <w:r w:rsidR="00A2121E">
              <w:rPr>
                <w:sz w:val="20"/>
                <w:szCs w:val="20"/>
              </w:rPr>
              <w:t xml:space="preserve"> a cizích předmětů užívaných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87A26" w14:textId="7BF357E6" w:rsidR="00532F42" w:rsidRPr="00EF47D0" w:rsidRDefault="00EF47D0" w:rsidP="000E7FF2">
            <w:pPr>
              <w:jc w:val="center"/>
              <w:rPr>
                <w:b/>
                <w:bCs/>
                <w:sz w:val="20"/>
                <w:szCs w:val="20"/>
              </w:rPr>
            </w:pPr>
            <w:r w:rsidRPr="00EF47D0">
              <w:rPr>
                <w:b/>
                <w:bCs/>
                <w:sz w:val="20"/>
                <w:szCs w:val="20"/>
              </w:rPr>
              <w:t>856</w:t>
            </w:r>
            <w:r w:rsidR="00532F42" w:rsidRPr="00EF47D0">
              <w:rPr>
                <w:b/>
                <w:bCs/>
                <w:sz w:val="20"/>
                <w:szCs w:val="20"/>
              </w:rPr>
              <w:t> </w:t>
            </w:r>
            <w:r w:rsidRPr="00EF47D0">
              <w:rPr>
                <w:b/>
                <w:bCs/>
                <w:sz w:val="20"/>
                <w:szCs w:val="20"/>
              </w:rPr>
              <w:t>8</w:t>
            </w:r>
            <w:r w:rsidR="00532F42" w:rsidRPr="00EF47D0">
              <w:rPr>
                <w:b/>
                <w:bCs/>
                <w:sz w:val="20"/>
                <w:szCs w:val="20"/>
              </w:rPr>
              <w:t>00 000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A2F3D3" w14:textId="77777777" w:rsidR="00532F42" w:rsidRPr="00666281" w:rsidRDefault="00532F42" w:rsidP="00532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0AE54" w14:textId="77777777" w:rsidR="00532F42" w:rsidRPr="00666281" w:rsidRDefault="00532F42" w:rsidP="00532F42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CD410" w14:textId="77777777" w:rsidR="00532F42" w:rsidRPr="00666281" w:rsidRDefault="00532F42" w:rsidP="00532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C033EB" w14:textId="77777777" w:rsidR="00532F42" w:rsidRPr="00666281" w:rsidRDefault="00532F42" w:rsidP="00532F42">
            <w:pPr>
              <w:jc w:val="center"/>
              <w:rPr>
                <w:sz w:val="20"/>
                <w:szCs w:val="20"/>
              </w:rPr>
            </w:pPr>
          </w:p>
        </w:tc>
      </w:tr>
      <w:tr w:rsidR="00E71674" w:rsidRPr="006368D9" w14:paraId="0FAAD9BE" w14:textId="77777777" w:rsidTr="00A2121E">
        <w:tc>
          <w:tcPr>
            <w:tcW w:w="709" w:type="dxa"/>
            <w:shd w:val="clear" w:color="auto" w:fill="auto"/>
            <w:vAlign w:val="center"/>
          </w:tcPr>
          <w:p w14:paraId="0C9218F6" w14:textId="77777777" w:rsidR="009805D8" w:rsidRPr="00666281" w:rsidRDefault="00532F42" w:rsidP="005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D43B5B" w14:textId="77777777" w:rsidR="009805D8" w:rsidRPr="000E7FF2" w:rsidRDefault="00532F42" w:rsidP="00532F42">
            <w:pPr>
              <w:rPr>
                <w:sz w:val="20"/>
                <w:szCs w:val="20"/>
              </w:rPr>
            </w:pPr>
            <w:r w:rsidRPr="000E7FF2">
              <w:rPr>
                <w:sz w:val="20"/>
                <w:szCs w:val="20"/>
              </w:rPr>
              <w:t>Soubor zásob</w:t>
            </w:r>
            <w:r w:rsidR="00DA4696" w:rsidRPr="000E7FF2">
              <w:rPr>
                <w:sz w:val="20"/>
                <w:szCs w:val="20"/>
              </w:rPr>
              <w:t xml:space="preserve"> a zásob v majetku třetích osob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F5EF6B" w14:textId="662EF2BF" w:rsidR="009805D8" w:rsidRPr="00EF47D0" w:rsidRDefault="00532F42" w:rsidP="00532F42">
            <w:pPr>
              <w:jc w:val="center"/>
              <w:rPr>
                <w:b/>
                <w:bCs/>
                <w:sz w:val="20"/>
                <w:szCs w:val="20"/>
              </w:rPr>
            </w:pPr>
            <w:r w:rsidRPr="00EF47D0">
              <w:rPr>
                <w:b/>
                <w:bCs/>
                <w:sz w:val="20"/>
                <w:szCs w:val="20"/>
              </w:rPr>
              <w:t>1</w:t>
            </w:r>
            <w:r w:rsidR="00EF47D0" w:rsidRPr="00EF47D0">
              <w:rPr>
                <w:b/>
                <w:bCs/>
                <w:sz w:val="20"/>
                <w:szCs w:val="20"/>
              </w:rPr>
              <w:t>4</w:t>
            </w:r>
            <w:r w:rsidRPr="00EF47D0">
              <w:rPr>
                <w:b/>
                <w:bCs/>
                <w:sz w:val="20"/>
                <w:szCs w:val="20"/>
              </w:rPr>
              <w:t>0 000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EEC226" w14:textId="77777777" w:rsidR="009805D8" w:rsidRPr="00666281" w:rsidRDefault="00456453" w:rsidP="00456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32F42">
              <w:rPr>
                <w:sz w:val="20"/>
                <w:szCs w:val="20"/>
              </w:rPr>
              <w:t>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B0365" w14:textId="77777777" w:rsidR="009805D8" w:rsidRPr="00666281" w:rsidRDefault="00532F42" w:rsidP="00532F42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E207F" w14:textId="77777777" w:rsidR="009805D8" w:rsidRPr="00666281" w:rsidRDefault="009805D8" w:rsidP="00532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79163B5" w14:textId="77777777" w:rsidR="009805D8" w:rsidRPr="00666281" w:rsidRDefault="009805D8" w:rsidP="00532F42">
            <w:pPr>
              <w:jc w:val="center"/>
              <w:rPr>
                <w:sz w:val="20"/>
                <w:szCs w:val="20"/>
              </w:rPr>
            </w:pPr>
          </w:p>
        </w:tc>
      </w:tr>
      <w:tr w:rsidR="00A2121E" w:rsidRPr="006368D9" w14:paraId="6CE436D4" w14:textId="77777777" w:rsidTr="00A2121E">
        <w:tc>
          <w:tcPr>
            <w:tcW w:w="709" w:type="dxa"/>
            <w:shd w:val="clear" w:color="auto" w:fill="auto"/>
            <w:vAlign w:val="center"/>
          </w:tcPr>
          <w:p w14:paraId="28701056" w14:textId="77777777" w:rsidR="00A2121E" w:rsidRDefault="00A2121E" w:rsidP="005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2F8390" w14:textId="77777777" w:rsidR="00A2121E" w:rsidRDefault="00A2121E" w:rsidP="00A21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Vlastních a cizích finančních prostředků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D720BA" w14:textId="77777777" w:rsidR="00A2121E" w:rsidRDefault="00A2121E" w:rsidP="00532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0F4B52" w14:textId="77777777" w:rsidR="00A2121E" w:rsidRDefault="00A2121E" w:rsidP="00532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97B21" w14:textId="77777777" w:rsidR="00A2121E" w:rsidRPr="008F1C82" w:rsidRDefault="00A2121E" w:rsidP="00532F42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58206" w14:textId="14DE8002" w:rsidR="00A2121E" w:rsidRPr="00EF47D0" w:rsidRDefault="00A2121E" w:rsidP="00532F42">
            <w:pPr>
              <w:jc w:val="center"/>
              <w:rPr>
                <w:b/>
                <w:bCs/>
                <w:sz w:val="20"/>
                <w:szCs w:val="20"/>
              </w:rPr>
            </w:pPr>
            <w:r w:rsidRPr="00EF47D0">
              <w:rPr>
                <w:b/>
                <w:bCs/>
                <w:sz w:val="20"/>
                <w:szCs w:val="20"/>
              </w:rPr>
              <w:t>1</w:t>
            </w:r>
            <w:r w:rsidR="00EF47D0" w:rsidRPr="00EF47D0">
              <w:rPr>
                <w:b/>
                <w:bCs/>
                <w:sz w:val="20"/>
                <w:szCs w:val="20"/>
              </w:rPr>
              <w:t>4</w:t>
            </w:r>
            <w:r w:rsidRPr="00EF47D0">
              <w:rPr>
                <w:b/>
                <w:bCs/>
                <w:sz w:val="20"/>
                <w:szCs w:val="20"/>
              </w:rPr>
              <w:t>0 000 Kč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9DC46" w14:textId="77777777" w:rsidR="00A2121E" w:rsidRPr="00666281" w:rsidRDefault="00A2121E" w:rsidP="00532F42">
            <w:pPr>
              <w:jc w:val="center"/>
              <w:rPr>
                <w:sz w:val="20"/>
                <w:szCs w:val="20"/>
              </w:rPr>
            </w:pPr>
          </w:p>
        </w:tc>
      </w:tr>
      <w:tr w:rsidR="009E4EC6" w:rsidRPr="006368D9" w14:paraId="76D8285A" w14:textId="77777777" w:rsidTr="00A2121E">
        <w:tc>
          <w:tcPr>
            <w:tcW w:w="709" w:type="dxa"/>
            <w:shd w:val="clear" w:color="auto" w:fill="auto"/>
            <w:vAlign w:val="center"/>
          </w:tcPr>
          <w:p w14:paraId="0A1860B6" w14:textId="77777777" w:rsidR="009E4EC6" w:rsidRDefault="009E4EC6" w:rsidP="005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42E162" w14:textId="77777777" w:rsidR="009E4EC6" w:rsidRDefault="009E4EC6" w:rsidP="00A21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CD6070" w14:textId="77777777" w:rsidR="009E4EC6" w:rsidRDefault="009E4EC6" w:rsidP="00532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F9A1DA" w14:textId="77777777" w:rsidR="009E4EC6" w:rsidRDefault="009E4EC6" w:rsidP="00532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2D0BB" w14:textId="77777777" w:rsidR="009E4EC6" w:rsidRPr="008F1C82" w:rsidRDefault="009E4EC6" w:rsidP="00532F42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CE7A09" w14:textId="0783D416" w:rsidR="009E4EC6" w:rsidRPr="00EF47D0" w:rsidRDefault="00EF47D0" w:rsidP="00532F42">
            <w:pPr>
              <w:jc w:val="center"/>
              <w:rPr>
                <w:b/>
                <w:bCs/>
                <w:sz w:val="20"/>
                <w:szCs w:val="20"/>
              </w:rPr>
            </w:pPr>
            <w:r w:rsidRPr="00EF47D0">
              <w:rPr>
                <w:b/>
                <w:bCs/>
                <w:sz w:val="20"/>
                <w:szCs w:val="20"/>
              </w:rPr>
              <w:t>7</w:t>
            </w:r>
            <w:r w:rsidR="009E4EC6" w:rsidRPr="00EF47D0">
              <w:rPr>
                <w:b/>
                <w:bCs/>
                <w:sz w:val="20"/>
                <w:szCs w:val="20"/>
              </w:rPr>
              <w:t>00 000 Kč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C9EE3" w14:textId="77777777" w:rsidR="009E4EC6" w:rsidRPr="00666281" w:rsidRDefault="009E4EC6" w:rsidP="00532F42">
            <w:pPr>
              <w:jc w:val="center"/>
              <w:rPr>
                <w:sz w:val="20"/>
                <w:szCs w:val="20"/>
              </w:rPr>
            </w:pPr>
          </w:p>
        </w:tc>
      </w:tr>
      <w:tr w:rsidR="009805D8" w:rsidRPr="006368D9" w14:paraId="43DF855D" w14:textId="77777777" w:rsidTr="00A2121E">
        <w:tc>
          <w:tcPr>
            <w:tcW w:w="10065" w:type="dxa"/>
            <w:gridSpan w:val="7"/>
            <w:shd w:val="clear" w:color="auto" w:fill="auto"/>
          </w:tcPr>
          <w:p w14:paraId="5D91063F" w14:textId="77777777" w:rsidR="009805D8" w:rsidRDefault="009805D8" w:rsidP="009805D8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  <w:p w14:paraId="1FA97AFA" w14:textId="77777777" w:rsidR="00532F42" w:rsidRPr="00666281" w:rsidRDefault="00532F42" w:rsidP="00980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 „vodní dílo“ je stanoven § 55 zákona č. 254/2001 Sb. (vodní zákon) v platném znění.</w:t>
            </w:r>
          </w:p>
        </w:tc>
      </w:tr>
      <w:tr w:rsidR="00936887" w:rsidRPr="006368D9" w14:paraId="770D4D50" w14:textId="77777777" w:rsidTr="00A2121E">
        <w:tc>
          <w:tcPr>
            <w:tcW w:w="10065" w:type="dxa"/>
            <w:gridSpan w:val="7"/>
            <w:shd w:val="clear" w:color="auto" w:fill="auto"/>
          </w:tcPr>
          <w:p w14:paraId="710C11A1" w14:textId="77777777" w:rsidR="00936887" w:rsidRPr="00666281" w:rsidRDefault="00936887" w:rsidP="00D858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Odchylně od čl. 1 odst. 6) písm. h) ZPP P-150/14 se ujednává, že předmětem pojištění je i budova „Jez Povodí Labe“ na řece Jizeře.</w:t>
            </w:r>
          </w:p>
        </w:tc>
      </w:tr>
    </w:tbl>
    <w:p w14:paraId="545BF1C5" w14:textId="77777777" w:rsidR="009805D8" w:rsidRPr="006368D9" w:rsidRDefault="009805D8" w:rsidP="009805D8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 xml:space="preserve">* není-li uvedeno, </w:t>
      </w:r>
      <w:r w:rsidR="009928BB" w:rsidRPr="006368D9">
        <w:rPr>
          <w:sz w:val="16"/>
          <w:szCs w:val="16"/>
        </w:rPr>
        <w:t>sjednává se pojištění s pojistnou hodnotou uvedenou v příslušných pojistných podmínkách</w:t>
      </w:r>
    </w:p>
    <w:p w14:paraId="6656E835" w14:textId="442A37A6" w:rsidR="009928BB" w:rsidRDefault="009928BB" w:rsidP="007A4E91">
      <w:pPr>
        <w:rPr>
          <w:sz w:val="20"/>
          <w:szCs w:val="20"/>
        </w:rPr>
      </w:pPr>
    </w:p>
    <w:p w14:paraId="4765BDAB" w14:textId="21F7B5F5" w:rsidR="00EF47D0" w:rsidRPr="00EF47D0" w:rsidRDefault="00EF47D0" w:rsidP="00EF47D0">
      <w:pPr>
        <w:keepNext/>
        <w:rPr>
          <w:bCs/>
          <w:sz w:val="20"/>
          <w:szCs w:val="20"/>
        </w:rPr>
      </w:pPr>
      <w:r w:rsidRPr="00EF47D0">
        <w:rPr>
          <w:bCs/>
          <w:sz w:val="20"/>
          <w:szCs w:val="20"/>
        </w:rPr>
        <w:t>V tabulce č. 2.</w:t>
      </w:r>
      <w:r>
        <w:rPr>
          <w:bCs/>
          <w:sz w:val="20"/>
          <w:szCs w:val="20"/>
        </w:rPr>
        <w:t>2</w:t>
      </w:r>
      <w:r w:rsidRPr="00EF47D0">
        <w:rPr>
          <w:bCs/>
          <w:sz w:val="20"/>
          <w:szCs w:val="20"/>
        </w:rPr>
        <w:t>.1. se zvyšuj</w:t>
      </w:r>
      <w:r>
        <w:rPr>
          <w:bCs/>
          <w:sz w:val="20"/>
          <w:szCs w:val="20"/>
        </w:rPr>
        <w:t>e</w:t>
      </w:r>
      <w:r w:rsidRPr="00EF47D0">
        <w:rPr>
          <w:bCs/>
          <w:sz w:val="20"/>
          <w:szCs w:val="20"/>
        </w:rPr>
        <w:t xml:space="preserve"> maximální roční limit plnění. Tabulka č. 2.</w:t>
      </w:r>
      <w:r>
        <w:rPr>
          <w:bCs/>
          <w:sz w:val="20"/>
          <w:szCs w:val="20"/>
        </w:rPr>
        <w:t>2</w:t>
      </w:r>
      <w:r w:rsidRPr="00EF47D0">
        <w:rPr>
          <w:bCs/>
          <w:sz w:val="20"/>
          <w:szCs w:val="20"/>
        </w:rPr>
        <w:t>.1. nově zní:</w:t>
      </w:r>
    </w:p>
    <w:p w14:paraId="2F172AB2" w14:textId="676C117A" w:rsidR="009928BB" w:rsidRPr="00D06D34" w:rsidRDefault="009928BB" w:rsidP="00741B06">
      <w:pPr>
        <w:keepNext/>
        <w:numPr>
          <w:ilvl w:val="0"/>
          <w:numId w:val="19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Pojištění pro případ odcizení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1417"/>
        <w:gridCol w:w="1276"/>
        <w:gridCol w:w="1418"/>
        <w:gridCol w:w="1134"/>
      </w:tblGrid>
      <w:tr w:rsidR="009928BB" w:rsidRPr="006368D9" w14:paraId="3F978E47" w14:textId="77777777" w:rsidTr="008E6A28">
        <w:tc>
          <w:tcPr>
            <w:tcW w:w="10065" w:type="dxa"/>
            <w:gridSpan w:val="7"/>
            <w:shd w:val="clear" w:color="auto" w:fill="auto"/>
          </w:tcPr>
          <w:p w14:paraId="26CDC8A8" w14:textId="77777777" w:rsidR="009928BB" w:rsidRPr="00666281" w:rsidRDefault="009928BB" w:rsidP="009928BB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 w:rsidR="00532F42">
              <w:rPr>
                <w:b/>
                <w:sz w:val="20"/>
                <w:szCs w:val="20"/>
              </w:rPr>
              <w:t xml:space="preserve"> </w:t>
            </w:r>
            <w:r w:rsidR="00532F42">
              <w:rPr>
                <w:sz w:val="20"/>
                <w:szCs w:val="20"/>
              </w:rPr>
              <w:t xml:space="preserve">viz </w:t>
            </w:r>
            <w:proofErr w:type="spellStart"/>
            <w:r w:rsidR="00532F42">
              <w:rPr>
                <w:sz w:val="20"/>
                <w:szCs w:val="20"/>
              </w:rPr>
              <w:t>čl.II</w:t>
            </w:r>
            <w:proofErr w:type="spellEnd"/>
            <w:r w:rsidR="00532F42">
              <w:rPr>
                <w:sz w:val="20"/>
                <w:szCs w:val="20"/>
              </w:rPr>
              <w:t>, bod 1.2.</w:t>
            </w:r>
          </w:p>
        </w:tc>
      </w:tr>
      <w:tr w:rsidR="008F5954" w:rsidRPr="006368D9" w14:paraId="31C28E87" w14:textId="77777777" w:rsidTr="008E6A28">
        <w:tc>
          <w:tcPr>
            <w:tcW w:w="10065" w:type="dxa"/>
            <w:gridSpan w:val="7"/>
            <w:shd w:val="clear" w:color="auto" w:fill="auto"/>
          </w:tcPr>
          <w:p w14:paraId="343A0AF1" w14:textId="77777777" w:rsidR="008F5954" w:rsidRPr="00666281" w:rsidRDefault="008F5954" w:rsidP="00F44AEC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Rozsah pojištění:</w:t>
            </w:r>
            <w:r w:rsidR="0096035D" w:rsidRPr="00666281">
              <w:rPr>
                <w:b/>
                <w:sz w:val="20"/>
                <w:szCs w:val="20"/>
              </w:rPr>
              <w:t xml:space="preserve"> </w:t>
            </w:r>
            <w:r w:rsidRPr="00666281">
              <w:rPr>
                <w:sz w:val="20"/>
                <w:szCs w:val="20"/>
              </w:rPr>
              <w:t>pojištění pro případ odcizení</w:t>
            </w:r>
            <w:r w:rsidR="00F44AEC" w:rsidRPr="00666281"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8F5954" w:rsidRPr="006368D9" w14:paraId="0297D63F" w14:textId="77777777" w:rsidTr="008E6A28">
        <w:tc>
          <w:tcPr>
            <w:tcW w:w="10065" w:type="dxa"/>
            <w:gridSpan w:val="7"/>
            <w:shd w:val="clear" w:color="auto" w:fill="auto"/>
          </w:tcPr>
          <w:p w14:paraId="0FE295C1" w14:textId="77777777" w:rsidR="008F5954" w:rsidRPr="00666281" w:rsidRDefault="008F5954" w:rsidP="00936887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P-200/14 a doložkami DOB101, DOB103, </w:t>
            </w:r>
            <w:r w:rsidR="00936887">
              <w:rPr>
                <w:sz w:val="20"/>
                <w:szCs w:val="20"/>
              </w:rPr>
              <w:t xml:space="preserve">DOZ101, </w:t>
            </w:r>
            <w:r w:rsidR="001E7D3B">
              <w:rPr>
                <w:sz w:val="20"/>
                <w:szCs w:val="20"/>
              </w:rPr>
              <w:t xml:space="preserve">DOZ102, </w:t>
            </w:r>
            <w:r w:rsidRPr="00666281">
              <w:rPr>
                <w:sz w:val="20"/>
                <w:szCs w:val="20"/>
              </w:rPr>
              <w:t>DO</w:t>
            </w:r>
            <w:r w:rsidR="0015517B">
              <w:rPr>
                <w:sz w:val="20"/>
                <w:szCs w:val="20"/>
              </w:rPr>
              <w:t>Z105</w:t>
            </w:r>
            <w:r w:rsidR="00E97F95">
              <w:rPr>
                <w:sz w:val="20"/>
                <w:szCs w:val="20"/>
              </w:rPr>
              <w:t>, DOZ108</w:t>
            </w:r>
          </w:p>
        </w:tc>
      </w:tr>
      <w:tr w:rsidR="00E71674" w:rsidRPr="006368D9" w14:paraId="5B800D72" w14:textId="77777777" w:rsidTr="008E6A28">
        <w:tc>
          <w:tcPr>
            <w:tcW w:w="709" w:type="dxa"/>
            <w:shd w:val="clear" w:color="auto" w:fill="auto"/>
            <w:vAlign w:val="center"/>
          </w:tcPr>
          <w:p w14:paraId="1602ED28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66281">
              <w:rPr>
                <w:b/>
                <w:sz w:val="20"/>
                <w:szCs w:val="20"/>
              </w:rPr>
              <w:t>Poř</w:t>
            </w:r>
            <w:proofErr w:type="spellEnd"/>
            <w:r w:rsidRPr="00666281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50C8D7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59826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="001773E3"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1AE4E9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CCA944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8681C1" w14:textId="77777777" w:rsidR="009B1C0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  <w:p w14:paraId="7D2C79E3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D0330" w14:textId="77777777" w:rsidR="009928BB" w:rsidRPr="00666281" w:rsidRDefault="009928BB" w:rsidP="001E7D3B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D3B" w:rsidRPr="006368D9" w14:paraId="329B5E05" w14:textId="77777777" w:rsidTr="008E6A28">
        <w:tc>
          <w:tcPr>
            <w:tcW w:w="709" w:type="dxa"/>
            <w:shd w:val="clear" w:color="auto" w:fill="auto"/>
            <w:vAlign w:val="center"/>
          </w:tcPr>
          <w:p w14:paraId="5A90B36B" w14:textId="77777777" w:rsidR="001E7D3B" w:rsidRPr="00666281" w:rsidRDefault="001E7D3B" w:rsidP="00741B06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3FE403" w14:textId="77777777" w:rsidR="001E7D3B" w:rsidRPr="00666281" w:rsidRDefault="001E7D3B" w:rsidP="008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a cizích budov a ostatních staveb vč. „vodních děl“ a oplocení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B469E" w14:textId="77777777" w:rsidR="001E7D3B" w:rsidRPr="00666281" w:rsidRDefault="001E7D3B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370FB3B" w14:textId="77777777" w:rsidR="001E7D3B" w:rsidRPr="00666281" w:rsidRDefault="001E7D3B" w:rsidP="001E7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62EC7C" w14:textId="77777777" w:rsidR="001E7D3B" w:rsidRPr="00666281" w:rsidRDefault="001E7D3B" w:rsidP="00936887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E173A05" w14:textId="580BC968" w:rsidR="001E7D3B" w:rsidRPr="00EF47D0" w:rsidRDefault="00EF47D0" w:rsidP="00936887">
            <w:pPr>
              <w:jc w:val="center"/>
              <w:rPr>
                <w:b/>
                <w:bCs/>
                <w:sz w:val="20"/>
                <w:szCs w:val="20"/>
              </w:rPr>
            </w:pPr>
            <w:r w:rsidRPr="00EF47D0">
              <w:rPr>
                <w:b/>
                <w:bCs/>
                <w:sz w:val="20"/>
                <w:szCs w:val="20"/>
              </w:rPr>
              <w:t>8</w:t>
            </w:r>
            <w:r w:rsidR="001E7D3B" w:rsidRPr="00EF47D0">
              <w:rPr>
                <w:b/>
                <w:bCs/>
                <w:sz w:val="20"/>
                <w:szCs w:val="20"/>
              </w:rPr>
              <w:t> </w:t>
            </w:r>
            <w:r w:rsidRPr="00EF47D0">
              <w:rPr>
                <w:b/>
                <w:bCs/>
                <w:sz w:val="20"/>
                <w:szCs w:val="20"/>
              </w:rPr>
              <w:t>4</w:t>
            </w:r>
            <w:r w:rsidR="001E7D3B" w:rsidRPr="00EF47D0">
              <w:rPr>
                <w:b/>
                <w:bCs/>
                <w:sz w:val="20"/>
                <w:szCs w:val="20"/>
              </w:rPr>
              <w:t>00 000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9BE03" w14:textId="77777777" w:rsidR="001E7D3B" w:rsidRPr="00666281" w:rsidRDefault="001E7D3B" w:rsidP="00936887">
            <w:pPr>
              <w:jc w:val="center"/>
              <w:rPr>
                <w:sz w:val="20"/>
                <w:szCs w:val="20"/>
              </w:rPr>
            </w:pPr>
          </w:p>
        </w:tc>
      </w:tr>
      <w:tr w:rsidR="001E7D3B" w:rsidRPr="006368D9" w14:paraId="457E8CF1" w14:textId="77777777" w:rsidTr="008E6A28">
        <w:tc>
          <w:tcPr>
            <w:tcW w:w="709" w:type="dxa"/>
            <w:shd w:val="clear" w:color="auto" w:fill="auto"/>
            <w:vAlign w:val="center"/>
          </w:tcPr>
          <w:p w14:paraId="0D72B312" w14:textId="77777777" w:rsidR="001E7D3B" w:rsidRPr="00666281" w:rsidRDefault="001E7D3B" w:rsidP="0074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4C776F" w14:textId="77777777" w:rsidR="001E7D3B" w:rsidRPr="00666281" w:rsidRDefault="001E7D3B" w:rsidP="00E71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 a cizích předmětů užívaných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E9227" w14:textId="77777777" w:rsidR="001E7D3B" w:rsidRPr="00666281" w:rsidRDefault="001E7D3B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C8997D0" w14:textId="77777777" w:rsidR="001E7D3B" w:rsidRPr="00666281" w:rsidRDefault="001E7D3B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9208DC" w14:textId="77777777" w:rsidR="001E7D3B" w:rsidRPr="00666281" w:rsidRDefault="001E7D3B" w:rsidP="00936887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E6ADB53" w14:textId="77777777" w:rsidR="001E7D3B" w:rsidRPr="00666281" w:rsidRDefault="001E7D3B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6D05A6" w14:textId="77777777" w:rsidR="001E7D3B" w:rsidRPr="00666281" w:rsidRDefault="001E7D3B" w:rsidP="00936887">
            <w:pPr>
              <w:jc w:val="center"/>
              <w:rPr>
                <w:sz w:val="20"/>
                <w:szCs w:val="20"/>
              </w:rPr>
            </w:pPr>
          </w:p>
        </w:tc>
      </w:tr>
      <w:tr w:rsidR="00754D4B" w:rsidRPr="006368D9" w14:paraId="0B9A09D8" w14:textId="77777777" w:rsidTr="008E6A28">
        <w:tc>
          <w:tcPr>
            <w:tcW w:w="709" w:type="dxa"/>
            <w:shd w:val="clear" w:color="auto" w:fill="auto"/>
            <w:vAlign w:val="center"/>
          </w:tcPr>
          <w:p w14:paraId="22F1D903" w14:textId="77777777" w:rsidR="00754D4B" w:rsidRPr="00666281" w:rsidRDefault="00754D4B" w:rsidP="00E71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1F0B4D" w14:textId="77777777" w:rsidR="00754D4B" w:rsidRPr="000E7FF2" w:rsidRDefault="00754D4B" w:rsidP="00167C21">
            <w:pPr>
              <w:rPr>
                <w:sz w:val="20"/>
                <w:szCs w:val="20"/>
              </w:rPr>
            </w:pPr>
            <w:r w:rsidRPr="000E7FF2">
              <w:rPr>
                <w:sz w:val="20"/>
                <w:szCs w:val="20"/>
              </w:rPr>
              <w:t>Soubor zásob a zásob v majetku třetích osob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16030" w14:textId="77777777" w:rsidR="00754D4B" w:rsidRPr="00666281" w:rsidRDefault="00754D4B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4D3FBC3" w14:textId="77777777" w:rsidR="00754D4B" w:rsidRPr="00666281" w:rsidRDefault="00754D4B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6E3803" w14:textId="77777777" w:rsidR="00754D4B" w:rsidRPr="008F1C82" w:rsidRDefault="00754D4B" w:rsidP="00936887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667B292" w14:textId="77777777" w:rsidR="00754D4B" w:rsidRPr="00666281" w:rsidRDefault="00754D4B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3A3899" w14:textId="77777777" w:rsidR="00754D4B" w:rsidRPr="00666281" w:rsidRDefault="00754D4B" w:rsidP="00936887">
            <w:pPr>
              <w:jc w:val="center"/>
              <w:rPr>
                <w:sz w:val="20"/>
                <w:szCs w:val="20"/>
              </w:rPr>
            </w:pPr>
          </w:p>
        </w:tc>
      </w:tr>
      <w:tr w:rsidR="001E7D3B" w:rsidRPr="006368D9" w14:paraId="5C852192" w14:textId="77777777" w:rsidTr="008E6A28">
        <w:tc>
          <w:tcPr>
            <w:tcW w:w="709" w:type="dxa"/>
            <w:shd w:val="clear" w:color="auto" w:fill="auto"/>
            <w:vAlign w:val="center"/>
          </w:tcPr>
          <w:p w14:paraId="2F786927" w14:textId="77777777" w:rsidR="001E7D3B" w:rsidRPr="00666281" w:rsidRDefault="001E7D3B" w:rsidP="0074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66D429" w14:textId="77777777" w:rsidR="001E7D3B" w:rsidRDefault="001E7D3B" w:rsidP="00E71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Vlastních a cizích finančních prostředků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5FE50" w14:textId="77777777" w:rsidR="001E7D3B" w:rsidRPr="00666281" w:rsidRDefault="001E7D3B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A5A1F99" w14:textId="77777777" w:rsidR="001E7D3B" w:rsidRPr="00666281" w:rsidRDefault="001E7D3B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7B16F0" w14:textId="77777777" w:rsidR="001E7D3B" w:rsidRPr="00666281" w:rsidRDefault="001E7D3B" w:rsidP="00936887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32BAD4E" w14:textId="77777777" w:rsidR="001E7D3B" w:rsidRPr="00666281" w:rsidRDefault="001E7D3B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A48B69" w14:textId="77777777" w:rsidR="001E7D3B" w:rsidRPr="00666281" w:rsidRDefault="001E7D3B" w:rsidP="00936887">
            <w:pPr>
              <w:jc w:val="center"/>
              <w:rPr>
                <w:sz w:val="20"/>
                <w:szCs w:val="20"/>
              </w:rPr>
            </w:pPr>
          </w:p>
        </w:tc>
      </w:tr>
      <w:tr w:rsidR="001E7D3B" w:rsidRPr="006368D9" w14:paraId="513A90A0" w14:textId="77777777" w:rsidTr="008E6A28">
        <w:tc>
          <w:tcPr>
            <w:tcW w:w="10065" w:type="dxa"/>
            <w:gridSpan w:val="7"/>
            <w:shd w:val="clear" w:color="auto" w:fill="auto"/>
          </w:tcPr>
          <w:p w14:paraId="7A65C390" w14:textId="77777777" w:rsidR="001E7D3B" w:rsidRDefault="001E7D3B" w:rsidP="00741B06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  <w:p w14:paraId="2D0C703D" w14:textId="77777777" w:rsidR="001E7D3B" w:rsidRPr="00666281" w:rsidRDefault="001E7D3B" w:rsidP="0074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 „vodní dílo“ je stanoven § 55 zákona č. 254/2001 Sb. (vodní zákon) v platném znění.</w:t>
            </w:r>
          </w:p>
        </w:tc>
      </w:tr>
      <w:tr w:rsidR="00482359" w:rsidRPr="006368D9" w14:paraId="658B05BB" w14:textId="77777777" w:rsidTr="008E6A28">
        <w:tc>
          <w:tcPr>
            <w:tcW w:w="10065" w:type="dxa"/>
            <w:gridSpan w:val="7"/>
            <w:shd w:val="clear" w:color="auto" w:fill="auto"/>
          </w:tcPr>
          <w:p w14:paraId="4ECB3A5E" w14:textId="77777777" w:rsidR="00482359" w:rsidRPr="00666281" w:rsidRDefault="00482359" w:rsidP="00D85805">
            <w:pPr>
              <w:jc w:val="both"/>
              <w:rPr>
                <w:sz w:val="20"/>
                <w:szCs w:val="20"/>
              </w:rPr>
            </w:pPr>
            <w:r w:rsidRPr="00B4244C">
              <w:rPr>
                <w:rFonts w:cs="Arial"/>
                <w:sz w:val="20"/>
                <w:szCs w:val="20"/>
              </w:rPr>
              <w:t xml:space="preserve">Odchylně od čl. </w:t>
            </w:r>
            <w:r>
              <w:rPr>
                <w:rFonts w:cs="Arial"/>
                <w:sz w:val="20"/>
                <w:szCs w:val="20"/>
              </w:rPr>
              <w:t>2</w:t>
            </w:r>
            <w:r w:rsidRPr="00B4244C">
              <w:rPr>
                <w:rFonts w:cs="Arial"/>
                <w:sz w:val="20"/>
                <w:szCs w:val="20"/>
              </w:rPr>
              <w:t xml:space="preserve"> odst. </w:t>
            </w:r>
            <w:r>
              <w:rPr>
                <w:rFonts w:cs="Arial"/>
                <w:sz w:val="20"/>
                <w:szCs w:val="20"/>
              </w:rPr>
              <w:t>1</w:t>
            </w:r>
            <w:r w:rsidRPr="00B4244C">
              <w:rPr>
                <w:rFonts w:cs="Arial"/>
                <w:sz w:val="20"/>
                <w:szCs w:val="20"/>
              </w:rPr>
              <w:t>) ZPP P-</w:t>
            </w:r>
            <w:r>
              <w:rPr>
                <w:rFonts w:cs="Arial"/>
                <w:sz w:val="20"/>
                <w:szCs w:val="20"/>
              </w:rPr>
              <w:t>2</w:t>
            </w:r>
            <w:r w:rsidRPr="00B4244C">
              <w:rPr>
                <w:rFonts w:cs="Arial"/>
                <w:sz w:val="20"/>
                <w:szCs w:val="20"/>
              </w:rPr>
              <w:t>00/14 se ujednává, že se pojištění vztahuje i na odcizení pojištěné věci krádeží, při které pachatel nepřekonal překážky chránící pojištěnou věc před odcizením (dále jen "krádež prostá"), pokud bylo šetřeno poli</w:t>
            </w:r>
            <w:r>
              <w:rPr>
                <w:rFonts w:cs="Arial"/>
                <w:sz w:val="20"/>
                <w:szCs w:val="20"/>
              </w:rPr>
              <w:t>c</w:t>
            </w:r>
            <w:r w:rsidRPr="00B4244C">
              <w:rPr>
                <w:rFonts w:cs="Arial"/>
                <w:sz w:val="20"/>
                <w:szCs w:val="20"/>
              </w:rPr>
              <w:t xml:space="preserve">ií, bez ohledu na to, zda byl pachatel zjištěn. Pojistné plnění je omezeno </w:t>
            </w:r>
            <w:proofErr w:type="spellStart"/>
            <w:r w:rsidRPr="00B4244C">
              <w:rPr>
                <w:rFonts w:cs="Arial"/>
                <w:sz w:val="20"/>
                <w:szCs w:val="20"/>
              </w:rPr>
              <w:t>sublimitem</w:t>
            </w:r>
            <w:proofErr w:type="spellEnd"/>
            <w:r w:rsidRPr="00B4244C">
              <w:rPr>
                <w:rFonts w:cs="Arial"/>
                <w:sz w:val="20"/>
                <w:szCs w:val="20"/>
              </w:rPr>
              <w:t xml:space="preserve"> pojistného plnění ve výši 50</w:t>
            </w:r>
            <w:r>
              <w:rPr>
                <w:rFonts w:cs="Arial"/>
                <w:sz w:val="20"/>
                <w:szCs w:val="20"/>
              </w:rPr>
              <w:t> </w:t>
            </w:r>
            <w:r w:rsidRPr="00B4244C">
              <w:rPr>
                <w:rFonts w:cs="Arial"/>
                <w:sz w:val="20"/>
                <w:szCs w:val="20"/>
              </w:rPr>
              <w:t>000</w:t>
            </w:r>
            <w:r>
              <w:rPr>
                <w:rFonts w:cs="Arial"/>
                <w:sz w:val="20"/>
                <w:szCs w:val="20"/>
              </w:rPr>
              <w:t> </w:t>
            </w:r>
            <w:r w:rsidRPr="00B4244C">
              <w:rPr>
                <w:rFonts w:cs="Arial"/>
                <w:sz w:val="20"/>
                <w:szCs w:val="20"/>
              </w:rPr>
              <w:t xml:space="preserve">Kč pro jednu a všechny pojistné události nastalé během jednoho pojistného roku, který se sjednává v rámci </w:t>
            </w:r>
            <w:r>
              <w:rPr>
                <w:rFonts w:cs="Arial"/>
                <w:sz w:val="20"/>
                <w:szCs w:val="20"/>
              </w:rPr>
              <w:t xml:space="preserve">výše uvedeného </w:t>
            </w:r>
            <w:r w:rsidRPr="00B4244C">
              <w:rPr>
                <w:rFonts w:cs="Arial"/>
                <w:sz w:val="20"/>
                <w:szCs w:val="20"/>
              </w:rPr>
              <w:t xml:space="preserve">maximálního ročního limitu pojistného plnění sjednaného pro pojistné nebezpečí odcizení. Pojištění se sjednává se spoluúčastí ve výši </w:t>
            </w:r>
            <w:r>
              <w:rPr>
                <w:rFonts w:cs="Arial"/>
                <w:sz w:val="20"/>
                <w:szCs w:val="20"/>
              </w:rPr>
              <w:t>5 </w:t>
            </w:r>
            <w:r w:rsidRPr="00B4244C">
              <w:rPr>
                <w:rFonts w:cs="Arial"/>
                <w:sz w:val="20"/>
                <w:szCs w:val="20"/>
              </w:rPr>
              <w:t>000</w:t>
            </w:r>
            <w:r>
              <w:rPr>
                <w:rFonts w:cs="Arial"/>
                <w:sz w:val="20"/>
                <w:szCs w:val="20"/>
              </w:rPr>
              <w:t> </w:t>
            </w:r>
            <w:r w:rsidRPr="00B4244C">
              <w:rPr>
                <w:rFonts w:cs="Arial"/>
                <w:sz w:val="20"/>
                <w:szCs w:val="20"/>
              </w:rPr>
              <w:t>Kč.</w:t>
            </w:r>
          </w:p>
        </w:tc>
      </w:tr>
    </w:tbl>
    <w:p w14:paraId="2167D21E" w14:textId="77777777" w:rsidR="009928BB" w:rsidRPr="006368D9" w:rsidRDefault="009928BB" w:rsidP="00EF47D0">
      <w:pPr>
        <w:rPr>
          <w:sz w:val="16"/>
          <w:szCs w:val="16"/>
        </w:rPr>
      </w:pPr>
      <w:r w:rsidRPr="006368D9">
        <w:rPr>
          <w:sz w:val="16"/>
          <w:szCs w:val="16"/>
        </w:rPr>
        <w:t xml:space="preserve">* není-li uvedeno, sjednává se pojištění s pojistnou hodnotou uvedenou v příslušných pojistných podmínkách </w:t>
      </w:r>
    </w:p>
    <w:p w14:paraId="26F4940E" w14:textId="77777777" w:rsidR="009928BB" w:rsidRDefault="009928BB" w:rsidP="007A4E91">
      <w:pPr>
        <w:rPr>
          <w:sz w:val="20"/>
          <w:szCs w:val="20"/>
        </w:rPr>
      </w:pPr>
    </w:p>
    <w:p w14:paraId="537183D9" w14:textId="51AA2326" w:rsidR="00EF47D0" w:rsidRPr="00EF47D0" w:rsidRDefault="00EF47D0" w:rsidP="00EF47D0">
      <w:pPr>
        <w:keepNext/>
        <w:rPr>
          <w:bCs/>
          <w:sz w:val="20"/>
          <w:szCs w:val="20"/>
        </w:rPr>
      </w:pPr>
      <w:r w:rsidRPr="00EF47D0">
        <w:rPr>
          <w:bCs/>
          <w:sz w:val="20"/>
          <w:szCs w:val="20"/>
        </w:rPr>
        <w:t>V tabulce č. 2.</w:t>
      </w:r>
      <w:r>
        <w:rPr>
          <w:bCs/>
          <w:sz w:val="20"/>
          <w:szCs w:val="20"/>
        </w:rPr>
        <w:t>3</w:t>
      </w:r>
      <w:r w:rsidRPr="00EF47D0">
        <w:rPr>
          <w:bCs/>
          <w:sz w:val="20"/>
          <w:szCs w:val="20"/>
        </w:rPr>
        <w:t>.1. se zvyšuj</w:t>
      </w:r>
      <w:r>
        <w:rPr>
          <w:bCs/>
          <w:sz w:val="20"/>
          <w:szCs w:val="20"/>
        </w:rPr>
        <w:t>e</w:t>
      </w:r>
      <w:r w:rsidRPr="00EF47D0">
        <w:rPr>
          <w:bCs/>
          <w:sz w:val="20"/>
          <w:szCs w:val="20"/>
        </w:rPr>
        <w:t xml:space="preserve"> maximální roční limit plnění. Tabulka č. 2.</w:t>
      </w:r>
      <w:r>
        <w:rPr>
          <w:bCs/>
          <w:sz w:val="20"/>
          <w:szCs w:val="20"/>
        </w:rPr>
        <w:t>3</w:t>
      </w:r>
      <w:r w:rsidRPr="00EF47D0">
        <w:rPr>
          <w:bCs/>
          <w:sz w:val="20"/>
          <w:szCs w:val="20"/>
        </w:rPr>
        <w:t>.1. nově zní:</w:t>
      </w:r>
    </w:p>
    <w:p w14:paraId="3627C9B3" w14:textId="77777777" w:rsidR="009928BB" w:rsidRPr="00D06D34" w:rsidRDefault="009928BB" w:rsidP="00741B06">
      <w:pPr>
        <w:keepNext/>
        <w:numPr>
          <w:ilvl w:val="0"/>
          <w:numId w:val="20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Pojištění pro případ vandalismu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1417"/>
        <w:gridCol w:w="1276"/>
        <w:gridCol w:w="1418"/>
        <w:gridCol w:w="1134"/>
      </w:tblGrid>
      <w:tr w:rsidR="009928BB" w:rsidRPr="006368D9" w14:paraId="368251AD" w14:textId="77777777" w:rsidTr="008E6A28">
        <w:tc>
          <w:tcPr>
            <w:tcW w:w="10065" w:type="dxa"/>
            <w:gridSpan w:val="7"/>
            <w:shd w:val="clear" w:color="auto" w:fill="auto"/>
          </w:tcPr>
          <w:p w14:paraId="2F71A98D" w14:textId="77777777" w:rsidR="009928BB" w:rsidRPr="00666281" w:rsidRDefault="009928BB" w:rsidP="009928BB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 w:rsidR="00532F42">
              <w:rPr>
                <w:b/>
                <w:sz w:val="20"/>
                <w:szCs w:val="20"/>
              </w:rPr>
              <w:t xml:space="preserve"> </w:t>
            </w:r>
            <w:r w:rsidR="00532F42">
              <w:rPr>
                <w:sz w:val="20"/>
                <w:szCs w:val="20"/>
              </w:rPr>
              <w:t xml:space="preserve">viz </w:t>
            </w:r>
            <w:proofErr w:type="spellStart"/>
            <w:r w:rsidR="00532F42">
              <w:rPr>
                <w:sz w:val="20"/>
                <w:szCs w:val="20"/>
              </w:rPr>
              <w:t>čl.II</w:t>
            </w:r>
            <w:proofErr w:type="spellEnd"/>
            <w:r w:rsidR="00532F42">
              <w:rPr>
                <w:sz w:val="20"/>
                <w:szCs w:val="20"/>
              </w:rPr>
              <w:t>, bod 1.2.</w:t>
            </w:r>
          </w:p>
        </w:tc>
      </w:tr>
      <w:tr w:rsidR="001768B3" w:rsidRPr="006368D9" w14:paraId="2A3E5E6E" w14:textId="77777777" w:rsidTr="008E6A28">
        <w:tc>
          <w:tcPr>
            <w:tcW w:w="10065" w:type="dxa"/>
            <w:gridSpan w:val="7"/>
            <w:shd w:val="clear" w:color="auto" w:fill="auto"/>
          </w:tcPr>
          <w:p w14:paraId="40843051" w14:textId="77777777" w:rsidR="001768B3" w:rsidRPr="00666281" w:rsidRDefault="001768B3" w:rsidP="00BA4DA0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Rozsah pojištění:</w:t>
            </w:r>
            <w:r w:rsidR="0096035D" w:rsidRPr="00666281">
              <w:rPr>
                <w:b/>
                <w:sz w:val="20"/>
                <w:szCs w:val="20"/>
              </w:rPr>
              <w:t xml:space="preserve"> </w:t>
            </w:r>
            <w:r w:rsidRPr="00666281">
              <w:rPr>
                <w:sz w:val="20"/>
                <w:szCs w:val="20"/>
              </w:rPr>
              <w:t>pojištění pro případ vandalismu</w:t>
            </w:r>
          </w:p>
        </w:tc>
      </w:tr>
      <w:tr w:rsidR="001768B3" w:rsidRPr="006368D9" w14:paraId="26C9A4EA" w14:textId="77777777" w:rsidTr="008E6A28">
        <w:tc>
          <w:tcPr>
            <w:tcW w:w="10065" w:type="dxa"/>
            <w:gridSpan w:val="7"/>
            <w:shd w:val="clear" w:color="auto" w:fill="auto"/>
          </w:tcPr>
          <w:p w14:paraId="35B974FC" w14:textId="77777777" w:rsidR="001768B3" w:rsidRPr="00666281" w:rsidRDefault="001768B3" w:rsidP="00EC4446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Pr="00666281">
              <w:rPr>
                <w:sz w:val="20"/>
                <w:szCs w:val="20"/>
              </w:rPr>
              <w:t xml:space="preserve"> VPP P-100/14, ZPP P-200</w:t>
            </w:r>
            <w:r w:rsidR="0015517B">
              <w:rPr>
                <w:sz w:val="20"/>
                <w:szCs w:val="20"/>
              </w:rPr>
              <w:t>/14 a doložkami DOB101, DOB103</w:t>
            </w:r>
            <w:r w:rsidR="00EC4446">
              <w:rPr>
                <w:sz w:val="20"/>
                <w:szCs w:val="20"/>
              </w:rPr>
              <w:t>, DODC102</w:t>
            </w:r>
          </w:p>
        </w:tc>
      </w:tr>
      <w:tr w:rsidR="00E71674" w:rsidRPr="006368D9" w14:paraId="13B20570" w14:textId="77777777" w:rsidTr="008E6A28">
        <w:tc>
          <w:tcPr>
            <w:tcW w:w="709" w:type="dxa"/>
            <w:shd w:val="clear" w:color="auto" w:fill="auto"/>
            <w:vAlign w:val="center"/>
          </w:tcPr>
          <w:p w14:paraId="20C875C8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66281">
              <w:rPr>
                <w:b/>
                <w:sz w:val="20"/>
                <w:szCs w:val="20"/>
              </w:rPr>
              <w:t>Poř</w:t>
            </w:r>
            <w:proofErr w:type="spellEnd"/>
            <w:r w:rsidRPr="00666281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5B4C27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54D7B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="001773E3"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FA554E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76137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492039" w14:textId="77777777" w:rsidR="00374B37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  <w:p w14:paraId="6C65E8BF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ED083" w14:textId="77777777" w:rsidR="009928BB" w:rsidRPr="00666281" w:rsidRDefault="009928BB" w:rsidP="001E7D3B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E7D3B" w:rsidRPr="006368D9" w14:paraId="38E1D4A6" w14:textId="77777777" w:rsidTr="008E6A28">
        <w:tc>
          <w:tcPr>
            <w:tcW w:w="709" w:type="dxa"/>
            <w:shd w:val="clear" w:color="auto" w:fill="auto"/>
            <w:vAlign w:val="center"/>
          </w:tcPr>
          <w:p w14:paraId="2F8756FB" w14:textId="77777777" w:rsidR="001E7D3B" w:rsidRPr="00666281" w:rsidRDefault="001E7D3B" w:rsidP="00741B06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20A4FC" w14:textId="77777777" w:rsidR="001E7D3B" w:rsidRPr="00666281" w:rsidRDefault="001E7D3B" w:rsidP="008E6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a cizích budov a ostatních staveb vč. „vodních děl“ a oplocení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65487" w14:textId="77777777" w:rsidR="001E7D3B" w:rsidRPr="00666281" w:rsidRDefault="001E7D3B" w:rsidP="0074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9C597FC" w14:textId="77777777" w:rsidR="001E7D3B" w:rsidRPr="00666281" w:rsidRDefault="001E7D3B" w:rsidP="001E7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46953" w14:textId="77777777" w:rsidR="001E7D3B" w:rsidRPr="00666281" w:rsidRDefault="001E7D3B" w:rsidP="00741B06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32979A1" w14:textId="36D64923" w:rsidR="001E7D3B" w:rsidRPr="00EF47D0" w:rsidRDefault="00EF47D0" w:rsidP="00741B06">
            <w:pPr>
              <w:jc w:val="center"/>
              <w:rPr>
                <w:b/>
                <w:bCs/>
                <w:sz w:val="20"/>
                <w:szCs w:val="20"/>
              </w:rPr>
            </w:pPr>
            <w:r w:rsidRPr="00EF47D0">
              <w:rPr>
                <w:b/>
                <w:bCs/>
                <w:sz w:val="20"/>
                <w:szCs w:val="20"/>
              </w:rPr>
              <w:t>8</w:t>
            </w:r>
            <w:r w:rsidR="001E7D3B" w:rsidRPr="00EF47D0">
              <w:rPr>
                <w:b/>
                <w:bCs/>
                <w:sz w:val="20"/>
                <w:szCs w:val="20"/>
              </w:rPr>
              <w:t> </w:t>
            </w:r>
            <w:r w:rsidRPr="00EF47D0">
              <w:rPr>
                <w:b/>
                <w:bCs/>
                <w:sz w:val="20"/>
                <w:szCs w:val="20"/>
              </w:rPr>
              <w:t>4</w:t>
            </w:r>
            <w:r w:rsidR="001E7D3B" w:rsidRPr="00EF47D0">
              <w:rPr>
                <w:b/>
                <w:bCs/>
                <w:sz w:val="20"/>
                <w:szCs w:val="20"/>
              </w:rPr>
              <w:t>00 000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C05A8" w14:textId="77777777" w:rsidR="001E7D3B" w:rsidRPr="00666281" w:rsidRDefault="001E7D3B" w:rsidP="00741B06">
            <w:pPr>
              <w:jc w:val="center"/>
              <w:rPr>
                <w:sz w:val="20"/>
                <w:szCs w:val="20"/>
              </w:rPr>
            </w:pPr>
          </w:p>
        </w:tc>
      </w:tr>
      <w:tr w:rsidR="001E7D3B" w:rsidRPr="006368D9" w14:paraId="3824165D" w14:textId="77777777" w:rsidTr="008E6A28">
        <w:tc>
          <w:tcPr>
            <w:tcW w:w="709" w:type="dxa"/>
            <w:shd w:val="clear" w:color="auto" w:fill="auto"/>
            <w:vAlign w:val="center"/>
          </w:tcPr>
          <w:p w14:paraId="4AA7BD3F" w14:textId="77777777" w:rsidR="001E7D3B" w:rsidRPr="00666281" w:rsidRDefault="001E7D3B" w:rsidP="0074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13E4AB" w14:textId="77777777" w:rsidR="001E7D3B" w:rsidRPr="00666281" w:rsidRDefault="001E7D3B" w:rsidP="00E71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movitých zařízení a vybavení a cizích předmětů užívaných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8323D" w14:textId="77777777" w:rsidR="001E7D3B" w:rsidRPr="00666281" w:rsidRDefault="001E7D3B" w:rsidP="0074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4EC17E4" w14:textId="77777777" w:rsidR="001E7D3B" w:rsidRPr="00666281" w:rsidRDefault="001E7D3B" w:rsidP="0074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5D557B" w14:textId="77777777" w:rsidR="001E7D3B" w:rsidRPr="00666281" w:rsidRDefault="001E7D3B" w:rsidP="00741B06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7A50661" w14:textId="77777777" w:rsidR="001E7D3B" w:rsidRPr="00666281" w:rsidRDefault="001E7D3B" w:rsidP="0074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F2A801" w14:textId="77777777" w:rsidR="001E7D3B" w:rsidRPr="00666281" w:rsidRDefault="001E7D3B" w:rsidP="00741B06">
            <w:pPr>
              <w:jc w:val="center"/>
              <w:rPr>
                <w:sz w:val="20"/>
                <w:szCs w:val="20"/>
              </w:rPr>
            </w:pPr>
          </w:p>
        </w:tc>
      </w:tr>
      <w:tr w:rsidR="00754D4B" w:rsidRPr="006368D9" w14:paraId="464974FE" w14:textId="77777777" w:rsidTr="008E6A28">
        <w:tc>
          <w:tcPr>
            <w:tcW w:w="709" w:type="dxa"/>
            <w:shd w:val="clear" w:color="auto" w:fill="auto"/>
            <w:vAlign w:val="center"/>
          </w:tcPr>
          <w:p w14:paraId="5B7ACC1E" w14:textId="77777777" w:rsidR="00754D4B" w:rsidRPr="00666281" w:rsidRDefault="00754D4B" w:rsidP="00E71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F58F0A" w14:textId="77777777" w:rsidR="00754D4B" w:rsidRPr="000E7FF2" w:rsidRDefault="00754D4B" w:rsidP="00167C21">
            <w:pPr>
              <w:rPr>
                <w:sz w:val="20"/>
                <w:szCs w:val="20"/>
              </w:rPr>
            </w:pPr>
            <w:r w:rsidRPr="000E7FF2">
              <w:rPr>
                <w:sz w:val="20"/>
                <w:szCs w:val="20"/>
              </w:rPr>
              <w:t>Soubor zásob a zásob v majetku třetích osob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D3AF1" w14:textId="77777777" w:rsidR="00754D4B" w:rsidRDefault="00754D4B" w:rsidP="0074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A4AEDE4" w14:textId="77777777" w:rsidR="00754D4B" w:rsidRPr="00666281" w:rsidRDefault="00754D4B" w:rsidP="0074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952277" w14:textId="77777777" w:rsidR="00754D4B" w:rsidRPr="008F1C82" w:rsidRDefault="00754D4B" w:rsidP="00741B06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F57F283" w14:textId="77777777" w:rsidR="00754D4B" w:rsidRDefault="00754D4B" w:rsidP="0074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FF9023" w14:textId="77777777" w:rsidR="00754D4B" w:rsidRPr="00666281" w:rsidRDefault="00754D4B" w:rsidP="00741B06">
            <w:pPr>
              <w:jc w:val="center"/>
              <w:rPr>
                <w:sz w:val="20"/>
                <w:szCs w:val="20"/>
              </w:rPr>
            </w:pPr>
          </w:p>
        </w:tc>
      </w:tr>
      <w:tr w:rsidR="001E7D3B" w:rsidRPr="006368D9" w14:paraId="3106040F" w14:textId="77777777" w:rsidTr="008E6A28">
        <w:tc>
          <w:tcPr>
            <w:tcW w:w="709" w:type="dxa"/>
            <w:shd w:val="clear" w:color="auto" w:fill="auto"/>
            <w:vAlign w:val="center"/>
          </w:tcPr>
          <w:p w14:paraId="0B1A0BDE" w14:textId="77777777" w:rsidR="001E7D3B" w:rsidRPr="00666281" w:rsidRDefault="001E7D3B" w:rsidP="001E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460417" w14:textId="77777777" w:rsidR="001E7D3B" w:rsidRDefault="001E7D3B" w:rsidP="00E71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Vlastních a cizích finančních prostředků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7A1EC" w14:textId="77777777" w:rsidR="001E7D3B" w:rsidRPr="00666281" w:rsidRDefault="001E7D3B" w:rsidP="0074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3ABC417" w14:textId="77777777" w:rsidR="001E7D3B" w:rsidRPr="00666281" w:rsidRDefault="001E7D3B" w:rsidP="0074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8E4DD7" w14:textId="77777777" w:rsidR="001E7D3B" w:rsidRPr="00666281" w:rsidRDefault="001E7D3B" w:rsidP="00741B06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14D26BE" w14:textId="77777777" w:rsidR="001E7D3B" w:rsidRPr="00666281" w:rsidRDefault="001E7D3B" w:rsidP="0074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D427C1" w14:textId="77777777" w:rsidR="001E7D3B" w:rsidRPr="00666281" w:rsidRDefault="001E7D3B" w:rsidP="00741B06">
            <w:pPr>
              <w:jc w:val="center"/>
              <w:rPr>
                <w:sz w:val="20"/>
                <w:szCs w:val="20"/>
              </w:rPr>
            </w:pPr>
          </w:p>
        </w:tc>
      </w:tr>
      <w:tr w:rsidR="001E7D3B" w:rsidRPr="006368D9" w14:paraId="41A97412" w14:textId="77777777" w:rsidTr="008E6A28">
        <w:tc>
          <w:tcPr>
            <w:tcW w:w="10065" w:type="dxa"/>
            <w:gridSpan w:val="7"/>
            <w:shd w:val="clear" w:color="auto" w:fill="auto"/>
          </w:tcPr>
          <w:p w14:paraId="4ED69155" w14:textId="77777777" w:rsidR="001E7D3B" w:rsidRDefault="001E7D3B" w:rsidP="00741B06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Poznámky:</w:t>
            </w:r>
          </w:p>
          <w:p w14:paraId="18925A93" w14:textId="77777777" w:rsidR="001E7D3B" w:rsidRPr="00666281" w:rsidRDefault="001E7D3B" w:rsidP="0074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 „vodní dílo“ je stanoven § 55 zákona č. 254/2001 Sb. (vodní zákon) v platném znění.</w:t>
            </w:r>
          </w:p>
        </w:tc>
      </w:tr>
    </w:tbl>
    <w:p w14:paraId="1CD6B8FF" w14:textId="77777777" w:rsidR="009928BB" w:rsidRPr="006368D9" w:rsidRDefault="009928BB" w:rsidP="00936887">
      <w:pPr>
        <w:rPr>
          <w:sz w:val="16"/>
          <w:szCs w:val="16"/>
        </w:rPr>
      </w:pPr>
      <w:r w:rsidRPr="006368D9">
        <w:rPr>
          <w:sz w:val="16"/>
          <w:szCs w:val="16"/>
        </w:rPr>
        <w:t xml:space="preserve">* není-li uvedeno, sjednává se pojištění s pojistnou hodnotou uvedenou v příslušných pojistných podmínkách </w:t>
      </w:r>
    </w:p>
    <w:p w14:paraId="7483DC09" w14:textId="27275D2C" w:rsidR="009928BB" w:rsidRDefault="009928BB" w:rsidP="00D7357B">
      <w:pPr>
        <w:keepNext/>
        <w:rPr>
          <w:sz w:val="20"/>
          <w:szCs w:val="20"/>
        </w:rPr>
      </w:pPr>
    </w:p>
    <w:p w14:paraId="00BF4E6E" w14:textId="3D4C6D77" w:rsidR="00EF47D0" w:rsidRPr="00EF47D0" w:rsidRDefault="00EF47D0" w:rsidP="00EF47D0">
      <w:pPr>
        <w:keepNext/>
        <w:rPr>
          <w:bCs/>
          <w:sz w:val="20"/>
          <w:szCs w:val="20"/>
        </w:rPr>
      </w:pPr>
      <w:r w:rsidRPr="00EF47D0">
        <w:rPr>
          <w:bCs/>
          <w:sz w:val="20"/>
          <w:szCs w:val="20"/>
        </w:rPr>
        <w:t>V tabulce č. 2.</w:t>
      </w:r>
      <w:r>
        <w:rPr>
          <w:bCs/>
          <w:sz w:val="20"/>
          <w:szCs w:val="20"/>
        </w:rPr>
        <w:t>4</w:t>
      </w:r>
      <w:r w:rsidRPr="00EF47D0">
        <w:rPr>
          <w:bCs/>
          <w:sz w:val="20"/>
          <w:szCs w:val="20"/>
        </w:rPr>
        <w:t>.1. se zvyšuj</w:t>
      </w:r>
      <w:r>
        <w:rPr>
          <w:bCs/>
          <w:sz w:val="20"/>
          <w:szCs w:val="20"/>
        </w:rPr>
        <w:t>e</w:t>
      </w:r>
      <w:r w:rsidRPr="00EF47D0">
        <w:rPr>
          <w:bCs/>
          <w:sz w:val="20"/>
          <w:szCs w:val="20"/>
        </w:rPr>
        <w:t xml:space="preserve"> pojistn</w:t>
      </w:r>
      <w:r>
        <w:rPr>
          <w:bCs/>
          <w:sz w:val="20"/>
          <w:szCs w:val="20"/>
        </w:rPr>
        <w:t>á</w:t>
      </w:r>
      <w:r w:rsidRPr="00EF47D0">
        <w:rPr>
          <w:bCs/>
          <w:sz w:val="20"/>
          <w:szCs w:val="20"/>
        </w:rPr>
        <w:t xml:space="preserve"> částk</w:t>
      </w:r>
      <w:r>
        <w:rPr>
          <w:bCs/>
          <w:sz w:val="20"/>
          <w:szCs w:val="20"/>
        </w:rPr>
        <w:t xml:space="preserve">a předmětu pojištění </w:t>
      </w:r>
      <w:proofErr w:type="spellStart"/>
      <w:r>
        <w:rPr>
          <w:bCs/>
          <w:sz w:val="20"/>
          <w:szCs w:val="20"/>
        </w:rPr>
        <w:t>poř.č</w:t>
      </w:r>
      <w:proofErr w:type="spellEnd"/>
      <w:r>
        <w:rPr>
          <w:bCs/>
          <w:sz w:val="20"/>
          <w:szCs w:val="20"/>
        </w:rPr>
        <w:t>. 1.</w:t>
      </w:r>
      <w:r w:rsidRPr="00EF47D0">
        <w:rPr>
          <w:bCs/>
          <w:sz w:val="20"/>
          <w:szCs w:val="20"/>
        </w:rPr>
        <w:t xml:space="preserve"> Tabulka č. 2.</w:t>
      </w:r>
      <w:r>
        <w:rPr>
          <w:bCs/>
          <w:sz w:val="20"/>
          <w:szCs w:val="20"/>
        </w:rPr>
        <w:t>4</w:t>
      </w:r>
      <w:r w:rsidRPr="00EF47D0">
        <w:rPr>
          <w:bCs/>
          <w:sz w:val="20"/>
          <w:szCs w:val="20"/>
        </w:rPr>
        <w:t>.1. nově zní:</w:t>
      </w:r>
    </w:p>
    <w:p w14:paraId="019D3777" w14:textId="55C09888" w:rsidR="00D7357B" w:rsidRPr="00D06D34" w:rsidRDefault="009928BB" w:rsidP="00741B06">
      <w:pPr>
        <w:keepNext/>
        <w:numPr>
          <w:ilvl w:val="0"/>
          <w:numId w:val="21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Pojištění strojů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701"/>
        <w:gridCol w:w="1417"/>
        <w:gridCol w:w="1276"/>
        <w:gridCol w:w="1418"/>
        <w:gridCol w:w="992"/>
      </w:tblGrid>
      <w:tr w:rsidR="009928BB" w:rsidRPr="006368D9" w14:paraId="5B721453" w14:textId="77777777" w:rsidTr="00080B00">
        <w:tc>
          <w:tcPr>
            <w:tcW w:w="10065" w:type="dxa"/>
            <w:gridSpan w:val="7"/>
            <w:shd w:val="clear" w:color="auto" w:fill="auto"/>
          </w:tcPr>
          <w:p w14:paraId="07657CD1" w14:textId="77777777" w:rsidR="009928BB" w:rsidRPr="00666281" w:rsidRDefault="00360BB0" w:rsidP="00666281">
            <w:pPr>
              <w:ind w:left="-108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 xml:space="preserve">  </w:t>
            </w:r>
            <w:r w:rsidR="009928BB" w:rsidRPr="00666281">
              <w:rPr>
                <w:b/>
                <w:sz w:val="20"/>
                <w:szCs w:val="20"/>
              </w:rPr>
              <w:t>Místo pojištění:</w:t>
            </w:r>
            <w:r w:rsidR="00532F42">
              <w:rPr>
                <w:b/>
                <w:sz w:val="20"/>
                <w:szCs w:val="20"/>
              </w:rPr>
              <w:t xml:space="preserve"> </w:t>
            </w:r>
            <w:r w:rsidR="00532F42">
              <w:rPr>
                <w:sz w:val="20"/>
                <w:szCs w:val="20"/>
              </w:rPr>
              <w:t xml:space="preserve">viz </w:t>
            </w:r>
            <w:proofErr w:type="spellStart"/>
            <w:r w:rsidR="00532F42">
              <w:rPr>
                <w:sz w:val="20"/>
                <w:szCs w:val="20"/>
              </w:rPr>
              <w:t>čl.II</w:t>
            </w:r>
            <w:proofErr w:type="spellEnd"/>
            <w:r w:rsidR="00532F42">
              <w:rPr>
                <w:sz w:val="20"/>
                <w:szCs w:val="20"/>
              </w:rPr>
              <w:t>, bod 1.2.</w:t>
            </w:r>
          </w:p>
        </w:tc>
      </w:tr>
      <w:tr w:rsidR="009928BB" w:rsidRPr="006368D9" w14:paraId="26899FAB" w14:textId="77777777" w:rsidTr="00080B00">
        <w:tc>
          <w:tcPr>
            <w:tcW w:w="10065" w:type="dxa"/>
            <w:gridSpan w:val="7"/>
            <w:shd w:val="clear" w:color="auto" w:fill="auto"/>
          </w:tcPr>
          <w:p w14:paraId="4282948C" w14:textId="77777777" w:rsidR="009928BB" w:rsidRPr="00666281" w:rsidRDefault="009928BB" w:rsidP="00D17412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="00E7747C" w:rsidRPr="00666281">
              <w:rPr>
                <w:b/>
                <w:sz w:val="20"/>
                <w:szCs w:val="20"/>
              </w:rPr>
              <w:t xml:space="preserve"> </w:t>
            </w:r>
            <w:r w:rsidR="006060A5" w:rsidRPr="00666281">
              <w:rPr>
                <w:sz w:val="20"/>
                <w:szCs w:val="20"/>
              </w:rPr>
              <w:t>VPP P-100/14, ZPP P-300/14 a doložkami DOB103</w:t>
            </w:r>
            <w:r w:rsidR="00936887">
              <w:rPr>
                <w:sz w:val="20"/>
                <w:szCs w:val="20"/>
              </w:rPr>
              <w:t xml:space="preserve">, DST109, </w:t>
            </w:r>
            <w:r w:rsidR="00080B00">
              <w:rPr>
                <w:sz w:val="20"/>
                <w:szCs w:val="20"/>
              </w:rPr>
              <w:t>DST110, DST112</w:t>
            </w:r>
          </w:p>
        </w:tc>
      </w:tr>
      <w:tr w:rsidR="00E71674" w:rsidRPr="006368D9" w14:paraId="29C5542A" w14:textId="77777777" w:rsidTr="00080B00">
        <w:tc>
          <w:tcPr>
            <w:tcW w:w="709" w:type="dxa"/>
            <w:shd w:val="clear" w:color="auto" w:fill="auto"/>
            <w:vAlign w:val="center"/>
          </w:tcPr>
          <w:p w14:paraId="08BF30AD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66281">
              <w:rPr>
                <w:b/>
                <w:sz w:val="20"/>
                <w:szCs w:val="20"/>
              </w:rPr>
              <w:t>Poř</w:t>
            </w:r>
            <w:proofErr w:type="spellEnd"/>
            <w:r w:rsidRPr="00666281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BB1040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B31F5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="001773E3"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83B27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B21505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DD3017" w14:textId="77777777" w:rsidR="00E7747C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  <w:p w14:paraId="428AC2F0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55045" w14:textId="77777777" w:rsidR="009928BB" w:rsidRPr="00666281" w:rsidRDefault="009928BB" w:rsidP="00E97F95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  <w:r w:rsidRPr="006662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71674" w:rsidRPr="006368D9" w14:paraId="49B42FF2" w14:textId="77777777" w:rsidTr="00080B00">
        <w:tc>
          <w:tcPr>
            <w:tcW w:w="709" w:type="dxa"/>
            <w:shd w:val="clear" w:color="auto" w:fill="auto"/>
            <w:vAlign w:val="center"/>
          </w:tcPr>
          <w:p w14:paraId="123A94B8" w14:textId="77777777" w:rsidR="009928BB" w:rsidRPr="00666281" w:rsidRDefault="009928BB" w:rsidP="00936887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6818EE" w14:textId="77777777" w:rsidR="009928BB" w:rsidRPr="00666281" w:rsidRDefault="00936887" w:rsidP="00936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vlastních </w:t>
            </w:r>
            <w:r w:rsidR="00E97F95">
              <w:rPr>
                <w:sz w:val="20"/>
                <w:szCs w:val="20"/>
              </w:rPr>
              <w:t xml:space="preserve">stacionárních a mobilních </w:t>
            </w:r>
            <w:r>
              <w:rPr>
                <w:sz w:val="20"/>
                <w:szCs w:val="20"/>
              </w:rPr>
              <w:t>strojů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1443D" w14:textId="36573F98" w:rsidR="009928BB" w:rsidRPr="00EF47D0" w:rsidRDefault="00EF47D0" w:rsidP="00936887">
            <w:pPr>
              <w:jc w:val="center"/>
              <w:rPr>
                <w:b/>
                <w:bCs/>
                <w:sz w:val="20"/>
                <w:szCs w:val="20"/>
              </w:rPr>
            </w:pPr>
            <w:r w:rsidRPr="00EF47D0">
              <w:rPr>
                <w:b/>
                <w:bCs/>
                <w:sz w:val="20"/>
                <w:szCs w:val="20"/>
              </w:rPr>
              <w:t>210</w:t>
            </w:r>
            <w:r w:rsidR="00936887" w:rsidRPr="00EF47D0">
              <w:rPr>
                <w:b/>
                <w:bCs/>
                <w:sz w:val="20"/>
                <w:szCs w:val="20"/>
              </w:rPr>
              <w:t> 000 000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F3DA04" w14:textId="77777777" w:rsidR="009928BB" w:rsidRPr="00666281" w:rsidRDefault="00936887" w:rsidP="0093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FF76B1" w14:textId="77777777" w:rsidR="009928BB" w:rsidRPr="00666281" w:rsidRDefault="00CD75D7" w:rsidP="00936887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79105C" w14:textId="77777777" w:rsidR="009928BB" w:rsidRPr="00666281" w:rsidRDefault="009928BB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756BC5" w14:textId="77777777" w:rsidR="009928BB" w:rsidRPr="00666281" w:rsidRDefault="009928BB" w:rsidP="00936887">
            <w:pPr>
              <w:jc w:val="center"/>
              <w:rPr>
                <w:sz w:val="20"/>
                <w:szCs w:val="20"/>
              </w:rPr>
            </w:pPr>
          </w:p>
        </w:tc>
      </w:tr>
      <w:tr w:rsidR="00080B00" w:rsidRPr="006368D9" w14:paraId="492C84D9" w14:textId="77777777" w:rsidTr="00080B00">
        <w:tc>
          <w:tcPr>
            <w:tcW w:w="709" w:type="dxa"/>
            <w:shd w:val="clear" w:color="auto" w:fill="auto"/>
            <w:vAlign w:val="center"/>
          </w:tcPr>
          <w:p w14:paraId="20A0266A" w14:textId="77777777" w:rsidR="00080B00" w:rsidRPr="00666281" w:rsidRDefault="00080B00" w:rsidP="00936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EE7FA2" w14:textId="7B754425" w:rsidR="00080B00" w:rsidRDefault="00080B00" w:rsidP="00936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Přesčas </w:t>
            </w:r>
            <w:r w:rsidR="00D8580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DST110</w:t>
            </w:r>
            <w:r w:rsidR="00D8580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a Expresní a letecká doprava </w:t>
            </w:r>
            <w:r w:rsidR="00D8580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DST112</w:t>
            </w:r>
            <w:r w:rsidR="00D85805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A33C7F" w14:textId="77777777" w:rsidR="00080B00" w:rsidRDefault="00080B00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54BB64" w14:textId="77777777" w:rsidR="00080B00" w:rsidRDefault="00080B00" w:rsidP="0093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A5AA58" w14:textId="77777777" w:rsidR="00080B00" w:rsidRPr="008F1C82" w:rsidRDefault="00080B00" w:rsidP="0093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84C297" w14:textId="77777777" w:rsidR="00080B00" w:rsidRPr="00666281" w:rsidRDefault="00080B00" w:rsidP="0093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2 000 000 Kč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A05C7" w14:textId="77777777" w:rsidR="00080B00" w:rsidRPr="00666281" w:rsidRDefault="00080B00" w:rsidP="00936887">
            <w:pPr>
              <w:jc w:val="center"/>
              <w:rPr>
                <w:sz w:val="20"/>
                <w:szCs w:val="20"/>
              </w:rPr>
            </w:pPr>
          </w:p>
        </w:tc>
      </w:tr>
      <w:tr w:rsidR="009928BB" w:rsidRPr="006368D9" w14:paraId="14888227" w14:textId="77777777" w:rsidTr="00080B00">
        <w:tc>
          <w:tcPr>
            <w:tcW w:w="10065" w:type="dxa"/>
            <w:gridSpan w:val="7"/>
            <w:shd w:val="clear" w:color="auto" w:fill="auto"/>
          </w:tcPr>
          <w:p w14:paraId="4BF165B4" w14:textId="77777777" w:rsidR="009928BB" w:rsidRPr="000E7FF2" w:rsidRDefault="009928BB" w:rsidP="009928BB">
            <w:pPr>
              <w:rPr>
                <w:sz w:val="20"/>
                <w:szCs w:val="20"/>
              </w:rPr>
            </w:pPr>
            <w:r w:rsidRPr="000E7FF2">
              <w:rPr>
                <w:sz w:val="20"/>
                <w:szCs w:val="20"/>
              </w:rPr>
              <w:t>Poznámky:</w:t>
            </w:r>
          </w:p>
          <w:p w14:paraId="06D78150" w14:textId="77777777" w:rsidR="004811C2" w:rsidRPr="000E7FF2" w:rsidRDefault="00395250" w:rsidP="00395250">
            <w:pPr>
              <w:rPr>
                <w:sz w:val="20"/>
                <w:szCs w:val="20"/>
              </w:rPr>
            </w:pPr>
            <w:r w:rsidRPr="000E7FF2">
              <w:rPr>
                <w:sz w:val="20"/>
                <w:szCs w:val="20"/>
              </w:rPr>
              <w:t>Ujednává se, že se ruší ustanovení čl. 1 odst. 4) ZPP P-300/14.</w:t>
            </w:r>
          </w:p>
        </w:tc>
      </w:tr>
    </w:tbl>
    <w:p w14:paraId="53F5CC76" w14:textId="77777777" w:rsidR="009928BB" w:rsidRDefault="009928BB" w:rsidP="00920961">
      <w:pPr>
        <w:rPr>
          <w:sz w:val="16"/>
          <w:szCs w:val="16"/>
        </w:rPr>
      </w:pPr>
      <w:r w:rsidRPr="006368D9">
        <w:rPr>
          <w:sz w:val="16"/>
          <w:szCs w:val="16"/>
        </w:rPr>
        <w:t xml:space="preserve">* není-li uvedeno, sjednává se pojištění s pojistnou hodnotou uvedenou v příslušných pojistných podmínkách </w:t>
      </w:r>
    </w:p>
    <w:p w14:paraId="17B1B0D9" w14:textId="77777777" w:rsidR="00FB4CEE" w:rsidRDefault="00FB4CEE" w:rsidP="00FB4CEE">
      <w:pPr>
        <w:rPr>
          <w:sz w:val="20"/>
          <w:szCs w:val="20"/>
        </w:rPr>
      </w:pPr>
    </w:p>
    <w:p w14:paraId="55742A6C" w14:textId="432583E1" w:rsidR="00EF47D0" w:rsidRPr="00EF47D0" w:rsidRDefault="00EF47D0" w:rsidP="00EF47D0">
      <w:pPr>
        <w:keepNext/>
        <w:rPr>
          <w:bCs/>
          <w:sz w:val="20"/>
          <w:szCs w:val="20"/>
        </w:rPr>
      </w:pPr>
      <w:r w:rsidRPr="00EF47D0">
        <w:rPr>
          <w:bCs/>
          <w:sz w:val="20"/>
          <w:szCs w:val="20"/>
        </w:rPr>
        <w:t>V tabulce č. 2.</w:t>
      </w:r>
      <w:r>
        <w:rPr>
          <w:bCs/>
          <w:sz w:val="20"/>
          <w:szCs w:val="20"/>
        </w:rPr>
        <w:t>5</w:t>
      </w:r>
      <w:r w:rsidRPr="00EF47D0">
        <w:rPr>
          <w:bCs/>
          <w:sz w:val="20"/>
          <w:szCs w:val="20"/>
        </w:rPr>
        <w:t>.1. se zvyšuj</w:t>
      </w:r>
      <w:r>
        <w:rPr>
          <w:bCs/>
          <w:sz w:val="20"/>
          <w:szCs w:val="20"/>
        </w:rPr>
        <w:t>e</w:t>
      </w:r>
      <w:r w:rsidRPr="00EF47D0">
        <w:rPr>
          <w:bCs/>
          <w:sz w:val="20"/>
          <w:szCs w:val="20"/>
        </w:rPr>
        <w:t xml:space="preserve"> pojistn</w:t>
      </w:r>
      <w:r>
        <w:rPr>
          <w:bCs/>
          <w:sz w:val="20"/>
          <w:szCs w:val="20"/>
        </w:rPr>
        <w:t>á</w:t>
      </w:r>
      <w:r w:rsidRPr="00EF47D0">
        <w:rPr>
          <w:bCs/>
          <w:sz w:val="20"/>
          <w:szCs w:val="20"/>
        </w:rPr>
        <w:t xml:space="preserve"> částk</w:t>
      </w:r>
      <w:r>
        <w:rPr>
          <w:bCs/>
          <w:sz w:val="20"/>
          <w:szCs w:val="20"/>
        </w:rPr>
        <w:t xml:space="preserve">a předmětu pojištění </w:t>
      </w:r>
      <w:proofErr w:type="spellStart"/>
      <w:r>
        <w:rPr>
          <w:bCs/>
          <w:sz w:val="20"/>
          <w:szCs w:val="20"/>
        </w:rPr>
        <w:t>poř.č</w:t>
      </w:r>
      <w:proofErr w:type="spellEnd"/>
      <w:r>
        <w:rPr>
          <w:bCs/>
          <w:sz w:val="20"/>
          <w:szCs w:val="20"/>
        </w:rPr>
        <w:t>. 1.</w:t>
      </w:r>
      <w:r w:rsidRPr="00EF47D0">
        <w:rPr>
          <w:bCs/>
          <w:sz w:val="20"/>
          <w:szCs w:val="20"/>
        </w:rPr>
        <w:t xml:space="preserve"> Tabulka č. 2.</w:t>
      </w:r>
      <w:r>
        <w:rPr>
          <w:bCs/>
          <w:sz w:val="20"/>
          <w:szCs w:val="20"/>
        </w:rPr>
        <w:t>5</w:t>
      </w:r>
      <w:r w:rsidRPr="00EF47D0">
        <w:rPr>
          <w:bCs/>
          <w:sz w:val="20"/>
          <w:szCs w:val="20"/>
        </w:rPr>
        <w:t>.1. nově zní:</w:t>
      </w:r>
    </w:p>
    <w:p w14:paraId="4B828246" w14:textId="77777777" w:rsidR="009928BB" w:rsidRPr="00D06D34" w:rsidRDefault="009928BB" w:rsidP="00741B06">
      <w:pPr>
        <w:keepNext/>
        <w:numPr>
          <w:ilvl w:val="0"/>
          <w:numId w:val="22"/>
        </w:numPr>
        <w:ind w:hanging="720"/>
        <w:rPr>
          <w:rFonts w:cs="Arial"/>
          <w:b/>
          <w:sz w:val="20"/>
        </w:rPr>
      </w:pPr>
      <w:r w:rsidRPr="00D06D34">
        <w:rPr>
          <w:rFonts w:cs="Arial"/>
          <w:b/>
          <w:sz w:val="20"/>
        </w:rPr>
        <w:t>Pojištění elektronických zařízení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0"/>
        <w:gridCol w:w="1559"/>
        <w:gridCol w:w="1417"/>
        <w:gridCol w:w="1276"/>
        <w:gridCol w:w="1418"/>
        <w:gridCol w:w="1134"/>
      </w:tblGrid>
      <w:tr w:rsidR="009928BB" w:rsidRPr="006368D9" w14:paraId="0C88E340" w14:textId="77777777" w:rsidTr="00D85805">
        <w:tc>
          <w:tcPr>
            <w:tcW w:w="10093" w:type="dxa"/>
            <w:gridSpan w:val="7"/>
            <w:shd w:val="clear" w:color="auto" w:fill="auto"/>
          </w:tcPr>
          <w:p w14:paraId="68CC9BFB" w14:textId="77777777" w:rsidR="009928BB" w:rsidRPr="00666281" w:rsidRDefault="009928BB" w:rsidP="009928BB">
            <w:pPr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Místo pojištění:</w:t>
            </w:r>
            <w:r w:rsidR="00532F42">
              <w:rPr>
                <w:b/>
                <w:sz w:val="20"/>
                <w:szCs w:val="20"/>
              </w:rPr>
              <w:t xml:space="preserve"> </w:t>
            </w:r>
            <w:r w:rsidR="00532F42">
              <w:rPr>
                <w:sz w:val="20"/>
                <w:szCs w:val="20"/>
              </w:rPr>
              <w:t xml:space="preserve">viz </w:t>
            </w:r>
            <w:proofErr w:type="spellStart"/>
            <w:r w:rsidR="00532F42">
              <w:rPr>
                <w:sz w:val="20"/>
                <w:szCs w:val="20"/>
              </w:rPr>
              <w:t>čl.II</w:t>
            </w:r>
            <w:proofErr w:type="spellEnd"/>
            <w:r w:rsidR="00532F42">
              <w:rPr>
                <w:sz w:val="20"/>
                <w:szCs w:val="20"/>
              </w:rPr>
              <w:t>, bod 1.2.</w:t>
            </w:r>
          </w:p>
        </w:tc>
      </w:tr>
      <w:tr w:rsidR="009928BB" w:rsidRPr="006368D9" w14:paraId="0329C6F3" w14:textId="77777777" w:rsidTr="00D85805">
        <w:tc>
          <w:tcPr>
            <w:tcW w:w="10093" w:type="dxa"/>
            <w:gridSpan w:val="7"/>
            <w:shd w:val="clear" w:color="auto" w:fill="auto"/>
          </w:tcPr>
          <w:p w14:paraId="7A82B369" w14:textId="77777777" w:rsidR="009928BB" w:rsidRPr="00666281" w:rsidRDefault="009928BB" w:rsidP="0015517B">
            <w:pPr>
              <w:rPr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řídí:</w:t>
            </w:r>
            <w:r w:rsidR="00AC26C2" w:rsidRPr="00666281">
              <w:rPr>
                <w:b/>
                <w:sz w:val="20"/>
                <w:szCs w:val="20"/>
              </w:rPr>
              <w:t xml:space="preserve"> </w:t>
            </w:r>
            <w:r w:rsidR="006060A5" w:rsidRPr="00666281">
              <w:rPr>
                <w:sz w:val="20"/>
                <w:szCs w:val="20"/>
              </w:rPr>
              <w:t>VPP P-100/14, ZPP P-320/14 a doložkami DOB103</w:t>
            </w:r>
          </w:p>
        </w:tc>
      </w:tr>
      <w:tr w:rsidR="00E71674" w:rsidRPr="006368D9" w14:paraId="249CFB53" w14:textId="77777777" w:rsidTr="00D85805">
        <w:tc>
          <w:tcPr>
            <w:tcW w:w="709" w:type="dxa"/>
            <w:shd w:val="clear" w:color="auto" w:fill="auto"/>
            <w:vAlign w:val="center"/>
          </w:tcPr>
          <w:p w14:paraId="74C1F8DE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66281">
              <w:rPr>
                <w:b/>
                <w:sz w:val="20"/>
                <w:szCs w:val="20"/>
              </w:rPr>
              <w:t>Poř</w:t>
            </w:r>
            <w:proofErr w:type="spellEnd"/>
            <w:r w:rsidRPr="00666281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0755D60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8C1F0A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Pojistná částka</w:t>
            </w:r>
            <w:r w:rsidR="001773E3" w:rsidRPr="0066628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8FA371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Spoluúčast</w:t>
            </w:r>
            <w:r w:rsidRPr="0066628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7DF39B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Pojištění se sjednává na cenu</w:t>
            </w:r>
            <w:r w:rsidRPr="0066628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F734B6" w14:textId="77777777" w:rsidR="00AC26C2" w:rsidRPr="00666281" w:rsidRDefault="009928BB" w:rsidP="0066628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</w:p>
          <w:p w14:paraId="74ADF4D1" w14:textId="77777777" w:rsidR="009928BB" w:rsidRPr="00666281" w:rsidRDefault="009928BB" w:rsidP="00666281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První riziko</w:t>
            </w:r>
            <w:r w:rsidRPr="0066628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5F9CD" w14:textId="77777777" w:rsidR="009928BB" w:rsidRPr="00666281" w:rsidRDefault="009928BB" w:rsidP="00A1481C">
            <w:pPr>
              <w:jc w:val="center"/>
              <w:rPr>
                <w:b/>
                <w:sz w:val="20"/>
                <w:szCs w:val="20"/>
              </w:rPr>
            </w:pPr>
            <w:r w:rsidRPr="00666281">
              <w:rPr>
                <w:b/>
                <w:sz w:val="20"/>
                <w:szCs w:val="20"/>
              </w:rPr>
              <w:t>MRLP</w:t>
            </w:r>
            <w:r w:rsidRPr="00666281">
              <w:rPr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E71674" w:rsidRPr="006368D9" w14:paraId="77048E5C" w14:textId="77777777" w:rsidTr="00D85805">
        <w:tc>
          <w:tcPr>
            <w:tcW w:w="709" w:type="dxa"/>
            <w:shd w:val="clear" w:color="auto" w:fill="auto"/>
            <w:vAlign w:val="center"/>
          </w:tcPr>
          <w:p w14:paraId="35626E6D" w14:textId="77777777" w:rsidR="009928BB" w:rsidRPr="00666281" w:rsidRDefault="009928BB" w:rsidP="00936887">
            <w:pPr>
              <w:rPr>
                <w:sz w:val="20"/>
                <w:szCs w:val="20"/>
              </w:rPr>
            </w:pPr>
            <w:r w:rsidRPr="00666281">
              <w:rPr>
                <w:sz w:val="20"/>
                <w:szCs w:val="20"/>
              </w:rPr>
              <w:t>1.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C332C2F" w14:textId="77777777" w:rsidR="009928BB" w:rsidRPr="00666281" w:rsidRDefault="00936887" w:rsidP="00936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vlastních </w:t>
            </w:r>
            <w:r w:rsidR="00A1481C">
              <w:rPr>
                <w:sz w:val="20"/>
                <w:szCs w:val="20"/>
              </w:rPr>
              <w:t xml:space="preserve">stacionárních a mobilních </w:t>
            </w:r>
            <w:r>
              <w:rPr>
                <w:sz w:val="20"/>
                <w:szCs w:val="20"/>
              </w:rPr>
              <w:t>elektronických zařízení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32BFB8" w14:textId="0920C593" w:rsidR="009928BB" w:rsidRPr="00EF47D0" w:rsidRDefault="00EF47D0" w:rsidP="00936887">
            <w:pPr>
              <w:jc w:val="center"/>
              <w:rPr>
                <w:b/>
                <w:bCs/>
                <w:sz w:val="20"/>
                <w:szCs w:val="20"/>
              </w:rPr>
            </w:pPr>
            <w:r w:rsidRPr="00EF47D0">
              <w:rPr>
                <w:b/>
                <w:bCs/>
                <w:sz w:val="20"/>
                <w:szCs w:val="20"/>
              </w:rPr>
              <w:t>7</w:t>
            </w:r>
            <w:r w:rsidR="00936887" w:rsidRPr="00EF47D0">
              <w:rPr>
                <w:b/>
                <w:bCs/>
                <w:sz w:val="20"/>
                <w:szCs w:val="20"/>
              </w:rPr>
              <w:t>0 000 000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F1DBF9" w14:textId="77777777" w:rsidR="009928BB" w:rsidRPr="00666281" w:rsidRDefault="00936887" w:rsidP="0093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90A91D" w14:textId="77777777" w:rsidR="009928BB" w:rsidRPr="00666281" w:rsidRDefault="00CD75D7" w:rsidP="00936887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B48636" w14:textId="77777777" w:rsidR="009928BB" w:rsidRPr="00666281" w:rsidRDefault="009928BB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DCD29" w14:textId="77777777" w:rsidR="009928BB" w:rsidRPr="00666281" w:rsidRDefault="009928BB" w:rsidP="00936887">
            <w:pPr>
              <w:jc w:val="center"/>
              <w:rPr>
                <w:sz w:val="20"/>
                <w:szCs w:val="20"/>
              </w:rPr>
            </w:pPr>
          </w:p>
        </w:tc>
      </w:tr>
      <w:tr w:rsidR="00452E14" w:rsidRPr="006368D9" w14:paraId="2ED3C89B" w14:textId="77777777" w:rsidTr="00D85805">
        <w:tc>
          <w:tcPr>
            <w:tcW w:w="709" w:type="dxa"/>
            <w:shd w:val="clear" w:color="auto" w:fill="auto"/>
            <w:vAlign w:val="center"/>
          </w:tcPr>
          <w:p w14:paraId="04D651EB" w14:textId="77777777" w:rsidR="00452E14" w:rsidRPr="00666281" w:rsidRDefault="00452E14" w:rsidP="00936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D114677" w14:textId="77777777" w:rsidR="00452E14" w:rsidRDefault="00452E14" w:rsidP="00936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Přesčas, expresní a letecká doprava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C90F83" w14:textId="77777777" w:rsidR="00452E14" w:rsidRDefault="00452E14" w:rsidP="0093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64C49E" w14:textId="77777777" w:rsidR="00452E14" w:rsidRDefault="00452E14" w:rsidP="0093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D7CBCC" w14:textId="77777777" w:rsidR="00452E14" w:rsidRPr="008F1C82" w:rsidRDefault="00452E14" w:rsidP="00452E14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B22841" w14:textId="77777777" w:rsidR="00452E14" w:rsidRPr="00666281" w:rsidRDefault="00452E14" w:rsidP="0093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2 000 000 Kč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F029C" w14:textId="77777777" w:rsidR="00452E14" w:rsidRPr="00666281" w:rsidRDefault="00452E14" w:rsidP="00936887">
            <w:pPr>
              <w:jc w:val="center"/>
              <w:rPr>
                <w:sz w:val="20"/>
                <w:szCs w:val="20"/>
              </w:rPr>
            </w:pPr>
          </w:p>
        </w:tc>
      </w:tr>
      <w:tr w:rsidR="002F7C0A" w:rsidRPr="006368D9" w14:paraId="76A0C356" w14:textId="77777777" w:rsidTr="00D85805">
        <w:tc>
          <w:tcPr>
            <w:tcW w:w="10093" w:type="dxa"/>
            <w:gridSpan w:val="7"/>
            <w:shd w:val="clear" w:color="auto" w:fill="auto"/>
          </w:tcPr>
          <w:p w14:paraId="0DC3A30D" w14:textId="77777777" w:rsidR="002F7C0A" w:rsidRPr="000E7FF2" w:rsidRDefault="002F7C0A" w:rsidP="00167C21">
            <w:pPr>
              <w:rPr>
                <w:sz w:val="20"/>
                <w:szCs w:val="20"/>
              </w:rPr>
            </w:pPr>
            <w:r w:rsidRPr="000E7FF2">
              <w:rPr>
                <w:sz w:val="20"/>
                <w:szCs w:val="20"/>
              </w:rPr>
              <w:t>Poznámky:</w:t>
            </w:r>
          </w:p>
          <w:p w14:paraId="2552DACD" w14:textId="77777777" w:rsidR="002F7C0A" w:rsidRPr="000E7FF2" w:rsidRDefault="002F7C0A" w:rsidP="002F7C0A">
            <w:pPr>
              <w:rPr>
                <w:sz w:val="20"/>
                <w:szCs w:val="20"/>
              </w:rPr>
            </w:pPr>
            <w:r w:rsidRPr="000E7FF2">
              <w:rPr>
                <w:sz w:val="20"/>
                <w:szCs w:val="20"/>
              </w:rPr>
              <w:t>Ujednává se, že se ruší ustanovení čl. 1 odst. 4) ZPP P-320/14.</w:t>
            </w:r>
          </w:p>
        </w:tc>
      </w:tr>
      <w:tr w:rsidR="00B12D3B" w:rsidRPr="00452E14" w14:paraId="191A5F2F" w14:textId="77777777" w:rsidTr="00D85805">
        <w:tc>
          <w:tcPr>
            <w:tcW w:w="10093" w:type="dxa"/>
            <w:gridSpan w:val="7"/>
            <w:shd w:val="clear" w:color="auto" w:fill="auto"/>
          </w:tcPr>
          <w:p w14:paraId="1072A46B" w14:textId="77777777" w:rsidR="00B12D3B" w:rsidRPr="00452E14" w:rsidRDefault="00B12D3B" w:rsidP="00D85805">
            <w:pPr>
              <w:jc w:val="both"/>
              <w:rPr>
                <w:rFonts w:cs="Koop Office"/>
                <w:sz w:val="20"/>
                <w:szCs w:val="20"/>
              </w:rPr>
            </w:pPr>
            <w:r w:rsidRPr="00D85805">
              <w:rPr>
                <w:rFonts w:cs="Koop Office"/>
                <w:sz w:val="20"/>
                <w:szCs w:val="20"/>
                <w:u w:val="single"/>
              </w:rPr>
              <w:t xml:space="preserve">Předmět pojištění </w:t>
            </w:r>
            <w:proofErr w:type="spellStart"/>
            <w:r w:rsidRPr="00D85805">
              <w:rPr>
                <w:rFonts w:cs="Koop Office"/>
                <w:sz w:val="20"/>
                <w:szCs w:val="20"/>
                <w:u w:val="single"/>
              </w:rPr>
              <w:t>poř.č</w:t>
            </w:r>
            <w:proofErr w:type="spellEnd"/>
            <w:r w:rsidRPr="00D85805">
              <w:rPr>
                <w:rFonts w:cs="Koop Office"/>
                <w:sz w:val="20"/>
                <w:szCs w:val="20"/>
                <w:u w:val="single"/>
              </w:rPr>
              <w:t>. 1.</w:t>
            </w:r>
            <w:r>
              <w:rPr>
                <w:rFonts w:cs="Koop Office"/>
                <w:sz w:val="20"/>
                <w:szCs w:val="20"/>
              </w:rPr>
              <w:t xml:space="preserve"> – Odchylně od čl. 1 odst. 6) ZPP P-320/14 se ujednává, že se pojištění vztahuje i na fotoaparáty, kamery, navigační systémy (GPS) a mobilní komunikační zařízení.</w:t>
            </w:r>
          </w:p>
        </w:tc>
      </w:tr>
      <w:tr w:rsidR="00452E14" w:rsidRPr="00452E14" w14:paraId="72AC3E1A" w14:textId="77777777" w:rsidTr="00D85805">
        <w:tc>
          <w:tcPr>
            <w:tcW w:w="10093" w:type="dxa"/>
            <w:gridSpan w:val="7"/>
            <w:shd w:val="clear" w:color="auto" w:fill="auto"/>
          </w:tcPr>
          <w:p w14:paraId="23C25E66" w14:textId="77777777" w:rsidR="00452E14" w:rsidRPr="00452E14" w:rsidRDefault="00452E14" w:rsidP="00D85805">
            <w:pPr>
              <w:jc w:val="both"/>
              <w:rPr>
                <w:sz w:val="20"/>
                <w:szCs w:val="20"/>
              </w:rPr>
            </w:pPr>
            <w:r w:rsidRPr="00D85805">
              <w:rPr>
                <w:rFonts w:cs="Koop Office"/>
                <w:sz w:val="20"/>
                <w:szCs w:val="20"/>
                <w:u w:val="single"/>
              </w:rPr>
              <w:t xml:space="preserve">Předmět pojištění </w:t>
            </w:r>
            <w:proofErr w:type="spellStart"/>
            <w:r w:rsidRPr="00D85805">
              <w:rPr>
                <w:rFonts w:cs="Koop Office"/>
                <w:sz w:val="20"/>
                <w:szCs w:val="20"/>
                <w:u w:val="single"/>
              </w:rPr>
              <w:t>poř.č</w:t>
            </w:r>
            <w:proofErr w:type="spellEnd"/>
            <w:r w:rsidRPr="00D85805">
              <w:rPr>
                <w:rFonts w:cs="Koop Office"/>
                <w:sz w:val="20"/>
                <w:szCs w:val="20"/>
                <w:u w:val="single"/>
              </w:rPr>
              <w:t xml:space="preserve">. 2. </w:t>
            </w:r>
            <w:r w:rsidRPr="00452E14">
              <w:rPr>
                <w:rFonts w:cs="Koop Office"/>
                <w:sz w:val="20"/>
                <w:szCs w:val="20"/>
              </w:rPr>
              <w:t xml:space="preserve">– Ujednává se, že pojistitel poskytne pojistné plnění i za účelně vynaložené náklady na odměny vyplacené za práci přesčas, v noci a ve dnech pracovního volna a pracovního klidu, které pojištěnému vznikly v souvislosti s pojistnou událostí nastalou na elektronickém zařízení pojištěném v této pojistné smlouvě. </w:t>
            </w:r>
            <w:r>
              <w:rPr>
                <w:rFonts w:cs="Koop Office"/>
                <w:sz w:val="20"/>
                <w:szCs w:val="20"/>
              </w:rPr>
              <w:t xml:space="preserve">Dále se </w:t>
            </w:r>
            <w:r w:rsidRPr="00452E14">
              <w:rPr>
                <w:sz w:val="20"/>
                <w:szCs w:val="20"/>
              </w:rPr>
              <w:lastRenderedPageBreak/>
              <w:t xml:space="preserve">ujednává, že pojistitel poskytne pojistné plnění i za </w:t>
            </w:r>
            <w:r w:rsidRPr="00452E14">
              <w:rPr>
                <w:rFonts w:cs="Koop Office"/>
                <w:sz w:val="20"/>
                <w:szCs w:val="20"/>
              </w:rPr>
              <w:t xml:space="preserve">účelně vynaložené </w:t>
            </w:r>
            <w:r w:rsidRPr="00452E14">
              <w:rPr>
                <w:sz w:val="20"/>
                <w:szCs w:val="20"/>
              </w:rPr>
              <w:t xml:space="preserve">náklady na expresní dopravu a leteckou dopravu náhradních dílů, které pojištěnému vznikly v souvislosti s pojistnou událostí nastalou na </w:t>
            </w:r>
            <w:r>
              <w:rPr>
                <w:sz w:val="20"/>
                <w:szCs w:val="20"/>
              </w:rPr>
              <w:t xml:space="preserve">elektronickém zařízení </w:t>
            </w:r>
            <w:r w:rsidRPr="00452E14">
              <w:rPr>
                <w:rFonts w:cs="Koop Office"/>
                <w:sz w:val="20"/>
                <w:szCs w:val="20"/>
              </w:rPr>
              <w:t>pojištěném v této pojistné smlouvě</w:t>
            </w:r>
            <w:r w:rsidRPr="00452E14">
              <w:rPr>
                <w:sz w:val="20"/>
                <w:szCs w:val="20"/>
              </w:rPr>
              <w:t>.</w:t>
            </w:r>
          </w:p>
        </w:tc>
      </w:tr>
    </w:tbl>
    <w:p w14:paraId="54D75D7C" w14:textId="77777777" w:rsidR="009928BB" w:rsidRPr="006368D9" w:rsidRDefault="009928BB" w:rsidP="00920961">
      <w:pPr>
        <w:rPr>
          <w:sz w:val="16"/>
          <w:szCs w:val="16"/>
        </w:rPr>
      </w:pPr>
      <w:r w:rsidRPr="006368D9">
        <w:rPr>
          <w:sz w:val="16"/>
          <w:szCs w:val="16"/>
        </w:rPr>
        <w:lastRenderedPageBreak/>
        <w:t xml:space="preserve">* není-li uvedeno, sjednává se pojištění s pojistnou hodnotou uvedenou v příslušných pojistných podmínkách </w:t>
      </w:r>
    </w:p>
    <w:p w14:paraId="5DF875A1" w14:textId="2C4627CF" w:rsidR="0076157E" w:rsidRDefault="0076157E" w:rsidP="007A2187">
      <w:pPr>
        <w:rPr>
          <w:b/>
          <w:sz w:val="20"/>
          <w:szCs w:val="20"/>
        </w:rPr>
      </w:pPr>
    </w:p>
    <w:p w14:paraId="1A71F4FC" w14:textId="77777777" w:rsidR="00EF47D0" w:rsidRPr="006368D9" w:rsidRDefault="00EF47D0" w:rsidP="007A2187">
      <w:pPr>
        <w:rPr>
          <w:b/>
          <w:sz w:val="20"/>
          <w:szCs w:val="20"/>
        </w:rPr>
      </w:pPr>
    </w:p>
    <w:p w14:paraId="47A08693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1)</w:t>
      </w:r>
      <w:r w:rsidRPr="000969FB">
        <w:rPr>
          <w:sz w:val="18"/>
          <w:szCs w:val="18"/>
        </w:rPr>
        <w:tab/>
        <w:t>nová cena je vyjádření pojistné hodnoty ve smyslu ustanovení čl. 21 odst. 2) písm. a) VPP P-100/14</w:t>
      </w:r>
    </w:p>
    <w:p w14:paraId="74579E13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sz w:val="18"/>
          <w:szCs w:val="18"/>
        </w:rPr>
        <w:tab/>
        <w:t>časová cena je vyjádření pojistné hodnoty věci ve smyslu ustanovení čl. 21 odst. 2) písm. b) VPP P-100/14</w:t>
      </w:r>
    </w:p>
    <w:p w14:paraId="60583596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sz w:val="18"/>
          <w:szCs w:val="18"/>
        </w:rPr>
        <w:tab/>
        <w:t>obvyklá cena je vyjádření pojistné hodnoty věci ve smyslu ustanovení čl. 21 odst. 2) písm. c) VPP P-100/14</w:t>
      </w:r>
    </w:p>
    <w:p w14:paraId="330CB0E8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sz w:val="18"/>
          <w:szCs w:val="18"/>
        </w:rPr>
        <w:tab/>
        <w:t>jiná cena je vyjádření pojistné hodnoty věci ve smyslu čl. V. Zvláštní ujednání této pojistné smlouvy</w:t>
      </w:r>
    </w:p>
    <w:p w14:paraId="08EB7FF6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2)</w:t>
      </w:r>
      <w:r w:rsidRPr="000969FB">
        <w:rPr>
          <w:sz w:val="18"/>
          <w:szCs w:val="18"/>
        </w:rPr>
        <w:tab/>
        <w:t>první riziko ve smyslu ustanovení čl. 23 odst. 1) písm. a) VPP P-100/14</w:t>
      </w:r>
    </w:p>
    <w:p w14:paraId="4D98C560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3)</w:t>
      </w:r>
      <w:r w:rsidRPr="000969FB">
        <w:rPr>
          <w:sz w:val="18"/>
          <w:szCs w:val="18"/>
        </w:rPr>
        <w:tab/>
        <w:t xml:space="preserve">MRLP je horní hranicí pojistného plnění v souhrnu ze všech pojistných událostí vzniklých v jednom pojistném roce. Je-li pojištění sjednáno na dobu </w:t>
      </w:r>
      <w:proofErr w:type="gramStart"/>
      <w:r w:rsidRPr="000969FB">
        <w:rPr>
          <w:sz w:val="18"/>
          <w:szCs w:val="18"/>
        </w:rPr>
        <w:t>kratší</w:t>
      </w:r>
      <w:proofErr w:type="gramEnd"/>
      <w:r w:rsidRPr="000969FB">
        <w:rPr>
          <w:sz w:val="18"/>
          <w:szCs w:val="18"/>
        </w:rPr>
        <w:t xml:space="preserve"> než jeden pojistný rok je MRLP horní hranicí pojistného plnění v souhrnu ze všech pojistných událostí vzn</w:t>
      </w:r>
      <w:r>
        <w:rPr>
          <w:sz w:val="18"/>
          <w:szCs w:val="18"/>
        </w:rPr>
        <w:t>iklých za dobu trvání pojištění</w:t>
      </w:r>
    </w:p>
    <w:p w14:paraId="78D8D8E0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4)</w:t>
      </w:r>
      <w:r w:rsidRPr="000969FB">
        <w:rPr>
          <w:sz w:val="18"/>
          <w:szCs w:val="18"/>
        </w:rPr>
        <w:tab/>
        <w:t>zlomkové pojištění ve smyslu čl. 23 odst. 1) písm. b) VPP P-100/14</w:t>
      </w:r>
    </w:p>
    <w:p w14:paraId="320503E2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5)</w:t>
      </w:r>
      <w:r w:rsidRPr="000969FB">
        <w:rPr>
          <w:sz w:val="18"/>
          <w:szCs w:val="18"/>
        </w:rPr>
        <w:tab/>
        <w:t>spoluúčast může být vyjádřena pevnou částkou, procentem, časovým úsekem nebo jejich kombinací ve smyslu čl. 11 odst. 4) VPP P-100/14</w:t>
      </w:r>
    </w:p>
    <w:p w14:paraId="0572CE58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6)</w:t>
      </w:r>
      <w:r w:rsidRPr="000969FB">
        <w:rPr>
          <w:sz w:val="18"/>
          <w:szCs w:val="18"/>
        </w:rPr>
        <w:tab/>
        <w:t>odchylně od čl. 8 odst. 1) věta druhá ZPP P-600/14 poskytne pojistitel na úhradu všech pojistných událostí nastalých během jednoho pojistného roku pojistné plnění v souhrnu maximálně do výše limitu pojistného plnění</w:t>
      </w:r>
    </w:p>
    <w:p w14:paraId="2062C642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7)</w:t>
      </w:r>
      <w:r w:rsidRPr="000969FB">
        <w:rPr>
          <w:sz w:val="18"/>
          <w:szCs w:val="18"/>
        </w:rPr>
        <w:tab/>
        <w:t xml:space="preserve">odchylně od čl. 8 odst. 2) věta třetí ZPP P-600/14 poskytne pojistitel na úhradu všech pojistných událostí nastalých během jednoho pojistného roku pojistné plnění v souhrnu maximálně do výše </w:t>
      </w:r>
      <w:proofErr w:type="spellStart"/>
      <w:r w:rsidRPr="000969FB">
        <w:rPr>
          <w:sz w:val="18"/>
          <w:szCs w:val="18"/>
        </w:rPr>
        <w:t>sublimitu</w:t>
      </w:r>
      <w:proofErr w:type="spellEnd"/>
      <w:r w:rsidRPr="000969FB">
        <w:rPr>
          <w:sz w:val="18"/>
          <w:szCs w:val="18"/>
        </w:rPr>
        <w:t xml:space="preserve"> pojistného plnění</w:t>
      </w:r>
    </w:p>
    <w:p w14:paraId="085CA5FA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5E3FA2">
        <w:rPr>
          <w:b/>
          <w:sz w:val="18"/>
          <w:szCs w:val="18"/>
          <w:vertAlign w:val="superscript"/>
        </w:rPr>
        <w:t>8)</w:t>
      </w:r>
      <w:r w:rsidRPr="005E3FA2">
        <w:rPr>
          <w:sz w:val="18"/>
          <w:szCs w:val="18"/>
        </w:rPr>
        <w:tab/>
        <w:t>dobou ručení se rozumí doba ve smyslu čl. 11 odst. 5) ZPP P-400/14, resp. čl. 14 odst. 2) DPP P-330/16, resp. čl. 20 odst. 4) DPP P-340/16</w:t>
      </w:r>
    </w:p>
    <w:p w14:paraId="65580CAF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9)</w:t>
      </w:r>
      <w:r w:rsidRPr="000969FB">
        <w:rPr>
          <w:sz w:val="18"/>
          <w:szCs w:val="18"/>
        </w:rPr>
        <w:tab/>
        <w:t>integrální časová franšíza je časový úsek specifikovaný několika pracovními dny. Právo na pojistné plnění vzniká jen tehdy, je-li přerušení nebo omezení provozu pojištěného delší než tento počet pracovních dní. Je-li však přerušení nebo omezení provozu pojištěného delší než tento počet pracovních dní, nemá integrální časová franšíza</w:t>
      </w:r>
      <w:r>
        <w:rPr>
          <w:sz w:val="18"/>
          <w:szCs w:val="18"/>
        </w:rPr>
        <w:t xml:space="preserve"> vliv na výši pojistného plnění</w:t>
      </w:r>
    </w:p>
    <w:p w14:paraId="7DEB7D7F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10)</w:t>
      </w:r>
      <w:r w:rsidRPr="000969FB">
        <w:rPr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14:paraId="4E3A6EDE" w14:textId="77777777" w:rsidR="005E3FA2" w:rsidRPr="000969FB" w:rsidRDefault="005E3FA2" w:rsidP="005E3FA2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11)</w:t>
      </w:r>
      <w:r w:rsidRPr="000969FB">
        <w:rPr>
          <w:sz w:val="18"/>
          <w:szCs w:val="18"/>
        </w:rPr>
        <w:tab/>
        <w:t>MRLPPR je horní hranicí plnění pojistitele v souhrnu ze všech pojistných událostí, u nichž věcná škoda, která byla důvodem jejich vzniku, nastala během jednoho pojistného roku. Je-li pojištění přerušení provozu sjednáno na dobu kratší než jeden pojistný rok, je MRLPPR horní hranicí plnění pojistitele v souhrnu ze všech pojistných událostí, u nichž věcná škoda, která byla důvodem jejich vzniku, nastala během doby trvání pojištění. Není-li sjednán limit plnění pojistitele pro jednu pojistnou událost, považuje se sjednaný MRLPPR i za limit plnění pojistite</w:t>
      </w:r>
      <w:r>
        <w:rPr>
          <w:sz w:val="18"/>
          <w:szCs w:val="18"/>
        </w:rPr>
        <w:t>le pro jednu pojistnou událost</w:t>
      </w:r>
    </w:p>
    <w:p w14:paraId="32BC0CB2" w14:textId="77777777" w:rsidR="005E3FA2" w:rsidRDefault="005E3FA2" w:rsidP="00E32A78">
      <w:pPr>
        <w:tabs>
          <w:tab w:val="left" w:pos="227"/>
        </w:tabs>
        <w:ind w:left="227" w:hanging="227"/>
        <w:rPr>
          <w:sz w:val="18"/>
          <w:szCs w:val="18"/>
        </w:rPr>
      </w:pPr>
      <w:r w:rsidRPr="000969FB">
        <w:rPr>
          <w:b/>
          <w:sz w:val="18"/>
          <w:szCs w:val="18"/>
          <w:vertAlign w:val="superscript"/>
        </w:rPr>
        <w:t>12)</w:t>
      </w:r>
      <w:r w:rsidRPr="000969FB">
        <w:rPr>
          <w:sz w:val="18"/>
          <w:szCs w:val="18"/>
        </w:rPr>
        <w:tab/>
        <w:t>MRLPPR v rámci pojistné částky stanovené ve smyslu ustanovení čl. 23 odst. 1) písm. c) VPP P-100/14 a sjednané pro ušlý zisk a stálé náklady pojištěného v příslušné tabulce pojištění pro případ přerušení nebo omezení provozu</w:t>
      </w:r>
    </w:p>
    <w:p w14:paraId="733FDE87" w14:textId="5A087DD3" w:rsidR="00263019" w:rsidRDefault="00263019" w:rsidP="00D7357B">
      <w:pPr>
        <w:ind w:left="284" w:hanging="284"/>
        <w:rPr>
          <w:sz w:val="20"/>
          <w:szCs w:val="20"/>
        </w:rPr>
      </w:pPr>
    </w:p>
    <w:p w14:paraId="4E68F528" w14:textId="77777777" w:rsidR="000103CD" w:rsidRDefault="000103CD" w:rsidP="000103CD">
      <w:pPr>
        <w:pStyle w:val="Odstavecseseznamem"/>
        <w:keepNext/>
        <w:numPr>
          <w:ilvl w:val="0"/>
          <w:numId w:val="36"/>
        </w:numPr>
        <w:spacing w:before="120" w:after="120" w:line="240" w:lineRule="auto"/>
        <w:contextualSpacing w:val="0"/>
        <w:jc w:val="both"/>
        <w:rPr>
          <w:rFonts w:ascii="Koop Office" w:hAnsi="Koop Office" w:cs="Arial"/>
          <w:b/>
          <w:i/>
          <w:sz w:val="20"/>
          <w:szCs w:val="20"/>
        </w:rPr>
      </w:pPr>
      <w:r>
        <w:rPr>
          <w:rFonts w:ascii="Koop Office" w:hAnsi="Koop Office" w:cs="Arial"/>
          <w:b/>
          <w:i/>
          <w:sz w:val="20"/>
          <w:szCs w:val="20"/>
        </w:rPr>
        <w:t>Čl. III. (Výše a způsob placení pojistného) se doplňuje takto:</w:t>
      </w:r>
    </w:p>
    <w:p w14:paraId="2B91E5BC" w14:textId="7B75C535" w:rsidR="000103CD" w:rsidRDefault="000103CD" w:rsidP="000103CD">
      <w:pPr>
        <w:ind w:hanging="11"/>
        <w:jc w:val="both"/>
        <w:rPr>
          <w:rFonts w:cs="Arial"/>
          <w:b/>
          <w:sz w:val="20"/>
          <w:u w:val="single"/>
        </w:rPr>
      </w:pPr>
      <w:r w:rsidRPr="00B94D4E">
        <w:rPr>
          <w:rFonts w:cs="Arial"/>
          <w:sz w:val="20"/>
        </w:rPr>
        <w:t xml:space="preserve">S ohledem na tímto dodatkem provedené </w:t>
      </w:r>
      <w:r>
        <w:rPr>
          <w:rFonts w:cs="Arial"/>
          <w:sz w:val="20"/>
        </w:rPr>
        <w:t xml:space="preserve">rozšíření </w:t>
      </w:r>
      <w:r w:rsidRPr="00B94D4E">
        <w:rPr>
          <w:rFonts w:cs="Arial"/>
          <w:sz w:val="20"/>
        </w:rPr>
        <w:t>pojistného krytí dochází k</w:t>
      </w:r>
      <w:r>
        <w:rPr>
          <w:rFonts w:cs="Arial"/>
          <w:sz w:val="20"/>
        </w:rPr>
        <w:t xml:space="preserve">e zvýšení </w:t>
      </w:r>
      <w:r w:rsidRPr="00B94D4E">
        <w:rPr>
          <w:rFonts w:cs="Arial"/>
          <w:sz w:val="20"/>
        </w:rPr>
        <w:t xml:space="preserve">pojistného za pojistnou ochranu v době </w:t>
      </w:r>
      <w:r w:rsidRPr="00B94D4E">
        <w:rPr>
          <w:rFonts w:cs="Arial"/>
          <w:b/>
          <w:sz w:val="20"/>
        </w:rPr>
        <w:t xml:space="preserve">od </w:t>
      </w:r>
      <w:r>
        <w:rPr>
          <w:rFonts w:cs="Arial"/>
          <w:b/>
          <w:sz w:val="20"/>
        </w:rPr>
        <w:t>03</w:t>
      </w:r>
      <w:r w:rsidRPr="00B94D4E">
        <w:rPr>
          <w:rFonts w:cs="Arial"/>
          <w:b/>
          <w:sz w:val="20"/>
        </w:rPr>
        <w:t>. </w:t>
      </w:r>
      <w:r>
        <w:rPr>
          <w:rFonts w:cs="Arial"/>
          <w:b/>
          <w:sz w:val="20"/>
        </w:rPr>
        <w:t>12</w:t>
      </w:r>
      <w:r w:rsidRPr="00B94D4E">
        <w:rPr>
          <w:rFonts w:cs="Arial"/>
          <w:b/>
          <w:sz w:val="20"/>
        </w:rPr>
        <w:t>. 20</w:t>
      </w:r>
      <w:r>
        <w:rPr>
          <w:rFonts w:cs="Arial"/>
          <w:b/>
          <w:sz w:val="20"/>
        </w:rPr>
        <w:t>2</w:t>
      </w:r>
      <w:r w:rsidRPr="00B94D4E">
        <w:rPr>
          <w:rFonts w:cs="Arial"/>
          <w:b/>
          <w:sz w:val="20"/>
        </w:rPr>
        <w:t xml:space="preserve">1 do </w:t>
      </w:r>
      <w:r>
        <w:rPr>
          <w:rFonts w:cs="Arial"/>
          <w:b/>
          <w:sz w:val="20"/>
        </w:rPr>
        <w:t>04</w:t>
      </w:r>
      <w:r w:rsidRPr="00B94D4E">
        <w:rPr>
          <w:rFonts w:cs="Arial"/>
          <w:b/>
          <w:sz w:val="20"/>
        </w:rPr>
        <w:t>. </w:t>
      </w:r>
      <w:r>
        <w:rPr>
          <w:rFonts w:cs="Arial"/>
          <w:b/>
          <w:sz w:val="20"/>
        </w:rPr>
        <w:t>11</w:t>
      </w:r>
      <w:r w:rsidRPr="00B94D4E">
        <w:rPr>
          <w:rFonts w:cs="Arial"/>
          <w:b/>
          <w:sz w:val="20"/>
        </w:rPr>
        <w:t>. 20</w:t>
      </w:r>
      <w:r>
        <w:rPr>
          <w:rFonts w:cs="Arial"/>
          <w:b/>
          <w:sz w:val="20"/>
        </w:rPr>
        <w:t>22</w:t>
      </w:r>
      <w:r w:rsidRPr="00B94D4E">
        <w:rPr>
          <w:rFonts w:cs="Arial"/>
          <w:b/>
          <w:sz w:val="20"/>
        </w:rPr>
        <w:t>.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 xml:space="preserve">Pojistné </w:t>
      </w:r>
      <w:r w:rsidRPr="00B94D4E">
        <w:rPr>
          <w:rFonts w:cs="Arial"/>
          <w:sz w:val="20"/>
        </w:rPr>
        <w:t xml:space="preserve">za změny provedené tímto dodatkem po odečtení poskytnutých slev činí </w:t>
      </w:r>
      <w:r w:rsidRPr="005E7987">
        <w:rPr>
          <w:rFonts w:cs="Arial"/>
          <w:b/>
          <w:bCs/>
          <w:sz w:val="20"/>
          <w:u w:val="single"/>
        </w:rPr>
        <w:t>181 116</w:t>
      </w:r>
      <w:r w:rsidRPr="005E7987">
        <w:rPr>
          <w:rFonts w:cs="Arial"/>
          <w:b/>
          <w:sz w:val="20"/>
          <w:u w:val="single"/>
        </w:rPr>
        <w:t> Kč</w:t>
      </w:r>
      <w:r>
        <w:rPr>
          <w:rFonts w:cs="Arial"/>
          <w:bCs/>
          <w:sz w:val="20"/>
        </w:rPr>
        <w:t xml:space="preserve"> a je splatné</w:t>
      </w:r>
      <w:r w:rsidRPr="005E7987">
        <w:rPr>
          <w:rFonts w:cs="Arial"/>
          <w:b/>
          <w:sz w:val="20"/>
        </w:rPr>
        <w:t xml:space="preserve"> </w:t>
      </w:r>
      <w:r w:rsidRPr="005E7987">
        <w:rPr>
          <w:rFonts w:cs="Arial"/>
          <w:b/>
          <w:sz w:val="20"/>
          <w:u w:val="single"/>
        </w:rPr>
        <w:t>k </w:t>
      </w:r>
      <w:r w:rsidR="005E7987" w:rsidRPr="005E7987">
        <w:rPr>
          <w:rFonts w:cs="Arial"/>
          <w:b/>
          <w:sz w:val="20"/>
          <w:u w:val="single"/>
        </w:rPr>
        <w:t>05</w:t>
      </w:r>
      <w:r w:rsidRPr="005E7987">
        <w:rPr>
          <w:rFonts w:cs="Arial"/>
          <w:b/>
          <w:sz w:val="20"/>
          <w:u w:val="single"/>
        </w:rPr>
        <w:t>. </w:t>
      </w:r>
      <w:r w:rsidR="005E7987" w:rsidRPr="005E7987">
        <w:rPr>
          <w:rFonts w:cs="Arial"/>
          <w:b/>
          <w:sz w:val="20"/>
          <w:u w:val="single"/>
        </w:rPr>
        <w:t>02</w:t>
      </w:r>
      <w:r w:rsidRPr="005E7987">
        <w:rPr>
          <w:rFonts w:cs="Arial"/>
          <w:b/>
          <w:sz w:val="20"/>
          <w:u w:val="single"/>
        </w:rPr>
        <w:t>. 202</w:t>
      </w:r>
      <w:r w:rsidR="005E7987" w:rsidRPr="005E7987">
        <w:rPr>
          <w:rFonts w:cs="Arial"/>
          <w:b/>
          <w:sz w:val="20"/>
          <w:u w:val="single"/>
        </w:rPr>
        <w:t>2</w:t>
      </w:r>
      <w:r w:rsidRPr="005E7987">
        <w:rPr>
          <w:rFonts w:cs="Arial"/>
          <w:b/>
          <w:sz w:val="20"/>
          <w:u w:val="single"/>
        </w:rPr>
        <w:t>.</w:t>
      </w:r>
      <w:r w:rsidRPr="005E7987">
        <w:rPr>
          <w:rFonts w:cs="Arial"/>
          <w:b/>
          <w:sz w:val="20"/>
        </w:rPr>
        <w:t xml:space="preserve"> </w:t>
      </w:r>
    </w:p>
    <w:p w14:paraId="17272DD9" w14:textId="184B005B" w:rsidR="000103CD" w:rsidRPr="00B94D4E" w:rsidRDefault="000103CD" w:rsidP="000103CD">
      <w:pPr>
        <w:jc w:val="both"/>
        <w:rPr>
          <w:rFonts w:cs="Arial"/>
          <w:sz w:val="20"/>
        </w:rPr>
      </w:pPr>
      <w:r w:rsidRPr="00A735B5">
        <w:rPr>
          <w:sz w:val="20"/>
          <w:szCs w:val="22"/>
        </w:rPr>
        <w:t xml:space="preserve">Pojistník je povinen uhradit pojistné v uvedené výši </w:t>
      </w:r>
      <w:r w:rsidRPr="005E7987">
        <w:rPr>
          <w:b/>
          <w:bCs/>
          <w:sz w:val="20"/>
          <w:szCs w:val="22"/>
        </w:rPr>
        <w:t>na účet pojistitele č. </w:t>
      </w:r>
      <w:proofErr w:type="spellStart"/>
      <w:r w:rsidRPr="005E7987">
        <w:rPr>
          <w:b/>
          <w:bCs/>
          <w:sz w:val="20"/>
          <w:szCs w:val="22"/>
        </w:rPr>
        <w:t>ú.</w:t>
      </w:r>
      <w:proofErr w:type="spellEnd"/>
      <w:r w:rsidRPr="005E7987">
        <w:rPr>
          <w:b/>
          <w:bCs/>
          <w:sz w:val="20"/>
          <w:szCs w:val="22"/>
        </w:rPr>
        <w:t xml:space="preserve"> </w:t>
      </w:r>
      <w:proofErr w:type="spellStart"/>
      <w:r w:rsidR="00653634">
        <w:rPr>
          <w:b/>
          <w:bCs/>
          <w:sz w:val="20"/>
          <w:szCs w:val="22"/>
        </w:rPr>
        <w:t>xxxxxxxxxxxx</w:t>
      </w:r>
      <w:proofErr w:type="spellEnd"/>
      <w:r w:rsidRPr="00A735B5">
        <w:rPr>
          <w:sz w:val="20"/>
          <w:szCs w:val="22"/>
        </w:rPr>
        <w:t xml:space="preserve">, variabilní symbol: </w:t>
      </w:r>
      <w:r>
        <w:rPr>
          <w:sz w:val="20"/>
          <w:szCs w:val="22"/>
        </w:rPr>
        <w:t>7721137419.</w:t>
      </w:r>
    </w:p>
    <w:p w14:paraId="55169B6C" w14:textId="77777777" w:rsidR="000103CD" w:rsidRDefault="000103CD" w:rsidP="000103CD">
      <w:pPr>
        <w:pStyle w:val="Styl10bZarovnatdobloku"/>
      </w:pPr>
    </w:p>
    <w:p w14:paraId="5F5563E9" w14:textId="4DFA2E12" w:rsidR="000103CD" w:rsidRDefault="000103CD" w:rsidP="000103CD">
      <w:pPr>
        <w:pStyle w:val="Odstavecseseznamem"/>
        <w:keepNext/>
        <w:numPr>
          <w:ilvl w:val="0"/>
          <w:numId w:val="36"/>
        </w:numPr>
        <w:spacing w:before="120" w:after="120" w:line="240" w:lineRule="auto"/>
        <w:contextualSpacing w:val="0"/>
        <w:jc w:val="both"/>
        <w:rPr>
          <w:rFonts w:ascii="Koop Office" w:hAnsi="Koop Office" w:cs="Arial"/>
          <w:b/>
          <w:i/>
          <w:sz w:val="20"/>
          <w:szCs w:val="20"/>
        </w:rPr>
      </w:pPr>
      <w:r>
        <w:rPr>
          <w:rFonts w:ascii="Koop Office" w:hAnsi="Koop Office" w:cs="Arial"/>
          <w:b/>
          <w:i/>
          <w:sz w:val="20"/>
          <w:szCs w:val="20"/>
        </w:rPr>
        <w:t xml:space="preserve">Čl. III. (Výše a způsob placení pojistného) od </w:t>
      </w:r>
      <w:r>
        <w:rPr>
          <w:rFonts w:ascii="Koop Office" w:hAnsi="Koop Office" w:cs="Arial"/>
          <w:b/>
          <w:i/>
          <w:sz w:val="20"/>
          <w:szCs w:val="20"/>
          <w:u w:val="single"/>
        </w:rPr>
        <w:t>05. 11. </w:t>
      </w:r>
      <w:r w:rsidRPr="000A5FF9">
        <w:rPr>
          <w:rFonts w:ascii="Koop Office" w:hAnsi="Koop Office" w:cs="Arial"/>
          <w:b/>
          <w:i/>
          <w:sz w:val="20"/>
          <w:szCs w:val="20"/>
          <w:u w:val="single"/>
        </w:rPr>
        <w:t>2022</w:t>
      </w:r>
      <w:r>
        <w:rPr>
          <w:rFonts w:ascii="Koop Office" w:hAnsi="Koop Office" w:cs="Arial"/>
          <w:b/>
          <w:i/>
          <w:sz w:val="20"/>
          <w:szCs w:val="20"/>
        </w:rPr>
        <w:t xml:space="preserve"> nově zní:</w:t>
      </w:r>
    </w:p>
    <w:p w14:paraId="047ABF88" w14:textId="25A5361D" w:rsidR="00AB2CAD" w:rsidRPr="006368D9" w:rsidRDefault="00AB2CAD" w:rsidP="00B44FFA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bookmarkStart w:id="19" w:name="_Toc367839357"/>
      <w:r w:rsidRPr="006368D9">
        <w:rPr>
          <w:rFonts w:cs="Arial"/>
          <w:b/>
          <w:sz w:val="24"/>
        </w:rPr>
        <w:t>Článek III.</w:t>
      </w:r>
    </w:p>
    <w:p w14:paraId="74127123" w14:textId="77777777" w:rsidR="00AB2CAD" w:rsidRPr="006368D9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14:paraId="028B366B" w14:textId="77777777" w:rsidR="00AB2CAD" w:rsidRDefault="00AB2CAD" w:rsidP="00F17EE0">
      <w:pPr>
        <w:keepNext/>
        <w:numPr>
          <w:ilvl w:val="0"/>
          <w:numId w:val="12"/>
        </w:numPr>
        <w:tabs>
          <w:tab w:val="left" w:pos="-1418"/>
        </w:tabs>
        <w:spacing w:before="240"/>
        <w:jc w:val="both"/>
        <w:rPr>
          <w:rFonts w:cs="Arial"/>
          <w:sz w:val="20"/>
        </w:rPr>
      </w:pPr>
      <w:r w:rsidRPr="0080593D">
        <w:rPr>
          <w:rFonts w:cs="Arial"/>
          <w:sz w:val="20"/>
        </w:rPr>
        <w:t>Pojistné za jeden pojistný rok činí:</w:t>
      </w:r>
    </w:p>
    <w:p w14:paraId="31B34D29" w14:textId="77777777" w:rsidR="00AB2CAD" w:rsidRPr="006368D9" w:rsidRDefault="00AB2CAD" w:rsidP="00741B06">
      <w:pPr>
        <w:keepNext/>
        <w:numPr>
          <w:ilvl w:val="0"/>
          <w:numId w:val="11"/>
        </w:numPr>
        <w:tabs>
          <w:tab w:val="clear" w:pos="425"/>
          <w:tab w:val="left" w:pos="-720"/>
        </w:tabs>
        <w:spacing w:before="120"/>
        <w:ind w:left="993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</w:p>
    <w:p w14:paraId="46A3F0C4" w14:textId="63115500" w:rsidR="00AB2CAD" w:rsidRPr="006368D9" w:rsidRDefault="00AB2CAD" w:rsidP="0080593D">
      <w:pPr>
        <w:numPr>
          <w:ilvl w:val="12"/>
          <w:numId w:val="0"/>
        </w:numPr>
        <w:tabs>
          <w:tab w:val="right" w:leader="dot" w:pos="9638"/>
        </w:tabs>
        <w:ind w:left="993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0103CD">
        <w:rPr>
          <w:rFonts w:cs="Arial"/>
          <w:sz w:val="20"/>
        </w:rPr>
        <w:t>765</w:t>
      </w:r>
      <w:r w:rsidR="00B12D3B">
        <w:rPr>
          <w:rFonts w:cs="Arial"/>
          <w:sz w:val="20"/>
        </w:rPr>
        <w:t> </w:t>
      </w:r>
      <w:r w:rsidR="000103CD">
        <w:rPr>
          <w:rFonts w:cs="Arial"/>
          <w:sz w:val="20"/>
        </w:rPr>
        <w:t>082</w:t>
      </w:r>
      <w:r w:rsidR="001A1869">
        <w:rPr>
          <w:rFonts w:cs="Arial"/>
          <w:sz w:val="20"/>
        </w:rPr>
        <w:t> </w:t>
      </w:r>
      <w:r w:rsidRPr="006368D9">
        <w:rPr>
          <w:rFonts w:cs="Arial"/>
          <w:sz w:val="20"/>
        </w:rPr>
        <w:t>Kč</w:t>
      </w:r>
    </w:p>
    <w:p w14:paraId="1A587C00" w14:textId="77777777" w:rsidR="00AB2CAD" w:rsidRPr="006368D9" w:rsidRDefault="00AB2CAD" w:rsidP="00B44FFA">
      <w:pPr>
        <w:keepNext/>
        <w:numPr>
          <w:ilvl w:val="0"/>
          <w:numId w:val="11"/>
        </w:numPr>
        <w:tabs>
          <w:tab w:val="clear" w:pos="425"/>
          <w:tab w:val="left" w:pos="-720"/>
        </w:tabs>
        <w:spacing w:before="60"/>
        <w:ind w:left="992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Pojištění pro případ odcizení </w:t>
      </w:r>
    </w:p>
    <w:p w14:paraId="4F99DBF3" w14:textId="7FF4C0BF" w:rsidR="00AB2CAD" w:rsidRPr="006368D9" w:rsidRDefault="001A1869" w:rsidP="0080593D">
      <w:pPr>
        <w:numPr>
          <w:ilvl w:val="12"/>
          <w:numId w:val="0"/>
        </w:numPr>
        <w:tabs>
          <w:tab w:val="right" w:leader="dot" w:pos="9638"/>
        </w:tabs>
        <w:ind w:left="99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Pojistné </w:t>
      </w:r>
      <w:r>
        <w:rPr>
          <w:rFonts w:cs="Arial"/>
          <w:sz w:val="20"/>
        </w:rPr>
        <w:tab/>
        <w:t xml:space="preserve"> </w:t>
      </w:r>
      <w:r w:rsidR="000103CD">
        <w:rPr>
          <w:rFonts w:cs="Arial"/>
          <w:sz w:val="20"/>
        </w:rPr>
        <w:t>46</w:t>
      </w:r>
      <w:r w:rsidR="00B12D3B">
        <w:rPr>
          <w:rFonts w:cs="Arial"/>
          <w:sz w:val="20"/>
        </w:rPr>
        <w:t> </w:t>
      </w:r>
      <w:r w:rsidR="0067485C">
        <w:rPr>
          <w:rFonts w:cs="Arial"/>
          <w:sz w:val="20"/>
        </w:rPr>
        <w:t>0</w:t>
      </w:r>
      <w:r w:rsidR="00B12D3B">
        <w:rPr>
          <w:rFonts w:cs="Arial"/>
          <w:sz w:val="20"/>
        </w:rPr>
        <w:t>00</w:t>
      </w:r>
      <w:r>
        <w:rPr>
          <w:rFonts w:cs="Arial"/>
          <w:sz w:val="20"/>
        </w:rPr>
        <w:t> </w:t>
      </w:r>
      <w:r w:rsidR="00AB2CAD" w:rsidRPr="006368D9">
        <w:rPr>
          <w:rFonts w:cs="Arial"/>
          <w:sz w:val="20"/>
        </w:rPr>
        <w:t>Kč</w:t>
      </w:r>
    </w:p>
    <w:p w14:paraId="5C97CBD9" w14:textId="77777777" w:rsidR="00AB2CAD" w:rsidRPr="006368D9" w:rsidRDefault="00AB2CAD" w:rsidP="00B44FFA">
      <w:pPr>
        <w:keepNext/>
        <w:numPr>
          <w:ilvl w:val="0"/>
          <w:numId w:val="11"/>
        </w:numPr>
        <w:tabs>
          <w:tab w:val="clear" w:pos="425"/>
          <w:tab w:val="left" w:pos="-720"/>
        </w:tabs>
        <w:spacing w:before="60"/>
        <w:ind w:left="992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pro případ vandalismu</w:t>
      </w:r>
    </w:p>
    <w:p w14:paraId="4674241D" w14:textId="00F6F302" w:rsidR="00AB2CAD" w:rsidRPr="006368D9" w:rsidRDefault="001A1869" w:rsidP="0080593D">
      <w:pPr>
        <w:numPr>
          <w:ilvl w:val="12"/>
          <w:numId w:val="0"/>
        </w:numPr>
        <w:tabs>
          <w:tab w:val="right" w:leader="dot" w:pos="9638"/>
        </w:tabs>
        <w:ind w:left="99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Pojistné </w:t>
      </w:r>
      <w:r>
        <w:rPr>
          <w:rFonts w:cs="Arial"/>
          <w:sz w:val="20"/>
        </w:rPr>
        <w:tab/>
        <w:t xml:space="preserve"> </w:t>
      </w:r>
      <w:r w:rsidR="000103CD">
        <w:rPr>
          <w:rFonts w:cs="Arial"/>
          <w:sz w:val="20"/>
        </w:rPr>
        <w:t>48 720</w:t>
      </w:r>
      <w:r>
        <w:rPr>
          <w:rFonts w:cs="Arial"/>
          <w:sz w:val="20"/>
        </w:rPr>
        <w:t> </w:t>
      </w:r>
      <w:r w:rsidR="00AB2CAD" w:rsidRPr="006368D9">
        <w:rPr>
          <w:rFonts w:cs="Arial"/>
          <w:sz w:val="20"/>
        </w:rPr>
        <w:t>Kč</w:t>
      </w:r>
    </w:p>
    <w:p w14:paraId="709A5608" w14:textId="77777777" w:rsidR="00AB2CAD" w:rsidRPr="006368D9" w:rsidRDefault="00AB2CAD" w:rsidP="00B44FFA">
      <w:pPr>
        <w:keepNext/>
        <w:numPr>
          <w:ilvl w:val="0"/>
          <w:numId w:val="11"/>
        </w:numPr>
        <w:tabs>
          <w:tab w:val="clear" w:pos="425"/>
          <w:tab w:val="left" w:pos="-720"/>
        </w:tabs>
        <w:spacing w:before="60"/>
        <w:ind w:left="992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strojů</w:t>
      </w:r>
    </w:p>
    <w:p w14:paraId="6BE36784" w14:textId="62EB1F73" w:rsidR="00AB2CAD" w:rsidRPr="006368D9" w:rsidRDefault="001A1869" w:rsidP="0080593D">
      <w:pPr>
        <w:numPr>
          <w:ilvl w:val="12"/>
          <w:numId w:val="0"/>
        </w:numPr>
        <w:tabs>
          <w:tab w:val="right" w:leader="dot" w:pos="9638"/>
        </w:tabs>
        <w:ind w:left="99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Pojistné </w:t>
      </w:r>
      <w:r>
        <w:rPr>
          <w:rFonts w:cs="Arial"/>
          <w:sz w:val="20"/>
        </w:rPr>
        <w:tab/>
        <w:t xml:space="preserve"> </w:t>
      </w:r>
      <w:r w:rsidR="00B12D3B">
        <w:rPr>
          <w:rFonts w:cs="Arial"/>
          <w:sz w:val="20"/>
        </w:rPr>
        <w:t>1</w:t>
      </w:r>
      <w:r w:rsidR="000103CD">
        <w:rPr>
          <w:rFonts w:cs="Arial"/>
          <w:sz w:val="20"/>
        </w:rPr>
        <w:t>92</w:t>
      </w:r>
      <w:r w:rsidR="00B12D3B">
        <w:rPr>
          <w:rFonts w:cs="Arial"/>
          <w:sz w:val="20"/>
        </w:rPr>
        <w:t> 000</w:t>
      </w:r>
      <w:r>
        <w:rPr>
          <w:rFonts w:cs="Arial"/>
          <w:sz w:val="20"/>
        </w:rPr>
        <w:t> </w:t>
      </w:r>
      <w:r w:rsidR="00AB2CAD" w:rsidRPr="006368D9">
        <w:rPr>
          <w:rFonts w:cs="Arial"/>
          <w:sz w:val="20"/>
        </w:rPr>
        <w:t>Kč</w:t>
      </w:r>
    </w:p>
    <w:p w14:paraId="0E07217A" w14:textId="77777777" w:rsidR="00AB2CAD" w:rsidRPr="006368D9" w:rsidRDefault="00AB2CAD" w:rsidP="00B44FFA">
      <w:pPr>
        <w:keepNext/>
        <w:numPr>
          <w:ilvl w:val="0"/>
          <w:numId w:val="11"/>
        </w:numPr>
        <w:tabs>
          <w:tab w:val="clear" w:pos="425"/>
          <w:tab w:val="left" w:pos="-720"/>
        </w:tabs>
        <w:spacing w:before="60"/>
        <w:ind w:left="992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elektronických zařízení</w:t>
      </w:r>
    </w:p>
    <w:p w14:paraId="429BF5CD" w14:textId="51071088" w:rsidR="00AB2CAD" w:rsidRPr="006368D9" w:rsidRDefault="001A1869" w:rsidP="0080593D">
      <w:pPr>
        <w:numPr>
          <w:ilvl w:val="12"/>
          <w:numId w:val="0"/>
        </w:numPr>
        <w:tabs>
          <w:tab w:val="right" w:leader="dot" w:pos="9638"/>
        </w:tabs>
        <w:ind w:left="99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Pojistné </w:t>
      </w:r>
      <w:r>
        <w:rPr>
          <w:rFonts w:cs="Arial"/>
          <w:sz w:val="20"/>
        </w:rPr>
        <w:tab/>
        <w:t xml:space="preserve"> </w:t>
      </w:r>
      <w:r w:rsidR="000103CD">
        <w:rPr>
          <w:rFonts w:cs="Arial"/>
          <w:sz w:val="20"/>
        </w:rPr>
        <w:t>7</w:t>
      </w:r>
      <w:r w:rsidR="00B12D3B">
        <w:rPr>
          <w:rFonts w:cs="Arial"/>
          <w:sz w:val="20"/>
        </w:rPr>
        <w:t>3 000</w:t>
      </w:r>
      <w:r>
        <w:rPr>
          <w:rFonts w:cs="Arial"/>
          <w:sz w:val="20"/>
        </w:rPr>
        <w:t> </w:t>
      </w:r>
      <w:r w:rsidR="00AB2CAD" w:rsidRPr="006368D9">
        <w:rPr>
          <w:rFonts w:cs="Arial"/>
          <w:sz w:val="20"/>
        </w:rPr>
        <w:t>Kč</w:t>
      </w:r>
    </w:p>
    <w:p w14:paraId="743180F4" w14:textId="77777777" w:rsidR="00AB2CAD" w:rsidRPr="006368D9" w:rsidRDefault="00AB2CAD" w:rsidP="00B44FFA">
      <w:pPr>
        <w:keepNext/>
        <w:numPr>
          <w:ilvl w:val="0"/>
          <w:numId w:val="11"/>
        </w:numPr>
        <w:tabs>
          <w:tab w:val="clear" w:pos="425"/>
          <w:tab w:val="left" w:pos="-720"/>
        </w:tabs>
        <w:spacing w:before="60"/>
        <w:ind w:left="992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lastRenderedPageBreak/>
        <w:t xml:space="preserve">Pojištění přerušení nebo omezení provozu </w:t>
      </w:r>
    </w:p>
    <w:p w14:paraId="2A2CF56C" w14:textId="77777777" w:rsidR="00AB2CAD" w:rsidRPr="006368D9" w:rsidRDefault="001A1869" w:rsidP="0080593D">
      <w:pPr>
        <w:numPr>
          <w:ilvl w:val="12"/>
          <w:numId w:val="0"/>
        </w:numPr>
        <w:tabs>
          <w:tab w:val="right" w:leader="dot" w:pos="9638"/>
        </w:tabs>
        <w:ind w:left="99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Pojistné </w:t>
      </w:r>
      <w:r>
        <w:rPr>
          <w:rFonts w:cs="Arial"/>
          <w:sz w:val="20"/>
        </w:rPr>
        <w:tab/>
        <w:t xml:space="preserve"> </w:t>
      </w:r>
      <w:r w:rsidR="00B12D3B">
        <w:rPr>
          <w:rFonts w:cs="Arial"/>
          <w:sz w:val="20"/>
        </w:rPr>
        <w:t>10 000</w:t>
      </w:r>
      <w:r>
        <w:rPr>
          <w:rFonts w:cs="Arial"/>
          <w:sz w:val="20"/>
        </w:rPr>
        <w:t> </w:t>
      </w:r>
      <w:r w:rsidR="00AB2CAD" w:rsidRPr="006368D9">
        <w:rPr>
          <w:rFonts w:cs="Arial"/>
          <w:sz w:val="20"/>
        </w:rPr>
        <w:t>Kč</w:t>
      </w:r>
    </w:p>
    <w:p w14:paraId="19CFEF8D" w14:textId="77777777" w:rsidR="00AB2CAD" w:rsidRPr="006368D9" w:rsidRDefault="00AB2CAD" w:rsidP="00B44FFA">
      <w:pPr>
        <w:keepNext/>
        <w:numPr>
          <w:ilvl w:val="0"/>
          <w:numId w:val="11"/>
        </w:numPr>
        <w:tabs>
          <w:tab w:val="clear" w:pos="425"/>
          <w:tab w:val="left" w:pos="-720"/>
        </w:tabs>
        <w:spacing w:before="60"/>
        <w:ind w:left="992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odpovědnosti za újmu</w:t>
      </w:r>
    </w:p>
    <w:p w14:paraId="5925BA5B" w14:textId="77777777" w:rsidR="00AB2CAD" w:rsidRPr="006368D9" w:rsidRDefault="001A1869" w:rsidP="00FB4CEE">
      <w:pPr>
        <w:keepNext/>
        <w:numPr>
          <w:ilvl w:val="12"/>
          <w:numId w:val="0"/>
        </w:numPr>
        <w:tabs>
          <w:tab w:val="right" w:leader="dot" w:pos="9638"/>
        </w:tabs>
        <w:ind w:left="992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Pojistné </w:t>
      </w:r>
      <w:r>
        <w:rPr>
          <w:rFonts w:cs="Arial"/>
          <w:sz w:val="20"/>
        </w:rPr>
        <w:tab/>
        <w:t xml:space="preserve"> </w:t>
      </w:r>
      <w:r w:rsidR="00516CFC">
        <w:rPr>
          <w:rFonts w:cs="Arial"/>
          <w:sz w:val="20"/>
        </w:rPr>
        <w:t>178</w:t>
      </w:r>
      <w:r w:rsidR="00B12D3B">
        <w:rPr>
          <w:rFonts w:cs="Arial"/>
          <w:sz w:val="20"/>
        </w:rPr>
        <w:t> 000</w:t>
      </w:r>
      <w:r>
        <w:rPr>
          <w:rFonts w:cs="Arial"/>
          <w:sz w:val="20"/>
        </w:rPr>
        <w:t> </w:t>
      </w:r>
      <w:r w:rsidR="00AB2CAD" w:rsidRPr="006368D9">
        <w:rPr>
          <w:rFonts w:cs="Arial"/>
          <w:sz w:val="20"/>
        </w:rPr>
        <w:t>Kč</w:t>
      </w:r>
    </w:p>
    <w:p w14:paraId="176B0F80" w14:textId="17B820F5" w:rsidR="00AB2CAD" w:rsidRPr="006368D9" w:rsidRDefault="00AB2CAD" w:rsidP="00B44FFA">
      <w:pPr>
        <w:keepNext/>
        <w:tabs>
          <w:tab w:val="right" w:leader="dot" w:pos="9639"/>
        </w:tabs>
        <w:spacing w:before="180"/>
        <w:ind w:left="284" w:right="-709" w:firstLine="142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t>Souhrn</w:t>
      </w:r>
      <w:r w:rsidRPr="006368D9">
        <w:rPr>
          <w:rFonts w:cs="Arial"/>
          <w:sz w:val="20"/>
        </w:rPr>
        <w:t xml:space="preserve"> </w:t>
      </w:r>
      <w:r w:rsidRPr="006368D9">
        <w:rPr>
          <w:rFonts w:cs="Arial"/>
          <w:b/>
          <w:sz w:val="20"/>
        </w:rPr>
        <w:t xml:space="preserve">pojistného za sjednaná pojištění </w:t>
      </w:r>
      <w:r w:rsidR="00A65C48" w:rsidRPr="006368D9">
        <w:rPr>
          <w:rFonts w:cs="Arial"/>
          <w:b/>
          <w:sz w:val="20"/>
        </w:rPr>
        <w:t xml:space="preserve">za jeden pojistný rok </w:t>
      </w:r>
      <w:r w:rsidR="001A1869">
        <w:rPr>
          <w:rFonts w:cs="Arial"/>
          <w:b/>
          <w:sz w:val="20"/>
        </w:rPr>
        <w:t xml:space="preserve">činí </w:t>
      </w:r>
      <w:r w:rsidR="001A1869">
        <w:rPr>
          <w:rFonts w:cs="Arial"/>
          <w:b/>
          <w:sz w:val="20"/>
        </w:rPr>
        <w:tab/>
      </w:r>
      <w:r w:rsidR="000E7FF2">
        <w:rPr>
          <w:rFonts w:cs="Arial"/>
          <w:b/>
          <w:sz w:val="20"/>
        </w:rPr>
        <w:t>1 </w:t>
      </w:r>
      <w:r w:rsidR="000103CD">
        <w:rPr>
          <w:rFonts w:cs="Arial"/>
          <w:b/>
          <w:sz w:val="20"/>
        </w:rPr>
        <w:t>312</w:t>
      </w:r>
      <w:r w:rsidR="00B12D3B">
        <w:rPr>
          <w:rFonts w:cs="Arial"/>
          <w:b/>
          <w:sz w:val="20"/>
        </w:rPr>
        <w:t> </w:t>
      </w:r>
      <w:r w:rsidR="000103CD">
        <w:rPr>
          <w:rFonts w:cs="Arial"/>
          <w:b/>
          <w:sz w:val="20"/>
        </w:rPr>
        <w:t>802</w:t>
      </w:r>
      <w:r w:rsidR="001A1869">
        <w:rPr>
          <w:rFonts w:cs="Arial"/>
          <w:b/>
          <w:sz w:val="20"/>
        </w:rPr>
        <w:t> </w:t>
      </w:r>
      <w:r w:rsidRPr="006368D9">
        <w:rPr>
          <w:rFonts w:cs="Arial"/>
          <w:b/>
          <w:sz w:val="20"/>
        </w:rPr>
        <w:t>Kč</w:t>
      </w:r>
    </w:p>
    <w:p w14:paraId="013E5E32" w14:textId="77777777" w:rsidR="00AB2CAD" w:rsidRPr="006368D9" w:rsidRDefault="001A3F5A" w:rsidP="003D1A3B">
      <w:pPr>
        <w:keepNext/>
        <w:tabs>
          <w:tab w:val="right" w:leader="dot" w:pos="9781"/>
        </w:tabs>
        <w:spacing w:before="120"/>
        <w:ind w:left="425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Sleva </w:t>
      </w:r>
      <w:r w:rsidR="00AB2CAD" w:rsidRPr="006368D9">
        <w:rPr>
          <w:rFonts w:cs="Arial"/>
          <w:sz w:val="20"/>
        </w:rPr>
        <w:t>za dobu trvání pojištění činí</w:t>
      </w:r>
      <w:r w:rsidR="00DE4169">
        <w:rPr>
          <w:rFonts w:cs="Arial"/>
          <w:sz w:val="20"/>
        </w:rPr>
        <w:t xml:space="preserve"> 10</w:t>
      </w:r>
      <w:r w:rsidR="003D1A3B">
        <w:rPr>
          <w:rFonts w:cs="Arial"/>
          <w:sz w:val="20"/>
        </w:rPr>
        <w:t>%</w:t>
      </w:r>
    </w:p>
    <w:p w14:paraId="50B05C96" w14:textId="00FF943B" w:rsidR="00AB2CAD" w:rsidRPr="006368D9" w:rsidRDefault="00AB2CAD" w:rsidP="0080593D">
      <w:pPr>
        <w:keepNext/>
        <w:tabs>
          <w:tab w:val="right" w:leader="dot" w:pos="9781"/>
        </w:tabs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Obchodní sleva</w:t>
      </w:r>
      <w:r w:rsidR="004B2B44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čin</w:t>
      </w:r>
      <w:r w:rsidR="0080593D">
        <w:rPr>
          <w:rFonts w:cs="Arial"/>
          <w:sz w:val="20"/>
        </w:rPr>
        <w:t>í</w:t>
      </w:r>
      <w:r w:rsidR="003D1A3B">
        <w:rPr>
          <w:rFonts w:cs="Arial"/>
          <w:sz w:val="20"/>
        </w:rPr>
        <w:t xml:space="preserve"> </w:t>
      </w:r>
      <w:r w:rsidR="00516CFC">
        <w:rPr>
          <w:rFonts w:cs="Arial"/>
          <w:sz w:val="20"/>
        </w:rPr>
        <w:t>2</w:t>
      </w:r>
      <w:r w:rsidR="00B67373">
        <w:rPr>
          <w:rFonts w:cs="Arial"/>
          <w:sz w:val="20"/>
        </w:rPr>
        <w:t>7</w:t>
      </w:r>
      <w:r w:rsidR="003D1A3B">
        <w:rPr>
          <w:rFonts w:cs="Arial"/>
          <w:sz w:val="20"/>
        </w:rPr>
        <w:t>%</w:t>
      </w:r>
    </w:p>
    <w:p w14:paraId="18DCB7B8" w14:textId="5B6223FE" w:rsidR="00AB2CAD" w:rsidRPr="006368D9" w:rsidRDefault="00AB2CAD" w:rsidP="0080593D">
      <w:pPr>
        <w:tabs>
          <w:tab w:val="right" w:leader="dot" w:pos="9639"/>
        </w:tabs>
        <w:spacing w:before="120"/>
        <w:ind w:left="426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t xml:space="preserve">Celkové pojistné za sjednaná pojištění po slevách </w:t>
      </w:r>
      <w:r w:rsidR="00A65C48" w:rsidRPr="006368D9">
        <w:rPr>
          <w:rFonts w:cs="Arial"/>
          <w:b/>
          <w:sz w:val="20"/>
        </w:rPr>
        <w:t>za jeden pojistný rok</w:t>
      </w:r>
      <w:r w:rsidR="00A13F76" w:rsidRPr="006368D9">
        <w:rPr>
          <w:rFonts w:cs="Arial"/>
          <w:b/>
          <w:sz w:val="20"/>
        </w:rPr>
        <w:t xml:space="preserve"> </w:t>
      </w:r>
      <w:r w:rsidR="001A1869">
        <w:rPr>
          <w:rFonts w:cs="Arial"/>
          <w:b/>
          <w:sz w:val="20"/>
        </w:rPr>
        <w:t>činí</w:t>
      </w:r>
      <w:r w:rsidR="001A1869">
        <w:rPr>
          <w:rFonts w:cs="Arial"/>
          <w:b/>
          <w:sz w:val="20"/>
        </w:rPr>
        <w:tab/>
        <w:t xml:space="preserve"> </w:t>
      </w:r>
      <w:r w:rsidR="00BE11DD">
        <w:rPr>
          <w:rFonts w:cs="Arial"/>
          <w:b/>
          <w:sz w:val="20"/>
        </w:rPr>
        <w:t>827 065</w:t>
      </w:r>
      <w:r w:rsidR="001A1869">
        <w:rPr>
          <w:rFonts w:cs="Arial"/>
          <w:b/>
          <w:sz w:val="20"/>
        </w:rPr>
        <w:t> </w:t>
      </w:r>
      <w:r w:rsidRPr="006368D9">
        <w:rPr>
          <w:rFonts w:cs="Arial"/>
          <w:b/>
          <w:sz w:val="20"/>
        </w:rPr>
        <w:t>Kč</w:t>
      </w:r>
      <w:r w:rsidRPr="006368D9">
        <w:rPr>
          <w:rFonts w:cs="Arial"/>
          <w:sz w:val="20"/>
        </w:rPr>
        <w:t>.</w:t>
      </w:r>
    </w:p>
    <w:p w14:paraId="796BB2B9" w14:textId="77777777" w:rsidR="005D4B74" w:rsidRDefault="005D4B74" w:rsidP="005D4B74">
      <w:pPr>
        <w:keepNext/>
        <w:numPr>
          <w:ilvl w:val="0"/>
          <w:numId w:val="12"/>
        </w:numPr>
        <w:tabs>
          <w:tab w:val="left" w:pos="-1418"/>
        </w:tabs>
        <w:spacing w:before="120"/>
        <w:ind w:right="-143"/>
        <w:jc w:val="both"/>
        <w:rPr>
          <w:rFonts w:cs="Arial"/>
          <w:sz w:val="20"/>
        </w:rPr>
      </w:pPr>
      <w:r w:rsidRPr="00214156">
        <w:rPr>
          <w:rFonts w:cs="Arial"/>
          <w:sz w:val="20"/>
        </w:rPr>
        <w:t xml:space="preserve">Pojistné je sjednáno jako běžné. Pojistné období je dvanáctiměsíční. </w:t>
      </w:r>
    </w:p>
    <w:p w14:paraId="29EF098C" w14:textId="054C5BD8" w:rsidR="005D4B74" w:rsidRPr="00214156" w:rsidRDefault="00BE11DD" w:rsidP="005D4B74">
      <w:pPr>
        <w:tabs>
          <w:tab w:val="left" w:pos="-1418"/>
        </w:tabs>
        <w:ind w:left="425" w:right="-142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Pojistné </w:t>
      </w:r>
      <w:r w:rsidR="005D4B74">
        <w:rPr>
          <w:rFonts w:cs="Arial"/>
          <w:sz w:val="20"/>
        </w:rPr>
        <w:t xml:space="preserve">ve výši </w:t>
      </w:r>
      <w:r>
        <w:rPr>
          <w:rFonts w:cs="Arial"/>
          <w:sz w:val="20"/>
        </w:rPr>
        <w:t>827 065 </w:t>
      </w:r>
      <w:r w:rsidR="005D4B74">
        <w:rPr>
          <w:rFonts w:cs="Arial"/>
          <w:sz w:val="20"/>
        </w:rPr>
        <w:t xml:space="preserve">Kč </w:t>
      </w:r>
      <w:r>
        <w:rPr>
          <w:rFonts w:cs="Arial"/>
          <w:sz w:val="20"/>
        </w:rPr>
        <w:t xml:space="preserve">je </w:t>
      </w:r>
      <w:r w:rsidR="005D4B74">
        <w:rPr>
          <w:rFonts w:cs="Arial"/>
          <w:sz w:val="20"/>
        </w:rPr>
        <w:t>splatné k </w:t>
      </w:r>
      <w:r>
        <w:rPr>
          <w:rFonts w:cs="Arial"/>
          <w:sz w:val="20"/>
        </w:rPr>
        <w:t>0</w:t>
      </w:r>
      <w:r w:rsidR="005D4B74">
        <w:rPr>
          <w:rFonts w:cs="Arial"/>
          <w:sz w:val="20"/>
        </w:rPr>
        <w:t>5. 11.</w:t>
      </w:r>
      <w:r>
        <w:rPr>
          <w:rFonts w:cs="Arial"/>
          <w:sz w:val="20"/>
        </w:rPr>
        <w:t> 2022.</w:t>
      </w:r>
    </w:p>
    <w:p w14:paraId="379BA737" w14:textId="3EC300A5" w:rsidR="00AB2CAD" w:rsidRPr="00A735B5" w:rsidRDefault="00A735B5" w:rsidP="0076157E">
      <w:pPr>
        <w:keepNext/>
        <w:numPr>
          <w:ilvl w:val="0"/>
          <w:numId w:val="12"/>
        </w:numPr>
        <w:tabs>
          <w:tab w:val="left" w:pos="-1560"/>
        </w:tabs>
        <w:spacing w:before="60"/>
        <w:jc w:val="both"/>
        <w:rPr>
          <w:rFonts w:cs="Arial"/>
          <w:sz w:val="18"/>
          <w:szCs w:val="22"/>
        </w:rPr>
      </w:pPr>
      <w:r w:rsidRPr="00A735B5">
        <w:rPr>
          <w:sz w:val="20"/>
          <w:szCs w:val="22"/>
        </w:rPr>
        <w:t>Pojistník je povinen uhradit pojistné v uvedené výši na účet pojistitele č. </w:t>
      </w:r>
      <w:proofErr w:type="spellStart"/>
      <w:r w:rsidRPr="00A735B5">
        <w:rPr>
          <w:sz w:val="20"/>
          <w:szCs w:val="22"/>
        </w:rPr>
        <w:t>ú.</w:t>
      </w:r>
      <w:proofErr w:type="spellEnd"/>
      <w:r w:rsidRPr="00A735B5">
        <w:rPr>
          <w:sz w:val="20"/>
          <w:szCs w:val="22"/>
        </w:rPr>
        <w:t xml:space="preserve"> </w:t>
      </w:r>
      <w:proofErr w:type="spellStart"/>
      <w:r w:rsidR="00653634">
        <w:rPr>
          <w:sz w:val="20"/>
          <w:szCs w:val="22"/>
        </w:rPr>
        <w:t>xxxxxxxxxxxx</w:t>
      </w:r>
      <w:proofErr w:type="spellEnd"/>
      <w:r w:rsidRPr="00A735B5">
        <w:rPr>
          <w:sz w:val="20"/>
          <w:szCs w:val="22"/>
        </w:rPr>
        <w:t xml:space="preserve">, variabilní symbol: </w:t>
      </w:r>
      <w:r w:rsidR="006E1A88">
        <w:rPr>
          <w:sz w:val="20"/>
          <w:szCs w:val="22"/>
        </w:rPr>
        <w:t>7721137419.</w:t>
      </w:r>
    </w:p>
    <w:p w14:paraId="696AB6D4" w14:textId="2F913FDC" w:rsidR="00A2121E" w:rsidRPr="00A735B5" w:rsidRDefault="00A735B5" w:rsidP="0076157E">
      <w:pPr>
        <w:keepNext/>
        <w:numPr>
          <w:ilvl w:val="0"/>
          <w:numId w:val="12"/>
        </w:numPr>
        <w:tabs>
          <w:tab w:val="left" w:pos="-1560"/>
        </w:tabs>
        <w:spacing w:before="60"/>
        <w:jc w:val="both"/>
        <w:rPr>
          <w:rFonts w:cs="Arial"/>
          <w:sz w:val="18"/>
          <w:szCs w:val="18"/>
        </w:rPr>
      </w:pPr>
      <w:r w:rsidRPr="00A735B5">
        <w:rPr>
          <w:sz w:val="20"/>
          <w:szCs w:val="22"/>
        </w:rPr>
        <w:t>Smluvní strany se dohodly, že pokud bude v členském státě Evropské unie nebo Evropského hospodářského prostoru zavedena jiná pojistná daň či jí obdobný poplatek z pojištění sjednaného touto pojistnou smlouvou, než jaké jsou uvedeny v bodu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</w:t>
      </w:r>
    </w:p>
    <w:p w14:paraId="3DF4D8A7" w14:textId="21DCDC01" w:rsidR="00AB2CAD" w:rsidRDefault="00AB2CAD" w:rsidP="00FB4CEE">
      <w:pPr>
        <w:tabs>
          <w:tab w:val="left" w:pos="-720"/>
        </w:tabs>
        <w:jc w:val="center"/>
        <w:rPr>
          <w:rFonts w:cs="Arial"/>
          <w:b/>
          <w:i/>
          <w:sz w:val="20"/>
          <w:szCs w:val="20"/>
        </w:rPr>
      </w:pPr>
    </w:p>
    <w:p w14:paraId="558E4A99" w14:textId="50B56621" w:rsidR="00BE11DD" w:rsidRDefault="00BE11DD" w:rsidP="00BE11DD">
      <w:pPr>
        <w:pStyle w:val="Odstavecseseznamem"/>
        <w:keepNext/>
        <w:numPr>
          <w:ilvl w:val="0"/>
          <w:numId w:val="36"/>
        </w:numPr>
        <w:spacing w:before="120" w:after="120" w:line="240" w:lineRule="auto"/>
        <w:contextualSpacing w:val="0"/>
        <w:jc w:val="both"/>
        <w:rPr>
          <w:rFonts w:ascii="Koop Office" w:hAnsi="Koop Office" w:cs="Arial"/>
          <w:b/>
          <w:i/>
          <w:sz w:val="20"/>
          <w:szCs w:val="20"/>
        </w:rPr>
      </w:pPr>
      <w:r>
        <w:rPr>
          <w:rFonts w:ascii="Koop Office" w:hAnsi="Koop Office" w:cs="Arial"/>
          <w:b/>
          <w:i/>
          <w:sz w:val="20"/>
          <w:szCs w:val="20"/>
        </w:rPr>
        <w:t xml:space="preserve">Na konci článku VI. </w:t>
      </w:r>
      <w:r w:rsidRPr="00BE11DD">
        <w:rPr>
          <w:rFonts w:ascii="Koop Office" w:hAnsi="Koop Office" w:cs="Arial"/>
          <w:b/>
          <w:i/>
          <w:sz w:val="20"/>
          <w:szCs w:val="20"/>
        </w:rPr>
        <w:t>(Prohlášení pojistníka, registr smluv, zpracování osobních údajů) se doplňuje tato věta:</w:t>
      </w:r>
    </w:p>
    <w:p w14:paraId="733D6265" w14:textId="77777777" w:rsidR="00BE11DD" w:rsidRPr="00646F39" w:rsidRDefault="00BE11DD" w:rsidP="008B79B1">
      <w:pPr>
        <w:pStyle w:val="slovn-Velkpsmena0"/>
        <w:numPr>
          <w:ilvl w:val="0"/>
          <w:numId w:val="0"/>
        </w:numPr>
        <w:spacing w:before="120" w:after="0"/>
        <w:ind w:left="709"/>
        <w:rPr>
          <w:b/>
        </w:rPr>
      </w:pPr>
      <w:r w:rsidRPr="00646F39">
        <w:t>Pojistník prohlašuje, že jeho prohlášení/potvrzení učiněná v pojistné smlouvě ve znění předchozích dodatků jsou aktuální, nadále platná a vztahují se i k tomuto dodatku.</w:t>
      </w:r>
    </w:p>
    <w:p w14:paraId="46B144EE" w14:textId="77777777" w:rsidR="00D7357B" w:rsidRPr="006368D9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19"/>
    <w:p w14:paraId="2B9C99AE" w14:textId="77777777" w:rsidR="00BE11DD" w:rsidRDefault="00BE11DD" w:rsidP="00BE11DD">
      <w:pPr>
        <w:pStyle w:val="Odstavecseseznamem"/>
        <w:keepNext/>
        <w:numPr>
          <w:ilvl w:val="0"/>
          <w:numId w:val="36"/>
        </w:numPr>
        <w:spacing w:before="120" w:after="120" w:line="240" w:lineRule="auto"/>
        <w:contextualSpacing w:val="0"/>
        <w:jc w:val="both"/>
        <w:rPr>
          <w:rFonts w:ascii="Koop Office" w:hAnsi="Koop Office" w:cs="Arial"/>
          <w:b/>
          <w:i/>
          <w:sz w:val="20"/>
          <w:szCs w:val="20"/>
        </w:rPr>
      </w:pPr>
      <w:r w:rsidRPr="004C219A">
        <w:rPr>
          <w:rFonts w:ascii="Koop Office" w:hAnsi="Koop Office" w:cs="Arial"/>
          <w:b/>
          <w:i/>
          <w:sz w:val="20"/>
          <w:szCs w:val="20"/>
        </w:rPr>
        <w:t xml:space="preserve">Článek </w:t>
      </w:r>
      <w:r>
        <w:rPr>
          <w:rFonts w:ascii="Koop Office" w:hAnsi="Koop Office" w:cs="Arial"/>
          <w:b/>
          <w:i/>
          <w:sz w:val="20"/>
          <w:szCs w:val="20"/>
        </w:rPr>
        <w:t>VI</w:t>
      </w:r>
      <w:r w:rsidRPr="004C219A">
        <w:rPr>
          <w:rFonts w:ascii="Koop Office" w:hAnsi="Koop Office" w:cs="Arial"/>
          <w:b/>
          <w:i/>
          <w:sz w:val="20"/>
          <w:szCs w:val="20"/>
        </w:rPr>
        <w:t>I</w:t>
      </w:r>
      <w:r>
        <w:rPr>
          <w:rFonts w:ascii="Koop Office" w:hAnsi="Koop Office" w:cs="Arial"/>
          <w:b/>
          <w:i/>
          <w:sz w:val="20"/>
          <w:szCs w:val="20"/>
        </w:rPr>
        <w:t>I</w:t>
      </w:r>
      <w:r w:rsidRPr="004C219A">
        <w:rPr>
          <w:rFonts w:ascii="Koop Office" w:hAnsi="Koop Office" w:cs="Arial"/>
          <w:b/>
          <w:i/>
          <w:sz w:val="20"/>
          <w:szCs w:val="20"/>
        </w:rPr>
        <w:t>. (</w:t>
      </w:r>
      <w:r>
        <w:rPr>
          <w:rFonts w:ascii="Koop Office" w:hAnsi="Koop Office" w:cs="Arial"/>
          <w:b/>
          <w:i/>
          <w:sz w:val="20"/>
          <w:szCs w:val="20"/>
        </w:rPr>
        <w:t>Závěrečná ustanovení) nově zní:</w:t>
      </w:r>
    </w:p>
    <w:p w14:paraId="1054394A" w14:textId="77777777" w:rsidR="006368D9" w:rsidRPr="000341AF" w:rsidRDefault="00D7357B" w:rsidP="00DA2C42">
      <w:pPr>
        <w:pStyle w:val="Zkladntext32"/>
        <w:keepNext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Článek V</w:t>
      </w:r>
      <w:r w:rsidR="00AA716D" w:rsidRPr="000341AF">
        <w:rPr>
          <w:rFonts w:ascii="Koop Office" w:hAnsi="Koop Office" w:cs="Arial"/>
          <w:b/>
          <w:sz w:val="24"/>
          <w:szCs w:val="24"/>
        </w:rPr>
        <w:t>I</w:t>
      </w:r>
      <w:r w:rsidRPr="000341AF">
        <w:rPr>
          <w:rFonts w:ascii="Koop Office" w:hAnsi="Koop Office" w:cs="Arial"/>
          <w:b/>
          <w:sz w:val="24"/>
          <w:szCs w:val="24"/>
        </w:rPr>
        <w:t>I.</w:t>
      </w:r>
    </w:p>
    <w:p w14:paraId="0A267493" w14:textId="77777777" w:rsidR="006368D9" w:rsidRPr="000341AF" w:rsidRDefault="00D7357B" w:rsidP="00DA2C42">
      <w:pPr>
        <w:pStyle w:val="Zkladntext32"/>
        <w:keepNext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Závěrečná ustanovení</w:t>
      </w:r>
    </w:p>
    <w:p w14:paraId="0052D0B9" w14:textId="5CB64944" w:rsidR="006368D9" w:rsidRDefault="00637581" w:rsidP="00741B06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Není-li ujednáno jinak, je pojistnou dobou doba od</w:t>
      </w:r>
      <w:r w:rsidR="001C46FA">
        <w:rPr>
          <w:rFonts w:cs="Arial"/>
          <w:sz w:val="20"/>
        </w:rPr>
        <w:t xml:space="preserve"> </w:t>
      </w:r>
      <w:r w:rsidR="003D1A3B">
        <w:rPr>
          <w:rFonts w:cs="Arial"/>
          <w:b/>
          <w:sz w:val="20"/>
        </w:rPr>
        <w:t>5</w:t>
      </w:r>
      <w:r w:rsidR="00DB61CF" w:rsidRPr="00DB61CF">
        <w:rPr>
          <w:rFonts w:cs="Arial"/>
          <w:b/>
          <w:sz w:val="20"/>
        </w:rPr>
        <w:t xml:space="preserve">. </w:t>
      </w:r>
      <w:r w:rsidR="003D1A3B">
        <w:rPr>
          <w:rFonts w:cs="Arial"/>
          <w:b/>
          <w:sz w:val="20"/>
        </w:rPr>
        <w:t>1</w:t>
      </w:r>
      <w:r w:rsidR="00DB61CF" w:rsidRPr="00DB61CF">
        <w:rPr>
          <w:rFonts w:cs="Arial"/>
          <w:b/>
          <w:sz w:val="20"/>
        </w:rPr>
        <w:t>1. 20</w:t>
      </w:r>
      <w:r w:rsidR="00A735B5">
        <w:rPr>
          <w:rFonts w:cs="Arial"/>
          <w:b/>
          <w:sz w:val="20"/>
        </w:rPr>
        <w:t>20</w:t>
      </w:r>
      <w:r w:rsidR="00DB61CF" w:rsidRPr="00DB61CF">
        <w:rPr>
          <w:rFonts w:cs="Arial"/>
          <w:b/>
          <w:sz w:val="20"/>
        </w:rPr>
        <w:t xml:space="preserve"> </w:t>
      </w:r>
      <w:r w:rsidRPr="006368D9">
        <w:rPr>
          <w:rFonts w:cs="Arial"/>
          <w:sz w:val="20"/>
        </w:rPr>
        <w:t xml:space="preserve">(počátek pojištění) </w:t>
      </w:r>
      <w:r w:rsidR="00D7357B" w:rsidRPr="006368D9">
        <w:rPr>
          <w:rFonts w:cs="Arial"/>
          <w:sz w:val="20"/>
        </w:rPr>
        <w:t>do</w:t>
      </w:r>
      <w:r w:rsidR="00873AA8">
        <w:rPr>
          <w:rFonts w:cs="Arial"/>
          <w:sz w:val="20"/>
        </w:rPr>
        <w:t xml:space="preserve"> </w:t>
      </w:r>
      <w:r w:rsidR="003D1A3B">
        <w:rPr>
          <w:rFonts w:cs="Arial"/>
          <w:b/>
          <w:sz w:val="20"/>
        </w:rPr>
        <w:t>4</w:t>
      </w:r>
      <w:r w:rsidR="00DB61CF" w:rsidRPr="00DB61CF">
        <w:rPr>
          <w:rFonts w:cs="Arial"/>
          <w:b/>
          <w:sz w:val="20"/>
        </w:rPr>
        <w:t>. 1</w:t>
      </w:r>
      <w:r w:rsidR="003D1A3B">
        <w:rPr>
          <w:rFonts w:cs="Arial"/>
          <w:b/>
          <w:sz w:val="20"/>
        </w:rPr>
        <w:t>1</w:t>
      </w:r>
      <w:r w:rsidR="00DB61CF" w:rsidRPr="00DB61CF">
        <w:rPr>
          <w:rFonts w:cs="Arial"/>
          <w:b/>
          <w:sz w:val="20"/>
        </w:rPr>
        <w:t>. 20</w:t>
      </w:r>
      <w:r w:rsidR="008E6A28">
        <w:rPr>
          <w:rFonts w:cs="Arial"/>
          <w:b/>
          <w:sz w:val="20"/>
        </w:rPr>
        <w:t>2</w:t>
      </w:r>
      <w:r w:rsidR="00A735B5">
        <w:rPr>
          <w:rFonts w:cs="Arial"/>
          <w:b/>
          <w:sz w:val="20"/>
        </w:rPr>
        <w:t>3</w:t>
      </w:r>
      <w:r w:rsidR="001C46FA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(konec pojištění)</w:t>
      </w:r>
      <w:r w:rsidR="00D7357B" w:rsidRPr="006368D9">
        <w:rPr>
          <w:rFonts w:cs="Arial"/>
          <w:sz w:val="20"/>
        </w:rPr>
        <w:t>.</w:t>
      </w:r>
    </w:p>
    <w:p w14:paraId="217CC8F3" w14:textId="4B9545F9" w:rsidR="008B79B1" w:rsidRPr="001A0032" w:rsidRDefault="008B79B1" w:rsidP="008B79B1">
      <w:pPr>
        <w:spacing w:before="60"/>
        <w:ind w:left="425"/>
        <w:rPr>
          <w:sz w:val="20"/>
          <w:szCs w:val="22"/>
        </w:rPr>
      </w:pPr>
      <w:bookmarkStart w:id="20" w:name="_Hlk35260018"/>
      <w:r w:rsidRPr="000C76AF">
        <w:rPr>
          <w:sz w:val="20"/>
          <w:szCs w:val="22"/>
        </w:rPr>
        <w:t xml:space="preserve">Počátek změn provedených tímto dodatkem: </w:t>
      </w:r>
      <w:r w:rsidRPr="00E0529D">
        <w:rPr>
          <w:b/>
          <w:bCs/>
          <w:sz w:val="20"/>
          <w:szCs w:val="22"/>
        </w:rPr>
        <w:t>0</w:t>
      </w:r>
      <w:r>
        <w:rPr>
          <w:b/>
          <w:bCs/>
          <w:sz w:val="20"/>
          <w:szCs w:val="22"/>
        </w:rPr>
        <w:t>3</w:t>
      </w:r>
      <w:r w:rsidRPr="000C76AF">
        <w:rPr>
          <w:b/>
          <w:bCs/>
          <w:sz w:val="20"/>
          <w:szCs w:val="22"/>
        </w:rPr>
        <w:t>.</w:t>
      </w:r>
      <w:r w:rsidRPr="00E0529D">
        <w:rPr>
          <w:b/>
          <w:bCs/>
          <w:sz w:val="20"/>
          <w:szCs w:val="22"/>
        </w:rPr>
        <w:t> </w:t>
      </w:r>
      <w:r>
        <w:rPr>
          <w:b/>
          <w:bCs/>
          <w:sz w:val="20"/>
          <w:szCs w:val="22"/>
        </w:rPr>
        <w:t>12</w:t>
      </w:r>
      <w:r w:rsidRPr="000C76AF">
        <w:rPr>
          <w:b/>
          <w:bCs/>
          <w:sz w:val="20"/>
          <w:szCs w:val="22"/>
        </w:rPr>
        <w:t>. 2021.</w:t>
      </w:r>
      <w:r w:rsidRPr="001A0032">
        <w:rPr>
          <w:sz w:val="20"/>
          <w:szCs w:val="22"/>
        </w:rPr>
        <w:t xml:space="preserve"> </w:t>
      </w:r>
    </w:p>
    <w:p w14:paraId="4B35E646" w14:textId="77777777" w:rsidR="008B79B1" w:rsidRPr="001A0032" w:rsidRDefault="008B79B1" w:rsidP="008B79B1">
      <w:pPr>
        <w:spacing w:before="60"/>
        <w:ind w:left="425"/>
        <w:jc w:val="both"/>
        <w:rPr>
          <w:sz w:val="20"/>
          <w:szCs w:val="22"/>
        </w:rPr>
      </w:pPr>
      <w:r w:rsidRPr="001A0032">
        <w:rPr>
          <w:sz w:val="20"/>
          <w:szCs w:val="22"/>
        </w:rPr>
        <w:t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</w:p>
    <w:p w14:paraId="041DE7DB" w14:textId="77777777" w:rsidR="00837881" w:rsidRPr="000969FB" w:rsidRDefault="00837881" w:rsidP="00FB4CEE">
      <w:pPr>
        <w:pStyle w:val="slovn-rove1-netunb"/>
        <w:numPr>
          <w:ilvl w:val="0"/>
          <w:numId w:val="15"/>
        </w:numPr>
        <w:spacing w:before="60" w:after="0"/>
      </w:pPr>
      <w:bookmarkStart w:id="21" w:name="_Ref489759092"/>
      <w:bookmarkEnd w:id="20"/>
      <w:r w:rsidRPr="000969FB">
        <w:t>Pojistník je povinen vrátit pojistiteli veškeré slevy poskytnuté za dobu trvání pojištění (sleva za dlouhodobost), jestliže pojistník pojištění vypoví před uplynutím pojistné doby.</w:t>
      </w:r>
    </w:p>
    <w:p w14:paraId="2006F43A" w14:textId="77777777" w:rsidR="008B79B1" w:rsidRPr="00646F39" w:rsidRDefault="008B79B1" w:rsidP="0001190C">
      <w:pPr>
        <w:pStyle w:val="slovn-rove1-netunb"/>
        <w:numPr>
          <w:ilvl w:val="0"/>
          <w:numId w:val="15"/>
        </w:numPr>
        <w:spacing w:before="60" w:after="0"/>
      </w:pPr>
      <w:bookmarkStart w:id="22" w:name="_Hlk35263904"/>
      <w:r w:rsidRPr="00646F39">
        <w:t>Odpověď pojistníka na návrh pojistitele na uzavření tohoto dodatku (dále jen „</w:t>
      </w:r>
      <w:r w:rsidRPr="00646F39">
        <w:rPr>
          <w:b/>
        </w:rPr>
        <w:t>nabídka</w:t>
      </w:r>
      <w:r w:rsidRPr="00646F39">
        <w:t>“) s dodatkem nebo odchylkou od nabídky se nepovažuje za její přijetí, a to ani v případě, že se takovou odchylkou podstatně nemění podmínky nabídky.</w:t>
      </w:r>
    </w:p>
    <w:p w14:paraId="45D425C5" w14:textId="77777777" w:rsidR="008B79B1" w:rsidRPr="00646F39" w:rsidRDefault="008B79B1" w:rsidP="0001190C">
      <w:pPr>
        <w:pStyle w:val="slovn-rove1-netunb"/>
        <w:numPr>
          <w:ilvl w:val="0"/>
          <w:numId w:val="15"/>
        </w:numPr>
        <w:spacing w:before="60" w:after="0"/>
      </w:pPr>
      <w:r w:rsidRPr="00646F39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76B9C217" w14:textId="753B1E8F" w:rsidR="008B79B1" w:rsidRPr="00646F39" w:rsidRDefault="008B79B1" w:rsidP="0001190C">
      <w:pPr>
        <w:pStyle w:val="slovn-rove1-netunb"/>
        <w:numPr>
          <w:ilvl w:val="0"/>
          <w:numId w:val="15"/>
        </w:numPr>
        <w:spacing w:before="60" w:after="0"/>
        <w:rPr>
          <w:b/>
          <w:bCs/>
        </w:rPr>
      </w:pPr>
      <w:bookmarkStart w:id="23" w:name="_Hlk35256917"/>
      <w:r w:rsidRPr="00646F39">
        <w:rPr>
          <w:b/>
          <w:bCs/>
        </w:rPr>
        <w:t>Ujednává se, že je-li tento dodatek uzavírán elektronickými prostředky, musí být podepsán elektronickým podpisem ve smyslu příslušných právních předpisů.</w:t>
      </w:r>
    </w:p>
    <w:bookmarkEnd w:id="23"/>
    <w:p w14:paraId="4F57F027" w14:textId="77777777" w:rsidR="008B79B1" w:rsidRPr="00646F39" w:rsidRDefault="008B79B1" w:rsidP="0001190C">
      <w:pPr>
        <w:pStyle w:val="slovn-rove1-netunb"/>
        <w:numPr>
          <w:ilvl w:val="0"/>
          <w:numId w:val="15"/>
        </w:numPr>
        <w:spacing w:before="60" w:after="0"/>
      </w:pPr>
      <w:r w:rsidRPr="00646F39">
        <w:t xml:space="preserve">Subjektem věcně příslušným k mimosoudnímu řešení spotřebitelských sporů z tohoto pojištění je Česká obchodní inspekce, Štěpánská 567/15, 120 00 Praha 2, www.coi.cz, a Kancelář ombudsmana České asociace pojišťoven </w:t>
      </w:r>
      <w:proofErr w:type="spellStart"/>
      <w:r w:rsidRPr="00646F39">
        <w:t>z.ú</w:t>
      </w:r>
      <w:proofErr w:type="spellEnd"/>
      <w:r w:rsidRPr="00646F39">
        <w:t>., Elišky Krásnohorské 135/7, 110 00 Praha 1, www.ombudsmancap.cz.</w:t>
      </w:r>
    </w:p>
    <w:p w14:paraId="1CD8D27C" w14:textId="7A20C010" w:rsidR="001F58C0" w:rsidRPr="009558F1" w:rsidRDefault="008B79B1" w:rsidP="001F58C0">
      <w:pPr>
        <w:pStyle w:val="slovn-rove1-netunb"/>
        <w:numPr>
          <w:ilvl w:val="0"/>
          <w:numId w:val="15"/>
        </w:numPr>
        <w:spacing w:after="0"/>
      </w:pPr>
      <w:r w:rsidRPr="00646F39">
        <w:lastRenderedPageBreak/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646F39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pojistiteli.</w:t>
      </w:r>
    </w:p>
    <w:p w14:paraId="5219CBF2" w14:textId="197F9483" w:rsidR="00A735B5" w:rsidRPr="00A735B5" w:rsidRDefault="001F58C0" w:rsidP="00A735B5">
      <w:pPr>
        <w:pStyle w:val="slovn-rove1-netunb"/>
        <w:numPr>
          <w:ilvl w:val="0"/>
          <w:numId w:val="15"/>
        </w:numPr>
        <w:spacing w:after="0"/>
      </w:pPr>
      <w:r w:rsidRPr="00A735B5">
        <w:t>Pojistník i pojistitel a samostatný zprostředkovatel v postavení pojišťovacího makléře</w:t>
      </w:r>
      <w:r>
        <w:t xml:space="preserve"> </w:t>
      </w:r>
      <w:r w:rsidRPr="00A735B5">
        <w:t>obdrží originál t</w:t>
      </w:r>
      <w:r w:rsidR="008B79B1">
        <w:t>ohoto dodatku</w:t>
      </w:r>
      <w:r>
        <w:t>.</w:t>
      </w:r>
    </w:p>
    <w:bookmarkEnd w:id="22"/>
    <w:p w14:paraId="38C308CC" w14:textId="6D3E66F5" w:rsidR="006368D9" w:rsidRDefault="003679A4" w:rsidP="00FB4CEE">
      <w:pPr>
        <w:numPr>
          <w:ilvl w:val="0"/>
          <w:numId w:val="15"/>
        </w:numPr>
        <w:tabs>
          <w:tab w:val="left" w:pos="-1418"/>
        </w:tabs>
        <w:spacing w:before="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T</w:t>
      </w:r>
      <w:r w:rsidR="008B79B1">
        <w:rPr>
          <w:rFonts w:cs="Arial"/>
          <w:sz w:val="20"/>
        </w:rPr>
        <w:t xml:space="preserve">ento dodatek </w:t>
      </w:r>
      <w:r w:rsidR="00D7357B" w:rsidRPr="006368D9">
        <w:rPr>
          <w:rFonts w:cs="Arial"/>
          <w:sz w:val="20"/>
        </w:rPr>
        <w:t xml:space="preserve">obsahuje </w:t>
      </w:r>
      <w:r w:rsidR="00DB61CF">
        <w:rPr>
          <w:rFonts w:cs="Arial"/>
          <w:sz w:val="20"/>
        </w:rPr>
        <w:fldChar w:fldCharType="begin"/>
      </w:r>
      <w:r w:rsidR="00DB61CF">
        <w:rPr>
          <w:rFonts w:cs="Arial"/>
          <w:sz w:val="20"/>
        </w:rPr>
        <w:instrText xml:space="preserve"> PAGE   \* MERGEFORMAT </w:instrText>
      </w:r>
      <w:r w:rsidR="00DB61CF">
        <w:rPr>
          <w:rFonts w:cs="Arial"/>
          <w:sz w:val="20"/>
        </w:rPr>
        <w:fldChar w:fldCharType="separate"/>
      </w:r>
      <w:r w:rsidR="008817EC">
        <w:rPr>
          <w:rFonts w:cs="Arial"/>
          <w:noProof/>
          <w:sz w:val="20"/>
        </w:rPr>
        <w:t>6</w:t>
      </w:r>
      <w:r w:rsidR="00DB61CF">
        <w:rPr>
          <w:rFonts w:cs="Arial"/>
          <w:sz w:val="20"/>
        </w:rPr>
        <w:fldChar w:fldCharType="end"/>
      </w:r>
      <w:r w:rsidR="00DB61CF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stran</w:t>
      </w:r>
      <w:r w:rsidR="008B79B1">
        <w:rPr>
          <w:rFonts w:cs="Arial"/>
          <w:sz w:val="20"/>
        </w:rPr>
        <w:t xml:space="preserve">, k pojistné smlouvě ve znění tohoto dodatku náleží </w:t>
      </w:r>
      <w:r w:rsidR="00AB6B56">
        <w:rPr>
          <w:rFonts w:cs="Arial"/>
          <w:sz w:val="20"/>
        </w:rPr>
        <w:t>3</w:t>
      </w:r>
      <w:r w:rsidR="00D7357B" w:rsidRPr="006368D9">
        <w:rPr>
          <w:rFonts w:cs="Arial"/>
          <w:sz w:val="20"/>
        </w:rPr>
        <w:t xml:space="preserve"> příloh</w:t>
      </w:r>
      <w:bookmarkEnd w:id="21"/>
      <w:r w:rsidR="003D1A3B">
        <w:rPr>
          <w:rFonts w:cs="Arial"/>
          <w:sz w:val="20"/>
        </w:rPr>
        <w:t>y</w:t>
      </w:r>
      <w:r w:rsidR="008B79B1">
        <w:rPr>
          <w:rFonts w:cs="Arial"/>
          <w:sz w:val="20"/>
        </w:rPr>
        <w:t>, z nichž ani jedna není přiložena k tomuto dodatku</w:t>
      </w:r>
      <w:r w:rsidR="00D7357B" w:rsidRPr="006368D9">
        <w:rPr>
          <w:rFonts w:cs="Arial"/>
          <w:sz w:val="20"/>
        </w:rPr>
        <w:t xml:space="preserve">. </w:t>
      </w:r>
      <w:r w:rsidR="008B79B1" w:rsidRPr="008B79B1">
        <w:rPr>
          <w:rFonts w:cs="Arial"/>
          <w:sz w:val="20"/>
        </w:rPr>
        <w:t>Součástí pojistné smlouvy ve znění tohoto dodatku jsou pojistné podmínky pojistitele uvedené v čl. I. této pojistné smlouvy ve znění tohoto dodatku.</w:t>
      </w:r>
    </w:p>
    <w:p w14:paraId="2D353C46" w14:textId="77777777" w:rsidR="006368D9" w:rsidRPr="003D1A3B" w:rsidRDefault="00D7357B" w:rsidP="008B79B1">
      <w:pPr>
        <w:tabs>
          <w:tab w:val="left" w:pos="1843"/>
        </w:tabs>
        <w:spacing w:before="120"/>
        <w:ind w:left="425"/>
        <w:rPr>
          <w:i/>
          <w:sz w:val="20"/>
          <w:szCs w:val="20"/>
        </w:rPr>
      </w:pPr>
      <w:r w:rsidRPr="003465BD">
        <w:rPr>
          <w:sz w:val="20"/>
          <w:szCs w:val="20"/>
        </w:rPr>
        <w:t>Výčet příloh:</w:t>
      </w:r>
      <w:r w:rsidRPr="003465BD">
        <w:rPr>
          <w:sz w:val="20"/>
          <w:szCs w:val="20"/>
        </w:rPr>
        <w:tab/>
        <w:t xml:space="preserve">příloha č. 1 </w:t>
      </w:r>
      <w:r w:rsidR="003D1A3B">
        <w:rPr>
          <w:sz w:val="20"/>
          <w:szCs w:val="20"/>
        </w:rPr>
        <w:t>–</w:t>
      </w:r>
      <w:r w:rsidRPr="003465BD">
        <w:rPr>
          <w:sz w:val="20"/>
          <w:szCs w:val="20"/>
        </w:rPr>
        <w:t xml:space="preserve"> </w:t>
      </w:r>
      <w:r w:rsidR="003D1A3B">
        <w:rPr>
          <w:i/>
          <w:sz w:val="20"/>
          <w:szCs w:val="20"/>
        </w:rPr>
        <w:t>Výpis z obchodního rejstříku</w:t>
      </w:r>
    </w:p>
    <w:p w14:paraId="6E560BD0" w14:textId="5E193CD1" w:rsidR="00D7357B" w:rsidRDefault="003465BD" w:rsidP="00DB61CF">
      <w:pPr>
        <w:tabs>
          <w:tab w:val="left" w:pos="1843"/>
        </w:tabs>
        <w:rPr>
          <w:i/>
          <w:sz w:val="20"/>
          <w:szCs w:val="20"/>
        </w:rPr>
      </w:pPr>
      <w:r w:rsidRPr="003465BD">
        <w:rPr>
          <w:sz w:val="20"/>
          <w:szCs w:val="20"/>
        </w:rPr>
        <w:tab/>
      </w:r>
      <w:r w:rsidR="00D7357B" w:rsidRPr="003465BD">
        <w:rPr>
          <w:sz w:val="20"/>
          <w:szCs w:val="20"/>
        </w:rPr>
        <w:t xml:space="preserve">příloha č. 2 </w:t>
      </w:r>
      <w:r w:rsidR="003D1A3B">
        <w:rPr>
          <w:sz w:val="20"/>
          <w:szCs w:val="20"/>
        </w:rPr>
        <w:t>–</w:t>
      </w:r>
      <w:r w:rsidR="00D7357B" w:rsidRPr="003465BD">
        <w:rPr>
          <w:sz w:val="20"/>
          <w:szCs w:val="20"/>
        </w:rPr>
        <w:t xml:space="preserve"> </w:t>
      </w:r>
      <w:r w:rsidR="003D1A3B" w:rsidRPr="003D1A3B">
        <w:rPr>
          <w:i/>
          <w:sz w:val="20"/>
          <w:szCs w:val="20"/>
        </w:rPr>
        <w:t>Výpis z veřejné části Živnostenského rejstříku</w:t>
      </w:r>
    </w:p>
    <w:p w14:paraId="093EFC90" w14:textId="7FC1E1EF" w:rsidR="00AB6B56" w:rsidRPr="00AB6B56" w:rsidRDefault="00AB6B56" w:rsidP="00DB61CF">
      <w:pPr>
        <w:tabs>
          <w:tab w:val="left" w:pos="1843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Cs/>
          <w:sz w:val="20"/>
          <w:szCs w:val="20"/>
        </w:rPr>
        <w:t xml:space="preserve">příloha č. 3 – </w:t>
      </w:r>
      <w:r>
        <w:rPr>
          <w:i/>
          <w:sz w:val="20"/>
          <w:szCs w:val="20"/>
        </w:rPr>
        <w:t>Smluvní ujednání RENOMIA</w:t>
      </w:r>
    </w:p>
    <w:p w14:paraId="4BB25280" w14:textId="00F81401" w:rsidR="00A735B5" w:rsidRPr="006C436B" w:rsidRDefault="008B79B1" w:rsidP="00A735B5">
      <w:pPr>
        <w:keepNext/>
        <w:keepLines/>
        <w:tabs>
          <w:tab w:val="left" w:pos="3420"/>
          <w:tab w:val="left" w:pos="6549"/>
        </w:tabs>
        <w:spacing w:before="480"/>
        <w:rPr>
          <w:sz w:val="20"/>
          <w:szCs w:val="22"/>
        </w:rPr>
      </w:pPr>
      <w:r>
        <w:rPr>
          <w:sz w:val="20"/>
          <w:szCs w:val="22"/>
        </w:rPr>
        <w:tab/>
      </w:r>
      <w:r w:rsidR="00A735B5" w:rsidRPr="006C436B">
        <w:rPr>
          <w:sz w:val="20"/>
          <w:szCs w:val="22"/>
        </w:rPr>
        <w:t>.</w:t>
      </w:r>
      <w:r w:rsidR="00A735B5" w:rsidRPr="006C436B">
        <w:rPr>
          <w:sz w:val="20"/>
          <w:szCs w:val="22"/>
        </w:rPr>
        <w:tab/>
        <w:t>.</w:t>
      </w:r>
    </w:p>
    <w:p w14:paraId="1313C54E" w14:textId="19C79BB2" w:rsidR="00A735B5" w:rsidRPr="006C436B" w:rsidRDefault="00A735B5" w:rsidP="00A735B5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  <w:rPr>
          <w:sz w:val="20"/>
          <w:szCs w:val="22"/>
        </w:rPr>
      </w:pPr>
      <w:bookmarkStart w:id="24" w:name="_Hlk35264329"/>
      <w:r w:rsidRPr="006C436B">
        <w:rPr>
          <w:sz w:val="20"/>
          <w:szCs w:val="22"/>
        </w:rPr>
        <w:t>Podepsáno dne</w:t>
      </w:r>
      <w:r w:rsidRPr="006C436B">
        <w:rPr>
          <w:sz w:val="20"/>
          <w:szCs w:val="22"/>
          <w:vertAlign w:val="superscript"/>
        </w:rPr>
        <w:t>+</w:t>
      </w:r>
      <w:r w:rsidRPr="006C436B">
        <w:rPr>
          <w:sz w:val="20"/>
          <w:szCs w:val="22"/>
        </w:rPr>
        <w:t xml:space="preserve"> </w:t>
      </w:r>
      <w:r w:rsidR="00F17EE0" w:rsidRPr="006C436B">
        <w:rPr>
          <w:sz w:val="20"/>
          <w:szCs w:val="22"/>
        </w:rPr>
        <w:t>............................</w:t>
      </w:r>
      <w:r w:rsidRPr="006C436B">
        <w:rPr>
          <w:sz w:val="20"/>
          <w:szCs w:val="22"/>
        </w:rPr>
        <w:tab/>
      </w:r>
      <w:r w:rsidRPr="006C436B">
        <w:rPr>
          <w:sz w:val="20"/>
          <w:szCs w:val="22"/>
        </w:rPr>
        <w:tab/>
      </w:r>
      <w:r w:rsidRPr="006C436B">
        <w:rPr>
          <w:sz w:val="20"/>
          <w:szCs w:val="22"/>
        </w:rPr>
        <w:tab/>
      </w:r>
      <w:r w:rsidRPr="006C436B">
        <w:rPr>
          <w:sz w:val="20"/>
          <w:szCs w:val="22"/>
        </w:rPr>
        <w:tab/>
      </w:r>
    </w:p>
    <w:p w14:paraId="7884FBC7" w14:textId="77777777" w:rsidR="00A735B5" w:rsidRPr="006C436B" w:rsidRDefault="00A735B5" w:rsidP="00A735B5">
      <w:pPr>
        <w:keepNext/>
        <w:keepLines/>
        <w:tabs>
          <w:tab w:val="center" w:pos="4820"/>
          <w:tab w:val="center" w:pos="7938"/>
        </w:tabs>
        <w:spacing w:after="720"/>
        <w:rPr>
          <w:sz w:val="20"/>
          <w:szCs w:val="22"/>
        </w:rPr>
      </w:pPr>
      <w:r w:rsidRPr="006C436B">
        <w:rPr>
          <w:sz w:val="20"/>
          <w:szCs w:val="22"/>
        </w:rPr>
        <w:tab/>
        <w:t>za pojistitele</w:t>
      </w:r>
      <w:r w:rsidRPr="006C436B">
        <w:rPr>
          <w:sz w:val="20"/>
          <w:szCs w:val="22"/>
        </w:rPr>
        <w:tab/>
        <w:t>za pojistitele</w:t>
      </w:r>
    </w:p>
    <w:p w14:paraId="20BBF536" w14:textId="777BCE72" w:rsidR="00A735B5" w:rsidRPr="006C436B" w:rsidRDefault="00A735B5" w:rsidP="008B79B1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1800"/>
        <w:rPr>
          <w:sz w:val="20"/>
          <w:szCs w:val="22"/>
        </w:rPr>
      </w:pPr>
      <w:r w:rsidRPr="006C436B">
        <w:rPr>
          <w:sz w:val="20"/>
          <w:szCs w:val="22"/>
        </w:rPr>
        <w:t>Podepsáno dne</w:t>
      </w:r>
      <w:r w:rsidRPr="006C436B">
        <w:rPr>
          <w:sz w:val="20"/>
          <w:szCs w:val="22"/>
          <w:vertAlign w:val="superscript"/>
        </w:rPr>
        <w:t>+</w:t>
      </w:r>
      <w:r w:rsidRPr="006C436B">
        <w:rPr>
          <w:sz w:val="20"/>
          <w:szCs w:val="22"/>
        </w:rPr>
        <w:t xml:space="preserve"> ............................</w:t>
      </w:r>
      <w:r w:rsidRPr="006C436B">
        <w:rPr>
          <w:sz w:val="20"/>
          <w:szCs w:val="22"/>
        </w:rPr>
        <w:tab/>
      </w:r>
      <w:r w:rsidRPr="006C436B">
        <w:rPr>
          <w:sz w:val="20"/>
          <w:szCs w:val="22"/>
        </w:rPr>
        <w:tab/>
      </w:r>
      <w:r w:rsidR="00E75B05" w:rsidRPr="006C436B">
        <w:rPr>
          <w:sz w:val="20"/>
          <w:szCs w:val="22"/>
        </w:rPr>
        <w:tab/>
      </w:r>
      <w:r w:rsidR="00E75B05" w:rsidRPr="006C436B">
        <w:rPr>
          <w:sz w:val="20"/>
          <w:szCs w:val="22"/>
        </w:rPr>
        <w:tab/>
      </w:r>
    </w:p>
    <w:p w14:paraId="65BACC17" w14:textId="601EC31F" w:rsidR="00A735B5" w:rsidRPr="006C436B" w:rsidRDefault="00A735B5" w:rsidP="00A735B5">
      <w:pPr>
        <w:keepNext/>
        <w:keepLines/>
        <w:tabs>
          <w:tab w:val="center" w:pos="4820"/>
          <w:tab w:val="center" w:pos="7938"/>
        </w:tabs>
        <w:spacing w:after="480"/>
        <w:rPr>
          <w:sz w:val="20"/>
          <w:szCs w:val="22"/>
        </w:rPr>
      </w:pPr>
      <w:r w:rsidRPr="006C436B">
        <w:rPr>
          <w:sz w:val="20"/>
          <w:szCs w:val="22"/>
        </w:rPr>
        <w:tab/>
        <w:t>za pojistníka</w:t>
      </w:r>
      <w:r w:rsidRPr="006C436B">
        <w:rPr>
          <w:sz w:val="20"/>
          <w:szCs w:val="22"/>
          <w:vertAlign w:val="superscript"/>
        </w:rPr>
        <w:t>++</w:t>
      </w:r>
      <w:r w:rsidR="00E75B05" w:rsidRPr="006C436B">
        <w:rPr>
          <w:sz w:val="20"/>
          <w:szCs w:val="22"/>
        </w:rPr>
        <w:tab/>
        <w:t>za pojistníka</w:t>
      </w:r>
      <w:r w:rsidR="00E75B05" w:rsidRPr="006C436B">
        <w:rPr>
          <w:sz w:val="20"/>
          <w:szCs w:val="22"/>
          <w:vertAlign w:val="superscript"/>
        </w:rPr>
        <w:t>++</w:t>
      </w:r>
    </w:p>
    <w:p w14:paraId="4A348664" w14:textId="77777777" w:rsidR="00A735B5" w:rsidRPr="006C436B" w:rsidRDefault="00A735B5" w:rsidP="008B79B1">
      <w:pPr>
        <w:spacing w:before="1080"/>
        <w:jc w:val="both"/>
        <w:rPr>
          <w:sz w:val="16"/>
          <w:szCs w:val="16"/>
        </w:rPr>
      </w:pPr>
      <w:bookmarkStart w:id="25" w:name="_Hlk25570604"/>
      <w:r w:rsidRPr="006C436B">
        <w:rPr>
          <w:sz w:val="16"/>
          <w:szCs w:val="16"/>
          <w:vertAlign w:val="superscript"/>
        </w:rPr>
        <w:t xml:space="preserve">+ </w:t>
      </w:r>
      <w:r w:rsidRPr="006C436B">
        <w:rPr>
          <w:sz w:val="16"/>
          <w:szCs w:val="16"/>
        </w:rPr>
        <w:t>Je-li tato pojistná smlouva podepsána uznávaným elektronickým podpisem, je okamžik podpisu vždy obsažen v tomto podpisu.</w:t>
      </w:r>
    </w:p>
    <w:p w14:paraId="5C1483B7" w14:textId="77777777" w:rsidR="00A735B5" w:rsidRPr="006C436B" w:rsidRDefault="00A735B5" w:rsidP="00A735B5">
      <w:pPr>
        <w:tabs>
          <w:tab w:val="left" w:pos="142"/>
          <w:tab w:val="left" w:pos="426"/>
        </w:tabs>
        <w:ind w:left="426" w:hanging="426"/>
        <w:jc w:val="both"/>
        <w:rPr>
          <w:sz w:val="16"/>
          <w:szCs w:val="16"/>
        </w:rPr>
      </w:pPr>
      <w:r w:rsidRPr="006C436B">
        <w:rPr>
          <w:sz w:val="16"/>
          <w:szCs w:val="16"/>
          <w:vertAlign w:val="superscript"/>
        </w:rPr>
        <w:t>++</w:t>
      </w:r>
      <w:r w:rsidRPr="006C436B">
        <w:rPr>
          <w:sz w:val="16"/>
          <w:szCs w:val="16"/>
        </w:rPr>
        <w:tab/>
        <w:t xml:space="preserve">a) </w:t>
      </w:r>
      <w:r w:rsidRPr="006C436B">
        <w:rPr>
          <w:sz w:val="16"/>
          <w:szCs w:val="16"/>
        </w:rPr>
        <w:tab/>
        <w:t>Je-li tato pojistná smlouva pojistitelem vyhotovena v listinné podobě a podepsána za něj vlastnoručně, uveďte jméno, příjmení a funkci osob/y podepisující/ch za pojistníka, jejich vlastnoruční podpis/y a případně též otisk razítka a doručte pojistiteli takto podepsaný stejnopis pojistné smlouvy v listinné podobě.</w:t>
      </w:r>
    </w:p>
    <w:p w14:paraId="1A0DF812" w14:textId="77777777" w:rsidR="00A735B5" w:rsidRPr="006C436B" w:rsidRDefault="00A735B5" w:rsidP="00A735B5">
      <w:pPr>
        <w:tabs>
          <w:tab w:val="left" w:pos="142"/>
          <w:tab w:val="left" w:pos="426"/>
        </w:tabs>
        <w:ind w:left="426" w:hanging="426"/>
        <w:jc w:val="both"/>
        <w:rPr>
          <w:sz w:val="16"/>
          <w:szCs w:val="16"/>
        </w:rPr>
      </w:pPr>
      <w:r w:rsidRPr="006C436B">
        <w:rPr>
          <w:sz w:val="16"/>
          <w:szCs w:val="16"/>
        </w:rPr>
        <w:tab/>
        <w:t xml:space="preserve">b) </w:t>
      </w:r>
      <w:r w:rsidRPr="006C436B">
        <w:rPr>
          <w:sz w:val="16"/>
          <w:szCs w:val="16"/>
        </w:rPr>
        <w:tab/>
        <w:t xml:space="preserve">Je-li tato pojistná smlouva pojistitelem vyhotovena v elektronické podobě a podepsána za něj uznávaným elektronickým podpisem, použijte též uznávaný elektronický podpis/y osob/y podepisující/ch za pojistníka, nebo v případě použití elektronického podpisu </w:t>
      </w:r>
      <w:proofErr w:type="gramStart"/>
      <w:r w:rsidRPr="006C436B">
        <w:rPr>
          <w:sz w:val="16"/>
          <w:szCs w:val="16"/>
        </w:rPr>
        <w:t>jiného</w:t>
      </w:r>
      <w:proofErr w:type="gramEnd"/>
      <w:r w:rsidRPr="006C436B">
        <w:rPr>
          <w:sz w:val="16"/>
          <w:szCs w:val="16"/>
        </w:rPr>
        <w:t xml:space="preserve"> než uznávaného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</w:p>
    <w:bookmarkEnd w:id="24"/>
    <w:bookmarkEnd w:id="25"/>
    <w:p w14:paraId="5468E2B1" w14:textId="3025AE2A" w:rsidR="00530186" w:rsidRDefault="00530186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  <w:szCs w:val="20"/>
        </w:rPr>
      </w:pPr>
    </w:p>
    <w:p w14:paraId="3BCBA554" w14:textId="0E925957" w:rsidR="00AB6B56" w:rsidRDefault="00AB6B56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  <w:szCs w:val="20"/>
        </w:rPr>
      </w:pPr>
    </w:p>
    <w:p w14:paraId="1F7A1F92" w14:textId="2B19EA06" w:rsidR="00AB6B56" w:rsidRDefault="00AB6B56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  <w:szCs w:val="20"/>
        </w:rPr>
      </w:pPr>
    </w:p>
    <w:p w14:paraId="1C33B4AF" w14:textId="77777777" w:rsidR="00AB6B56" w:rsidRDefault="00AB6B56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  <w:szCs w:val="20"/>
        </w:rPr>
      </w:pPr>
    </w:p>
    <w:p w14:paraId="71DCC9A9" w14:textId="6A3A4E88" w:rsidR="00207BD3" w:rsidRPr="00DB61CF" w:rsidRDefault="008B79B1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 xml:space="preserve">Dodatek </w:t>
      </w:r>
      <w:r w:rsidR="00D7357B" w:rsidRPr="00DB61CF">
        <w:rPr>
          <w:rFonts w:ascii="Koop Office" w:hAnsi="Koop Office"/>
          <w:sz w:val="20"/>
          <w:szCs w:val="20"/>
        </w:rPr>
        <w:t>vypracoval</w:t>
      </w:r>
      <w:r w:rsidR="00653634">
        <w:rPr>
          <w:rFonts w:ascii="Koop Office" w:hAnsi="Koop Office"/>
          <w:sz w:val="20"/>
          <w:szCs w:val="20"/>
        </w:rPr>
        <w:t>:xxxxxxxxxxxxxxx</w:t>
      </w:r>
    </w:p>
    <w:sectPr w:rsidR="00207BD3" w:rsidRPr="00DB61CF" w:rsidSect="0003113D">
      <w:headerReference w:type="default" r:id="rId9"/>
      <w:headerReference w:type="first" r:id="rId10"/>
      <w:pgSz w:w="11906" w:h="16838" w:code="9"/>
      <w:pgMar w:top="1134" w:right="1134" w:bottom="1135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818A" w14:textId="77777777" w:rsidR="00E271D5" w:rsidRDefault="00E271D5">
      <w:r>
        <w:separator/>
      </w:r>
    </w:p>
  </w:endnote>
  <w:endnote w:type="continuationSeparator" w:id="0">
    <w:p w14:paraId="5DA56593" w14:textId="77777777" w:rsidR="00E271D5" w:rsidRDefault="00E2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Koop Office"/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01F5" w14:textId="77777777" w:rsidR="00E271D5" w:rsidRDefault="00E271D5">
      <w:r>
        <w:separator/>
      </w:r>
    </w:p>
  </w:footnote>
  <w:footnote w:type="continuationSeparator" w:id="0">
    <w:p w14:paraId="6BF03FA9" w14:textId="77777777" w:rsidR="00E271D5" w:rsidRDefault="00E2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9629" w14:textId="77777777" w:rsidR="00E271D5" w:rsidRPr="00203043" w:rsidRDefault="00E271D5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Stránka </w:t>
    </w:r>
    <w:r w:rsidRPr="00203043">
      <w:rPr>
        <w:sz w:val="20"/>
        <w:szCs w:val="20"/>
      </w:rPr>
      <w:fldChar w:fldCharType="begin"/>
    </w:r>
    <w:r w:rsidRPr="00203043">
      <w:rPr>
        <w:sz w:val="20"/>
        <w:szCs w:val="20"/>
      </w:rPr>
      <w:instrText>PAGE   \* MERGEFORMAT</w:instrText>
    </w:r>
    <w:r w:rsidRPr="00203043">
      <w:rPr>
        <w:sz w:val="20"/>
        <w:szCs w:val="20"/>
      </w:rPr>
      <w:fldChar w:fldCharType="separate"/>
    </w:r>
    <w:r>
      <w:rPr>
        <w:noProof/>
        <w:sz w:val="20"/>
        <w:szCs w:val="20"/>
      </w:rPr>
      <w:t>12</w:t>
    </w:r>
    <w:r w:rsidRPr="00203043">
      <w:rPr>
        <w:sz w:val="20"/>
        <w:szCs w:val="20"/>
      </w:rPr>
      <w:fldChar w:fldCharType="end"/>
    </w:r>
  </w:p>
  <w:p w14:paraId="5C026FFF" w14:textId="77777777" w:rsidR="00E271D5" w:rsidRPr="00203043" w:rsidRDefault="00E271D5" w:rsidP="00652055">
    <w:pPr>
      <w:pStyle w:val="Zhlav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F711" w14:textId="77777777" w:rsidR="00E271D5" w:rsidRPr="00A61619" w:rsidRDefault="00E271D5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14:paraId="01F348CE" w14:textId="77777777" w:rsidR="00E271D5" w:rsidRDefault="00E27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5AE2"/>
    <w:multiLevelType w:val="multilevel"/>
    <w:tmpl w:val="7ED8B468"/>
    <w:lvl w:ilvl="0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1BD16A8A"/>
    <w:multiLevelType w:val="multilevel"/>
    <w:tmpl w:val="ED7C66A4"/>
    <w:lvl w:ilvl="0">
      <w:start w:val="1"/>
      <w:numFmt w:val="decimal"/>
      <w:lvlText w:val="2.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05A08"/>
    <w:multiLevelType w:val="multilevel"/>
    <w:tmpl w:val="8E8AC66A"/>
    <w:lvl w:ilvl="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4A02F1F"/>
    <w:multiLevelType w:val="hybridMultilevel"/>
    <w:tmpl w:val="579A31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7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6A0209"/>
    <w:multiLevelType w:val="multilevel"/>
    <w:tmpl w:val="D2E2D6B6"/>
    <w:styleLink w:val="Styl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48B7C54"/>
    <w:multiLevelType w:val="multilevel"/>
    <w:tmpl w:val="D2E2D6B6"/>
    <w:numStyleLink w:val="Styl2"/>
  </w:abstractNum>
  <w:abstractNum w:abstractNumId="27" w15:restartNumberingAfterBreak="0">
    <w:nsid w:val="65A00191"/>
    <w:multiLevelType w:val="multilevel"/>
    <w:tmpl w:val="4598308A"/>
    <w:lvl w:ilvl="0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2F75AA"/>
    <w:multiLevelType w:val="multilevel"/>
    <w:tmpl w:val="8B9A2A80"/>
    <w:lvl w:ilvl="0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0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63921"/>
    <w:multiLevelType w:val="hybridMultilevel"/>
    <w:tmpl w:val="E4D4183C"/>
    <w:lvl w:ilvl="0" w:tplc="3B603A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5D38F4"/>
    <w:multiLevelType w:val="multilevel"/>
    <w:tmpl w:val="DE2CFCA0"/>
    <w:numStyleLink w:val="slovn-velkpsmena"/>
  </w:abstractNum>
  <w:abstractNum w:abstractNumId="33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E3D5A"/>
    <w:multiLevelType w:val="multilevel"/>
    <w:tmpl w:val="32F676EA"/>
    <w:lvl w:ilvl="0">
      <w:start w:val="1"/>
      <w:numFmt w:val="decimal"/>
      <w:lvlText w:val="2.7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7222BD4"/>
    <w:multiLevelType w:val="multilevel"/>
    <w:tmpl w:val="3D3A2EB0"/>
    <w:lvl w:ilvl="0">
      <w:start w:val="1"/>
      <w:numFmt w:val="decimal"/>
      <w:lvlText w:val="2.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A2E0EB5"/>
    <w:multiLevelType w:val="multilevel"/>
    <w:tmpl w:val="15BE8384"/>
    <w:lvl w:ilvl="0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2" w:hanging="555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3" w:hanging="1440"/>
      </w:pPr>
      <w:rPr>
        <w:rFonts w:hint="default"/>
      </w:rPr>
    </w:lvl>
  </w:abstractNum>
  <w:num w:numId="1">
    <w:abstractNumId w:val="9"/>
  </w:num>
  <w:num w:numId="2">
    <w:abstractNumId w:val="30"/>
  </w:num>
  <w:num w:numId="3">
    <w:abstractNumId w:val="10"/>
  </w:num>
  <w:num w:numId="4">
    <w:abstractNumId w:val="25"/>
  </w:num>
  <w:num w:numId="5">
    <w:abstractNumId w:val="16"/>
  </w:num>
  <w:num w:numId="6">
    <w:abstractNumId w:val="17"/>
  </w:num>
  <w:num w:numId="7">
    <w:abstractNumId w:val="15"/>
  </w:num>
  <w:num w:numId="8">
    <w:abstractNumId w:val="13"/>
  </w:num>
  <w:num w:numId="9">
    <w:abstractNumId w:val="33"/>
  </w:num>
  <w:num w:numId="10">
    <w:abstractNumId w:val="2"/>
  </w:num>
  <w:num w:numId="11">
    <w:abstractNumId w:val="22"/>
  </w:num>
  <w:num w:numId="12">
    <w:abstractNumId w:val="18"/>
  </w:num>
  <w:num w:numId="13">
    <w:abstractNumId w:val="37"/>
  </w:num>
  <w:num w:numId="14">
    <w:abstractNumId w:val="14"/>
  </w:num>
  <w:num w:numId="15">
    <w:abstractNumId w:val="23"/>
  </w:num>
  <w:num w:numId="16">
    <w:abstractNumId w:val="21"/>
  </w:num>
  <w:num w:numId="17">
    <w:abstractNumId w:val="34"/>
  </w:num>
  <w:num w:numId="18">
    <w:abstractNumId w:val="6"/>
  </w:num>
  <w:num w:numId="19">
    <w:abstractNumId w:val="27"/>
  </w:num>
  <w:num w:numId="20">
    <w:abstractNumId w:val="11"/>
  </w:num>
  <w:num w:numId="21">
    <w:abstractNumId w:val="28"/>
  </w:num>
  <w:num w:numId="22">
    <w:abstractNumId w:val="8"/>
  </w:num>
  <w:num w:numId="23">
    <w:abstractNumId w:val="36"/>
  </w:num>
  <w:num w:numId="24">
    <w:abstractNumId w:val="35"/>
  </w:num>
  <w:num w:numId="25">
    <w:abstractNumId w:val="12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6"/>
  </w:num>
  <w:num w:numId="32">
    <w:abstractNumId w:val="20"/>
  </w:num>
  <w:num w:numId="33">
    <w:abstractNumId w:val="24"/>
  </w:num>
  <w:num w:numId="34">
    <w:abstractNumId w:val="3"/>
  </w:num>
  <w:num w:numId="35">
    <w:abstractNumId w:val="19"/>
  </w:num>
  <w:num w:numId="36">
    <w:abstractNumId w:val="38"/>
  </w:num>
  <w:num w:numId="37">
    <w:abstractNumId w:val="32"/>
    <w:lvlOverride w:ilvl="0">
      <w:lvl w:ilvl="0">
        <w:start w:val="1"/>
        <w:numFmt w:val="upperLetter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8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B6"/>
    <w:rsid w:val="00000AEC"/>
    <w:rsid w:val="000031E3"/>
    <w:rsid w:val="00004162"/>
    <w:rsid w:val="000056C9"/>
    <w:rsid w:val="000067B5"/>
    <w:rsid w:val="00006941"/>
    <w:rsid w:val="0001024B"/>
    <w:rsid w:val="000103CD"/>
    <w:rsid w:val="0001084B"/>
    <w:rsid w:val="0001190C"/>
    <w:rsid w:val="00012595"/>
    <w:rsid w:val="00014FBC"/>
    <w:rsid w:val="00016200"/>
    <w:rsid w:val="00020DF0"/>
    <w:rsid w:val="00023E0F"/>
    <w:rsid w:val="000269DE"/>
    <w:rsid w:val="00027092"/>
    <w:rsid w:val="000277E9"/>
    <w:rsid w:val="0003113D"/>
    <w:rsid w:val="00032351"/>
    <w:rsid w:val="000333B4"/>
    <w:rsid w:val="00033F43"/>
    <w:rsid w:val="0003415C"/>
    <w:rsid w:val="000341AF"/>
    <w:rsid w:val="000343B2"/>
    <w:rsid w:val="00034C66"/>
    <w:rsid w:val="000359D6"/>
    <w:rsid w:val="0003659A"/>
    <w:rsid w:val="0004260F"/>
    <w:rsid w:val="00045DC6"/>
    <w:rsid w:val="000540F2"/>
    <w:rsid w:val="00054720"/>
    <w:rsid w:val="00055603"/>
    <w:rsid w:val="000601C7"/>
    <w:rsid w:val="00060851"/>
    <w:rsid w:val="000664A2"/>
    <w:rsid w:val="00077008"/>
    <w:rsid w:val="00077718"/>
    <w:rsid w:val="00077F31"/>
    <w:rsid w:val="00080B00"/>
    <w:rsid w:val="00081E97"/>
    <w:rsid w:val="000839F7"/>
    <w:rsid w:val="00084DA2"/>
    <w:rsid w:val="00084F31"/>
    <w:rsid w:val="00085618"/>
    <w:rsid w:val="00090ECC"/>
    <w:rsid w:val="00096856"/>
    <w:rsid w:val="00097110"/>
    <w:rsid w:val="0009786D"/>
    <w:rsid w:val="00097CD0"/>
    <w:rsid w:val="000A025A"/>
    <w:rsid w:val="000A10CA"/>
    <w:rsid w:val="000A2D57"/>
    <w:rsid w:val="000A3B0B"/>
    <w:rsid w:val="000A6CC5"/>
    <w:rsid w:val="000A7273"/>
    <w:rsid w:val="000B0C00"/>
    <w:rsid w:val="000B0F48"/>
    <w:rsid w:val="000B1956"/>
    <w:rsid w:val="000C117C"/>
    <w:rsid w:val="000C19A5"/>
    <w:rsid w:val="000C6477"/>
    <w:rsid w:val="000C676E"/>
    <w:rsid w:val="000D0067"/>
    <w:rsid w:val="000D04DB"/>
    <w:rsid w:val="000D0FEA"/>
    <w:rsid w:val="000E51F6"/>
    <w:rsid w:val="000E7A1F"/>
    <w:rsid w:val="000E7FF2"/>
    <w:rsid w:val="000F0A57"/>
    <w:rsid w:val="000F0B7B"/>
    <w:rsid w:val="000F2EBD"/>
    <w:rsid w:val="000F414C"/>
    <w:rsid w:val="000F4D58"/>
    <w:rsid w:val="000F4DC1"/>
    <w:rsid w:val="000F5B35"/>
    <w:rsid w:val="000F7BEF"/>
    <w:rsid w:val="001001E1"/>
    <w:rsid w:val="001031FB"/>
    <w:rsid w:val="0010468E"/>
    <w:rsid w:val="001050E9"/>
    <w:rsid w:val="00107F95"/>
    <w:rsid w:val="001109FB"/>
    <w:rsid w:val="00110EE9"/>
    <w:rsid w:val="00113820"/>
    <w:rsid w:val="00113DF5"/>
    <w:rsid w:val="00117FC6"/>
    <w:rsid w:val="00121F8B"/>
    <w:rsid w:val="00130538"/>
    <w:rsid w:val="0013216D"/>
    <w:rsid w:val="001330AA"/>
    <w:rsid w:val="00133185"/>
    <w:rsid w:val="00134D8E"/>
    <w:rsid w:val="00135937"/>
    <w:rsid w:val="0013749C"/>
    <w:rsid w:val="0014043E"/>
    <w:rsid w:val="00143FF3"/>
    <w:rsid w:val="001442F1"/>
    <w:rsid w:val="001532C9"/>
    <w:rsid w:val="00154E1F"/>
    <w:rsid w:val="00154F5A"/>
    <w:rsid w:val="0015517B"/>
    <w:rsid w:val="00155459"/>
    <w:rsid w:val="001637A1"/>
    <w:rsid w:val="00167C2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5791"/>
    <w:rsid w:val="001A01D6"/>
    <w:rsid w:val="001A1869"/>
    <w:rsid w:val="001A1DC3"/>
    <w:rsid w:val="001A2CD7"/>
    <w:rsid w:val="001A3F5A"/>
    <w:rsid w:val="001A50C9"/>
    <w:rsid w:val="001A523E"/>
    <w:rsid w:val="001A7313"/>
    <w:rsid w:val="001A738F"/>
    <w:rsid w:val="001B1FBE"/>
    <w:rsid w:val="001B75B2"/>
    <w:rsid w:val="001C2A7F"/>
    <w:rsid w:val="001C31E0"/>
    <w:rsid w:val="001C3896"/>
    <w:rsid w:val="001C3BC4"/>
    <w:rsid w:val="001C46FA"/>
    <w:rsid w:val="001C493A"/>
    <w:rsid w:val="001C4C5E"/>
    <w:rsid w:val="001C7BF8"/>
    <w:rsid w:val="001D0842"/>
    <w:rsid w:val="001D2944"/>
    <w:rsid w:val="001D3D4C"/>
    <w:rsid w:val="001D573C"/>
    <w:rsid w:val="001D7F15"/>
    <w:rsid w:val="001E311D"/>
    <w:rsid w:val="001E7D3B"/>
    <w:rsid w:val="001F1C6E"/>
    <w:rsid w:val="001F476B"/>
    <w:rsid w:val="001F58C0"/>
    <w:rsid w:val="001F77D4"/>
    <w:rsid w:val="00200FF3"/>
    <w:rsid w:val="00201613"/>
    <w:rsid w:val="002021DB"/>
    <w:rsid w:val="00203043"/>
    <w:rsid w:val="00207BD3"/>
    <w:rsid w:val="00213AAC"/>
    <w:rsid w:val="00214B59"/>
    <w:rsid w:val="00214E32"/>
    <w:rsid w:val="002153D3"/>
    <w:rsid w:val="00215E8B"/>
    <w:rsid w:val="00221407"/>
    <w:rsid w:val="002228DC"/>
    <w:rsid w:val="00224037"/>
    <w:rsid w:val="00224653"/>
    <w:rsid w:val="00224672"/>
    <w:rsid w:val="002250DE"/>
    <w:rsid w:val="0022613A"/>
    <w:rsid w:val="002267B4"/>
    <w:rsid w:val="002271EB"/>
    <w:rsid w:val="00230100"/>
    <w:rsid w:val="002316B5"/>
    <w:rsid w:val="0023273B"/>
    <w:rsid w:val="002327ED"/>
    <w:rsid w:val="00232A2E"/>
    <w:rsid w:val="00232BA8"/>
    <w:rsid w:val="00235F27"/>
    <w:rsid w:val="00242FA7"/>
    <w:rsid w:val="002459D2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CDF"/>
    <w:rsid w:val="00264FB0"/>
    <w:rsid w:val="0027116E"/>
    <w:rsid w:val="00272535"/>
    <w:rsid w:val="002738BA"/>
    <w:rsid w:val="00273FFA"/>
    <w:rsid w:val="002764DC"/>
    <w:rsid w:val="002764E4"/>
    <w:rsid w:val="00280B20"/>
    <w:rsid w:val="00281EC2"/>
    <w:rsid w:val="0028468F"/>
    <w:rsid w:val="002904DC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4B57"/>
    <w:rsid w:val="002B57A6"/>
    <w:rsid w:val="002B6EAE"/>
    <w:rsid w:val="002C18E9"/>
    <w:rsid w:val="002C2B1D"/>
    <w:rsid w:val="002C4130"/>
    <w:rsid w:val="002C42C6"/>
    <w:rsid w:val="002C6A91"/>
    <w:rsid w:val="002D15A4"/>
    <w:rsid w:val="002D22B3"/>
    <w:rsid w:val="002E500A"/>
    <w:rsid w:val="002E6FFB"/>
    <w:rsid w:val="002F05B2"/>
    <w:rsid w:val="002F0718"/>
    <w:rsid w:val="002F0CD4"/>
    <w:rsid w:val="002F40FB"/>
    <w:rsid w:val="002F7C0A"/>
    <w:rsid w:val="003068FE"/>
    <w:rsid w:val="00310384"/>
    <w:rsid w:val="00311B0D"/>
    <w:rsid w:val="00312551"/>
    <w:rsid w:val="003154F3"/>
    <w:rsid w:val="00317AD3"/>
    <w:rsid w:val="00320BB3"/>
    <w:rsid w:val="0032209A"/>
    <w:rsid w:val="00326087"/>
    <w:rsid w:val="00326953"/>
    <w:rsid w:val="00330496"/>
    <w:rsid w:val="0033178A"/>
    <w:rsid w:val="00331D89"/>
    <w:rsid w:val="00332B78"/>
    <w:rsid w:val="00335684"/>
    <w:rsid w:val="00335E55"/>
    <w:rsid w:val="00341B9F"/>
    <w:rsid w:val="003425D8"/>
    <w:rsid w:val="0034317C"/>
    <w:rsid w:val="00343282"/>
    <w:rsid w:val="003450CC"/>
    <w:rsid w:val="0034551F"/>
    <w:rsid w:val="003464F6"/>
    <w:rsid w:val="003465BD"/>
    <w:rsid w:val="00350DB1"/>
    <w:rsid w:val="0035101F"/>
    <w:rsid w:val="00356A38"/>
    <w:rsid w:val="003572A6"/>
    <w:rsid w:val="00360BB0"/>
    <w:rsid w:val="00360E3C"/>
    <w:rsid w:val="0036116C"/>
    <w:rsid w:val="003642DB"/>
    <w:rsid w:val="00365F74"/>
    <w:rsid w:val="003679A4"/>
    <w:rsid w:val="00370387"/>
    <w:rsid w:val="003705FD"/>
    <w:rsid w:val="00371E80"/>
    <w:rsid w:val="00372283"/>
    <w:rsid w:val="00374B37"/>
    <w:rsid w:val="00380524"/>
    <w:rsid w:val="00380BB3"/>
    <w:rsid w:val="00381E13"/>
    <w:rsid w:val="00382AF2"/>
    <w:rsid w:val="0038407C"/>
    <w:rsid w:val="00384906"/>
    <w:rsid w:val="003865AB"/>
    <w:rsid w:val="00391366"/>
    <w:rsid w:val="0039186C"/>
    <w:rsid w:val="00392C58"/>
    <w:rsid w:val="00395250"/>
    <w:rsid w:val="003971E3"/>
    <w:rsid w:val="0039741A"/>
    <w:rsid w:val="003A0421"/>
    <w:rsid w:val="003A118E"/>
    <w:rsid w:val="003A155F"/>
    <w:rsid w:val="003A279D"/>
    <w:rsid w:val="003A4222"/>
    <w:rsid w:val="003B3C93"/>
    <w:rsid w:val="003B58D8"/>
    <w:rsid w:val="003B73D9"/>
    <w:rsid w:val="003B79BF"/>
    <w:rsid w:val="003C0DEB"/>
    <w:rsid w:val="003C191B"/>
    <w:rsid w:val="003C27EE"/>
    <w:rsid w:val="003C2CE5"/>
    <w:rsid w:val="003C2DB7"/>
    <w:rsid w:val="003C3394"/>
    <w:rsid w:val="003C4B96"/>
    <w:rsid w:val="003C4D8D"/>
    <w:rsid w:val="003C7019"/>
    <w:rsid w:val="003C7D48"/>
    <w:rsid w:val="003D1A3B"/>
    <w:rsid w:val="003D1F93"/>
    <w:rsid w:val="003D204B"/>
    <w:rsid w:val="003D3637"/>
    <w:rsid w:val="003D469F"/>
    <w:rsid w:val="003E0867"/>
    <w:rsid w:val="003E0C16"/>
    <w:rsid w:val="003E34CC"/>
    <w:rsid w:val="003E3750"/>
    <w:rsid w:val="003E3841"/>
    <w:rsid w:val="003E6167"/>
    <w:rsid w:val="003F4800"/>
    <w:rsid w:val="003F7218"/>
    <w:rsid w:val="004036F1"/>
    <w:rsid w:val="00404905"/>
    <w:rsid w:val="00406A5F"/>
    <w:rsid w:val="004149EA"/>
    <w:rsid w:val="0042166D"/>
    <w:rsid w:val="00421FDC"/>
    <w:rsid w:val="004239DC"/>
    <w:rsid w:val="00425023"/>
    <w:rsid w:val="0042564D"/>
    <w:rsid w:val="00426552"/>
    <w:rsid w:val="004337FE"/>
    <w:rsid w:val="00433D9F"/>
    <w:rsid w:val="004458BA"/>
    <w:rsid w:val="00445E75"/>
    <w:rsid w:val="0044603E"/>
    <w:rsid w:val="00452183"/>
    <w:rsid w:val="00452E14"/>
    <w:rsid w:val="00453225"/>
    <w:rsid w:val="00453F72"/>
    <w:rsid w:val="00456426"/>
    <w:rsid w:val="00456453"/>
    <w:rsid w:val="00464C42"/>
    <w:rsid w:val="00465726"/>
    <w:rsid w:val="004658EB"/>
    <w:rsid w:val="0046667D"/>
    <w:rsid w:val="00473800"/>
    <w:rsid w:val="00476D9C"/>
    <w:rsid w:val="00477CF1"/>
    <w:rsid w:val="004811C2"/>
    <w:rsid w:val="00481386"/>
    <w:rsid w:val="00482359"/>
    <w:rsid w:val="004827DC"/>
    <w:rsid w:val="00483E40"/>
    <w:rsid w:val="00484BB4"/>
    <w:rsid w:val="004909E0"/>
    <w:rsid w:val="00491468"/>
    <w:rsid w:val="0049169D"/>
    <w:rsid w:val="00494E63"/>
    <w:rsid w:val="00496683"/>
    <w:rsid w:val="004977B4"/>
    <w:rsid w:val="004A121B"/>
    <w:rsid w:val="004A2A87"/>
    <w:rsid w:val="004A345D"/>
    <w:rsid w:val="004A367D"/>
    <w:rsid w:val="004A42FD"/>
    <w:rsid w:val="004A73A8"/>
    <w:rsid w:val="004A7B67"/>
    <w:rsid w:val="004B2B44"/>
    <w:rsid w:val="004B5C30"/>
    <w:rsid w:val="004D25AB"/>
    <w:rsid w:val="004D3225"/>
    <w:rsid w:val="004D4F69"/>
    <w:rsid w:val="004E0C7F"/>
    <w:rsid w:val="004E11DA"/>
    <w:rsid w:val="004E3128"/>
    <w:rsid w:val="004E374F"/>
    <w:rsid w:val="004E63A5"/>
    <w:rsid w:val="004E6E4E"/>
    <w:rsid w:val="004E7D98"/>
    <w:rsid w:val="004F46FE"/>
    <w:rsid w:val="004F681F"/>
    <w:rsid w:val="005004B8"/>
    <w:rsid w:val="00501006"/>
    <w:rsid w:val="0050101E"/>
    <w:rsid w:val="005015FA"/>
    <w:rsid w:val="00502A56"/>
    <w:rsid w:val="00502BF0"/>
    <w:rsid w:val="00506C8E"/>
    <w:rsid w:val="005128B6"/>
    <w:rsid w:val="00512999"/>
    <w:rsid w:val="00513C02"/>
    <w:rsid w:val="00516021"/>
    <w:rsid w:val="00516CFC"/>
    <w:rsid w:val="00517364"/>
    <w:rsid w:val="00521A2D"/>
    <w:rsid w:val="0052287A"/>
    <w:rsid w:val="005249F1"/>
    <w:rsid w:val="00527B81"/>
    <w:rsid w:val="00530186"/>
    <w:rsid w:val="0053028B"/>
    <w:rsid w:val="005302DA"/>
    <w:rsid w:val="00530706"/>
    <w:rsid w:val="00531A4B"/>
    <w:rsid w:val="00532F0A"/>
    <w:rsid w:val="00532F42"/>
    <w:rsid w:val="00533066"/>
    <w:rsid w:val="0053344E"/>
    <w:rsid w:val="00535590"/>
    <w:rsid w:val="0053637F"/>
    <w:rsid w:val="005375AD"/>
    <w:rsid w:val="0054493C"/>
    <w:rsid w:val="0054567D"/>
    <w:rsid w:val="005471ED"/>
    <w:rsid w:val="00547E3D"/>
    <w:rsid w:val="005560D6"/>
    <w:rsid w:val="00556CF6"/>
    <w:rsid w:val="00556F6C"/>
    <w:rsid w:val="00561901"/>
    <w:rsid w:val="00561DCF"/>
    <w:rsid w:val="00563C77"/>
    <w:rsid w:val="005679B6"/>
    <w:rsid w:val="005715B2"/>
    <w:rsid w:val="00575F21"/>
    <w:rsid w:val="005813D2"/>
    <w:rsid w:val="0058382A"/>
    <w:rsid w:val="0058529F"/>
    <w:rsid w:val="00587741"/>
    <w:rsid w:val="00593137"/>
    <w:rsid w:val="00593FB6"/>
    <w:rsid w:val="00597601"/>
    <w:rsid w:val="005A1888"/>
    <w:rsid w:val="005A24AA"/>
    <w:rsid w:val="005A375C"/>
    <w:rsid w:val="005A5936"/>
    <w:rsid w:val="005A79D1"/>
    <w:rsid w:val="005C1B8E"/>
    <w:rsid w:val="005C305B"/>
    <w:rsid w:val="005C66A6"/>
    <w:rsid w:val="005D342B"/>
    <w:rsid w:val="005D4B74"/>
    <w:rsid w:val="005D4E95"/>
    <w:rsid w:val="005D5494"/>
    <w:rsid w:val="005D6BBE"/>
    <w:rsid w:val="005E246A"/>
    <w:rsid w:val="005E3FA2"/>
    <w:rsid w:val="005E7987"/>
    <w:rsid w:val="005F060A"/>
    <w:rsid w:val="005F11F1"/>
    <w:rsid w:val="005F183C"/>
    <w:rsid w:val="005F5DA0"/>
    <w:rsid w:val="005F7341"/>
    <w:rsid w:val="005F77BE"/>
    <w:rsid w:val="006019EF"/>
    <w:rsid w:val="00602127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6C01"/>
    <w:rsid w:val="00627369"/>
    <w:rsid w:val="00627496"/>
    <w:rsid w:val="00627B14"/>
    <w:rsid w:val="0063279B"/>
    <w:rsid w:val="00634335"/>
    <w:rsid w:val="006368D9"/>
    <w:rsid w:val="00637581"/>
    <w:rsid w:val="006404B6"/>
    <w:rsid w:val="0064460A"/>
    <w:rsid w:val="0064470C"/>
    <w:rsid w:val="00645880"/>
    <w:rsid w:val="00651A18"/>
    <w:rsid w:val="00652055"/>
    <w:rsid w:val="00653634"/>
    <w:rsid w:val="00653D3A"/>
    <w:rsid w:val="00653F9E"/>
    <w:rsid w:val="00661340"/>
    <w:rsid w:val="00661B98"/>
    <w:rsid w:val="00661D7E"/>
    <w:rsid w:val="00665130"/>
    <w:rsid w:val="00666281"/>
    <w:rsid w:val="0066668E"/>
    <w:rsid w:val="00666A40"/>
    <w:rsid w:val="006670E0"/>
    <w:rsid w:val="00667EEE"/>
    <w:rsid w:val="0067014F"/>
    <w:rsid w:val="00670416"/>
    <w:rsid w:val="00671CAA"/>
    <w:rsid w:val="00671F52"/>
    <w:rsid w:val="0067485C"/>
    <w:rsid w:val="00675B7D"/>
    <w:rsid w:val="00676DAE"/>
    <w:rsid w:val="006772F3"/>
    <w:rsid w:val="006817FF"/>
    <w:rsid w:val="006821A1"/>
    <w:rsid w:val="00682D19"/>
    <w:rsid w:val="00686F62"/>
    <w:rsid w:val="0068794D"/>
    <w:rsid w:val="006879E1"/>
    <w:rsid w:val="00690862"/>
    <w:rsid w:val="00690A7B"/>
    <w:rsid w:val="0069250C"/>
    <w:rsid w:val="00693FBF"/>
    <w:rsid w:val="00695652"/>
    <w:rsid w:val="006A0B1A"/>
    <w:rsid w:val="006A3365"/>
    <w:rsid w:val="006A5330"/>
    <w:rsid w:val="006A6442"/>
    <w:rsid w:val="006A64D9"/>
    <w:rsid w:val="006B6671"/>
    <w:rsid w:val="006B6F68"/>
    <w:rsid w:val="006C2792"/>
    <w:rsid w:val="006C349E"/>
    <w:rsid w:val="006C3690"/>
    <w:rsid w:val="006C436B"/>
    <w:rsid w:val="006C7AF6"/>
    <w:rsid w:val="006D0421"/>
    <w:rsid w:val="006D3277"/>
    <w:rsid w:val="006D3B94"/>
    <w:rsid w:val="006D52CD"/>
    <w:rsid w:val="006D5327"/>
    <w:rsid w:val="006D7684"/>
    <w:rsid w:val="006E12A7"/>
    <w:rsid w:val="006E1A88"/>
    <w:rsid w:val="006E30A7"/>
    <w:rsid w:val="006E3282"/>
    <w:rsid w:val="006E40B4"/>
    <w:rsid w:val="006E4294"/>
    <w:rsid w:val="006F00C2"/>
    <w:rsid w:val="006F1AC2"/>
    <w:rsid w:val="006F61D3"/>
    <w:rsid w:val="007024F2"/>
    <w:rsid w:val="007037B8"/>
    <w:rsid w:val="00704E1D"/>
    <w:rsid w:val="00704FA8"/>
    <w:rsid w:val="00707684"/>
    <w:rsid w:val="00707D1B"/>
    <w:rsid w:val="0071310E"/>
    <w:rsid w:val="00713175"/>
    <w:rsid w:val="007139C0"/>
    <w:rsid w:val="00716E15"/>
    <w:rsid w:val="00724C83"/>
    <w:rsid w:val="00725F46"/>
    <w:rsid w:val="007268E3"/>
    <w:rsid w:val="007271CC"/>
    <w:rsid w:val="00730513"/>
    <w:rsid w:val="007309D4"/>
    <w:rsid w:val="00734423"/>
    <w:rsid w:val="007377CA"/>
    <w:rsid w:val="00737B01"/>
    <w:rsid w:val="00740B6D"/>
    <w:rsid w:val="00741B06"/>
    <w:rsid w:val="007440FF"/>
    <w:rsid w:val="007451FC"/>
    <w:rsid w:val="007459FA"/>
    <w:rsid w:val="00745B01"/>
    <w:rsid w:val="00747005"/>
    <w:rsid w:val="00747EE5"/>
    <w:rsid w:val="00750001"/>
    <w:rsid w:val="00752B1B"/>
    <w:rsid w:val="00754D4B"/>
    <w:rsid w:val="00755DA6"/>
    <w:rsid w:val="0076157E"/>
    <w:rsid w:val="00762AB3"/>
    <w:rsid w:val="00763E54"/>
    <w:rsid w:val="007671EB"/>
    <w:rsid w:val="0076734A"/>
    <w:rsid w:val="00774034"/>
    <w:rsid w:val="00774CB1"/>
    <w:rsid w:val="00775573"/>
    <w:rsid w:val="00776BDB"/>
    <w:rsid w:val="007805AB"/>
    <w:rsid w:val="00784D5D"/>
    <w:rsid w:val="007852FE"/>
    <w:rsid w:val="00786148"/>
    <w:rsid w:val="00787F0E"/>
    <w:rsid w:val="00790CF7"/>
    <w:rsid w:val="0079560F"/>
    <w:rsid w:val="007A0D3C"/>
    <w:rsid w:val="007A14CE"/>
    <w:rsid w:val="007A2187"/>
    <w:rsid w:val="007A24DE"/>
    <w:rsid w:val="007A3504"/>
    <w:rsid w:val="007A4E91"/>
    <w:rsid w:val="007A7820"/>
    <w:rsid w:val="007B07B3"/>
    <w:rsid w:val="007B0D43"/>
    <w:rsid w:val="007B5A3D"/>
    <w:rsid w:val="007C3392"/>
    <w:rsid w:val="007C5C59"/>
    <w:rsid w:val="007C6242"/>
    <w:rsid w:val="007C7311"/>
    <w:rsid w:val="007C7672"/>
    <w:rsid w:val="007D03A0"/>
    <w:rsid w:val="007D1F7E"/>
    <w:rsid w:val="007D3047"/>
    <w:rsid w:val="007D63E7"/>
    <w:rsid w:val="007D6E4C"/>
    <w:rsid w:val="007D7C4F"/>
    <w:rsid w:val="007E5D56"/>
    <w:rsid w:val="007E77EC"/>
    <w:rsid w:val="007F03FE"/>
    <w:rsid w:val="007F5278"/>
    <w:rsid w:val="007F610A"/>
    <w:rsid w:val="00802B85"/>
    <w:rsid w:val="00802EE3"/>
    <w:rsid w:val="0080593D"/>
    <w:rsid w:val="008105FB"/>
    <w:rsid w:val="00810AA9"/>
    <w:rsid w:val="00811766"/>
    <w:rsid w:val="00813396"/>
    <w:rsid w:val="00814614"/>
    <w:rsid w:val="00817E89"/>
    <w:rsid w:val="00821DA0"/>
    <w:rsid w:val="00821F09"/>
    <w:rsid w:val="00821FD2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37881"/>
    <w:rsid w:val="00841A2F"/>
    <w:rsid w:val="00841E18"/>
    <w:rsid w:val="00843283"/>
    <w:rsid w:val="0085333E"/>
    <w:rsid w:val="008542FD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5CCB"/>
    <w:rsid w:val="008761BB"/>
    <w:rsid w:val="00877895"/>
    <w:rsid w:val="008810DC"/>
    <w:rsid w:val="008817EC"/>
    <w:rsid w:val="00887F62"/>
    <w:rsid w:val="008901D3"/>
    <w:rsid w:val="0089031E"/>
    <w:rsid w:val="00890759"/>
    <w:rsid w:val="00891130"/>
    <w:rsid w:val="00891343"/>
    <w:rsid w:val="008938E7"/>
    <w:rsid w:val="0089556E"/>
    <w:rsid w:val="00895948"/>
    <w:rsid w:val="00897058"/>
    <w:rsid w:val="008A03D8"/>
    <w:rsid w:val="008A0DA4"/>
    <w:rsid w:val="008A4344"/>
    <w:rsid w:val="008B0709"/>
    <w:rsid w:val="008B0801"/>
    <w:rsid w:val="008B2228"/>
    <w:rsid w:val="008B3B19"/>
    <w:rsid w:val="008B3DF9"/>
    <w:rsid w:val="008B593C"/>
    <w:rsid w:val="008B60DF"/>
    <w:rsid w:val="008B79B1"/>
    <w:rsid w:val="008C0B86"/>
    <w:rsid w:val="008C1B8D"/>
    <w:rsid w:val="008C2446"/>
    <w:rsid w:val="008C28C7"/>
    <w:rsid w:val="008C3BA4"/>
    <w:rsid w:val="008C41AF"/>
    <w:rsid w:val="008C4C1A"/>
    <w:rsid w:val="008C6488"/>
    <w:rsid w:val="008D11A9"/>
    <w:rsid w:val="008D36D2"/>
    <w:rsid w:val="008D4CE6"/>
    <w:rsid w:val="008D79F6"/>
    <w:rsid w:val="008D7E60"/>
    <w:rsid w:val="008E6A28"/>
    <w:rsid w:val="008F213B"/>
    <w:rsid w:val="008F3E07"/>
    <w:rsid w:val="008F5671"/>
    <w:rsid w:val="008F5954"/>
    <w:rsid w:val="009006E2"/>
    <w:rsid w:val="0090147A"/>
    <w:rsid w:val="00907146"/>
    <w:rsid w:val="00911968"/>
    <w:rsid w:val="00915200"/>
    <w:rsid w:val="00915A77"/>
    <w:rsid w:val="00920961"/>
    <w:rsid w:val="00923432"/>
    <w:rsid w:val="0092495E"/>
    <w:rsid w:val="009259B5"/>
    <w:rsid w:val="0092682D"/>
    <w:rsid w:val="00930F4A"/>
    <w:rsid w:val="00934C3A"/>
    <w:rsid w:val="00936887"/>
    <w:rsid w:val="00941328"/>
    <w:rsid w:val="009504F0"/>
    <w:rsid w:val="00950BBB"/>
    <w:rsid w:val="0095153A"/>
    <w:rsid w:val="00952262"/>
    <w:rsid w:val="0095493D"/>
    <w:rsid w:val="009568D0"/>
    <w:rsid w:val="0096035D"/>
    <w:rsid w:val="00964DA9"/>
    <w:rsid w:val="00966A12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3369"/>
    <w:rsid w:val="00983DD5"/>
    <w:rsid w:val="00987DBC"/>
    <w:rsid w:val="00991A45"/>
    <w:rsid w:val="00992296"/>
    <w:rsid w:val="009928BB"/>
    <w:rsid w:val="009939B9"/>
    <w:rsid w:val="00997131"/>
    <w:rsid w:val="009A0E3C"/>
    <w:rsid w:val="009A2F62"/>
    <w:rsid w:val="009A340F"/>
    <w:rsid w:val="009A3C2C"/>
    <w:rsid w:val="009A7349"/>
    <w:rsid w:val="009B14DA"/>
    <w:rsid w:val="009B1C0B"/>
    <w:rsid w:val="009B2AEF"/>
    <w:rsid w:val="009B2E61"/>
    <w:rsid w:val="009B6503"/>
    <w:rsid w:val="009C1FF3"/>
    <w:rsid w:val="009C25E9"/>
    <w:rsid w:val="009C434C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D4940"/>
    <w:rsid w:val="009E187D"/>
    <w:rsid w:val="009E4EC6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627B"/>
    <w:rsid w:val="00A068D2"/>
    <w:rsid w:val="00A07780"/>
    <w:rsid w:val="00A108CF"/>
    <w:rsid w:val="00A13F76"/>
    <w:rsid w:val="00A1481C"/>
    <w:rsid w:val="00A14A74"/>
    <w:rsid w:val="00A14C7C"/>
    <w:rsid w:val="00A16739"/>
    <w:rsid w:val="00A17AE6"/>
    <w:rsid w:val="00A20068"/>
    <w:rsid w:val="00A201F7"/>
    <w:rsid w:val="00A2121E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191"/>
    <w:rsid w:val="00A46BF6"/>
    <w:rsid w:val="00A47E9D"/>
    <w:rsid w:val="00A501BF"/>
    <w:rsid w:val="00A50917"/>
    <w:rsid w:val="00A51020"/>
    <w:rsid w:val="00A55671"/>
    <w:rsid w:val="00A563AE"/>
    <w:rsid w:val="00A60950"/>
    <w:rsid w:val="00A61B82"/>
    <w:rsid w:val="00A61BB5"/>
    <w:rsid w:val="00A6332F"/>
    <w:rsid w:val="00A65C48"/>
    <w:rsid w:val="00A67A4E"/>
    <w:rsid w:val="00A70018"/>
    <w:rsid w:val="00A709EB"/>
    <w:rsid w:val="00A73041"/>
    <w:rsid w:val="00A735B5"/>
    <w:rsid w:val="00A73D64"/>
    <w:rsid w:val="00A75225"/>
    <w:rsid w:val="00A77470"/>
    <w:rsid w:val="00A84C97"/>
    <w:rsid w:val="00A86C4A"/>
    <w:rsid w:val="00A87ED1"/>
    <w:rsid w:val="00A911F5"/>
    <w:rsid w:val="00A92E5F"/>
    <w:rsid w:val="00A940FA"/>
    <w:rsid w:val="00A94337"/>
    <w:rsid w:val="00AA0586"/>
    <w:rsid w:val="00AA34DB"/>
    <w:rsid w:val="00AA4296"/>
    <w:rsid w:val="00AA4846"/>
    <w:rsid w:val="00AA59FC"/>
    <w:rsid w:val="00AA5E00"/>
    <w:rsid w:val="00AA716D"/>
    <w:rsid w:val="00AB010E"/>
    <w:rsid w:val="00AB2CAD"/>
    <w:rsid w:val="00AB51EE"/>
    <w:rsid w:val="00AB6B56"/>
    <w:rsid w:val="00AB7146"/>
    <w:rsid w:val="00AB7C43"/>
    <w:rsid w:val="00AC052B"/>
    <w:rsid w:val="00AC1905"/>
    <w:rsid w:val="00AC26C2"/>
    <w:rsid w:val="00AC479B"/>
    <w:rsid w:val="00AC7968"/>
    <w:rsid w:val="00AC7B1C"/>
    <w:rsid w:val="00AD067F"/>
    <w:rsid w:val="00AD0830"/>
    <w:rsid w:val="00AD40EB"/>
    <w:rsid w:val="00AD4E9C"/>
    <w:rsid w:val="00AE3136"/>
    <w:rsid w:val="00AE3A79"/>
    <w:rsid w:val="00AE61F5"/>
    <w:rsid w:val="00AF4C35"/>
    <w:rsid w:val="00AF521E"/>
    <w:rsid w:val="00AF59C8"/>
    <w:rsid w:val="00AF6C78"/>
    <w:rsid w:val="00B03EC1"/>
    <w:rsid w:val="00B05BC7"/>
    <w:rsid w:val="00B0743D"/>
    <w:rsid w:val="00B118DC"/>
    <w:rsid w:val="00B12D3B"/>
    <w:rsid w:val="00B1378E"/>
    <w:rsid w:val="00B140DB"/>
    <w:rsid w:val="00B15405"/>
    <w:rsid w:val="00B16FA4"/>
    <w:rsid w:val="00B21C0A"/>
    <w:rsid w:val="00B225C5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44FFA"/>
    <w:rsid w:val="00B5044B"/>
    <w:rsid w:val="00B531D9"/>
    <w:rsid w:val="00B53DB4"/>
    <w:rsid w:val="00B60BF4"/>
    <w:rsid w:val="00B67373"/>
    <w:rsid w:val="00B71C4B"/>
    <w:rsid w:val="00B71D41"/>
    <w:rsid w:val="00B72440"/>
    <w:rsid w:val="00B72F91"/>
    <w:rsid w:val="00B73D27"/>
    <w:rsid w:val="00B76B84"/>
    <w:rsid w:val="00B803B6"/>
    <w:rsid w:val="00B828DD"/>
    <w:rsid w:val="00B82B8A"/>
    <w:rsid w:val="00B85533"/>
    <w:rsid w:val="00B857B0"/>
    <w:rsid w:val="00B85824"/>
    <w:rsid w:val="00B86DA0"/>
    <w:rsid w:val="00B87CD8"/>
    <w:rsid w:val="00B91622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17E9"/>
    <w:rsid w:val="00BD3226"/>
    <w:rsid w:val="00BD32C9"/>
    <w:rsid w:val="00BD3F3B"/>
    <w:rsid w:val="00BE076A"/>
    <w:rsid w:val="00BE11DD"/>
    <w:rsid w:val="00BE2287"/>
    <w:rsid w:val="00BE3DC9"/>
    <w:rsid w:val="00BF0D5E"/>
    <w:rsid w:val="00BF22E8"/>
    <w:rsid w:val="00BF39D4"/>
    <w:rsid w:val="00BF4B52"/>
    <w:rsid w:val="00BF7D0C"/>
    <w:rsid w:val="00C009F1"/>
    <w:rsid w:val="00C01DF2"/>
    <w:rsid w:val="00C04539"/>
    <w:rsid w:val="00C0463C"/>
    <w:rsid w:val="00C0582E"/>
    <w:rsid w:val="00C1083B"/>
    <w:rsid w:val="00C12222"/>
    <w:rsid w:val="00C125D3"/>
    <w:rsid w:val="00C15B00"/>
    <w:rsid w:val="00C15F1C"/>
    <w:rsid w:val="00C16350"/>
    <w:rsid w:val="00C1778E"/>
    <w:rsid w:val="00C17C35"/>
    <w:rsid w:val="00C3353B"/>
    <w:rsid w:val="00C3522F"/>
    <w:rsid w:val="00C41101"/>
    <w:rsid w:val="00C4353B"/>
    <w:rsid w:val="00C43EAA"/>
    <w:rsid w:val="00C453FF"/>
    <w:rsid w:val="00C5005F"/>
    <w:rsid w:val="00C50884"/>
    <w:rsid w:val="00C519BA"/>
    <w:rsid w:val="00C52016"/>
    <w:rsid w:val="00C52F06"/>
    <w:rsid w:val="00C52F93"/>
    <w:rsid w:val="00C530E9"/>
    <w:rsid w:val="00C57B66"/>
    <w:rsid w:val="00C63B67"/>
    <w:rsid w:val="00C6767D"/>
    <w:rsid w:val="00C73135"/>
    <w:rsid w:val="00C73C17"/>
    <w:rsid w:val="00C742CF"/>
    <w:rsid w:val="00C8046A"/>
    <w:rsid w:val="00C8206E"/>
    <w:rsid w:val="00C84E69"/>
    <w:rsid w:val="00C8657D"/>
    <w:rsid w:val="00C870A8"/>
    <w:rsid w:val="00C8769D"/>
    <w:rsid w:val="00C87D47"/>
    <w:rsid w:val="00C9016E"/>
    <w:rsid w:val="00C93090"/>
    <w:rsid w:val="00C93ACC"/>
    <w:rsid w:val="00C93C4E"/>
    <w:rsid w:val="00C94FEC"/>
    <w:rsid w:val="00C97235"/>
    <w:rsid w:val="00CA03DC"/>
    <w:rsid w:val="00CB1C1A"/>
    <w:rsid w:val="00CB2C87"/>
    <w:rsid w:val="00CB2E92"/>
    <w:rsid w:val="00CB4153"/>
    <w:rsid w:val="00CB5090"/>
    <w:rsid w:val="00CB7238"/>
    <w:rsid w:val="00CB7467"/>
    <w:rsid w:val="00CC0935"/>
    <w:rsid w:val="00CC2C32"/>
    <w:rsid w:val="00CC77F0"/>
    <w:rsid w:val="00CD00B1"/>
    <w:rsid w:val="00CD174B"/>
    <w:rsid w:val="00CD46C4"/>
    <w:rsid w:val="00CD75D7"/>
    <w:rsid w:val="00CE32B0"/>
    <w:rsid w:val="00CE5770"/>
    <w:rsid w:val="00CF2A82"/>
    <w:rsid w:val="00CF41A8"/>
    <w:rsid w:val="00CF6EB1"/>
    <w:rsid w:val="00CF6F8C"/>
    <w:rsid w:val="00D016D6"/>
    <w:rsid w:val="00D01D5F"/>
    <w:rsid w:val="00D02D19"/>
    <w:rsid w:val="00D031C6"/>
    <w:rsid w:val="00D0342B"/>
    <w:rsid w:val="00D0363D"/>
    <w:rsid w:val="00D06513"/>
    <w:rsid w:val="00D06BCC"/>
    <w:rsid w:val="00D06D34"/>
    <w:rsid w:val="00D06F2E"/>
    <w:rsid w:val="00D0788F"/>
    <w:rsid w:val="00D1692E"/>
    <w:rsid w:val="00D16E48"/>
    <w:rsid w:val="00D17412"/>
    <w:rsid w:val="00D177FC"/>
    <w:rsid w:val="00D2042B"/>
    <w:rsid w:val="00D218EF"/>
    <w:rsid w:val="00D21BCE"/>
    <w:rsid w:val="00D25059"/>
    <w:rsid w:val="00D278B6"/>
    <w:rsid w:val="00D301AA"/>
    <w:rsid w:val="00D33879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1B54"/>
    <w:rsid w:val="00D65385"/>
    <w:rsid w:val="00D65D59"/>
    <w:rsid w:val="00D729ED"/>
    <w:rsid w:val="00D72F3E"/>
    <w:rsid w:val="00D7357B"/>
    <w:rsid w:val="00D737F3"/>
    <w:rsid w:val="00D74929"/>
    <w:rsid w:val="00D75496"/>
    <w:rsid w:val="00D81456"/>
    <w:rsid w:val="00D856DD"/>
    <w:rsid w:val="00D85805"/>
    <w:rsid w:val="00D86F64"/>
    <w:rsid w:val="00D97A66"/>
    <w:rsid w:val="00DA0532"/>
    <w:rsid w:val="00DA1EB6"/>
    <w:rsid w:val="00DA2C42"/>
    <w:rsid w:val="00DA4696"/>
    <w:rsid w:val="00DB0D88"/>
    <w:rsid w:val="00DB1C3A"/>
    <w:rsid w:val="00DB25B2"/>
    <w:rsid w:val="00DB488E"/>
    <w:rsid w:val="00DB52CC"/>
    <w:rsid w:val="00DB61CF"/>
    <w:rsid w:val="00DC0324"/>
    <w:rsid w:val="00DC0C0E"/>
    <w:rsid w:val="00DC10E6"/>
    <w:rsid w:val="00DC2701"/>
    <w:rsid w:val="00DC3430"/>
    <w:rsid w:val="00DC5B69"/>
    <w:rsid w:val="00DC7E96"/>
    <w:rsid w:val="00DD3DE5"/>
    <w:rsid w:val="00DD78E3"/>
    <w:rsid w:val="00DE1773"/>
    <w:rsid w:val="00DE2116"/>
    <w:rsid w:val="00DE32CB"/>
    <w:rsid w:val="00DE4169"/>
    <w:rsid w:val="00DE60B1"/>
    <w:rsid w:val="00DE74ED"/>
    <w:rsid w:val="00DE7BF7"/>
    <w:rsid w:val="00DF041F"/>
    <w:rsid w:val="00DF315D"/>
    <w:rsid w:val="00DF3A6E"/>
    <w:rsid w:val="00E00062"/>
    <w:rsid w:val="00E02F31"/>
    <w:rsid w:val="00E03F89"/>
    <w:rsid w:val="00E04FED"/>
    <w:rsid w:val="00E10DAB"/>
    <w:rsid w:val="00E25D29"/>
    <w:rsid w:val="00E261D5"/>
    <w:rsid w:val="00E265F8"/>
    <w:rsid w:val="00E271D5"/>
    <w:rsid w:val="00E27A97"/>
    <w:rsid w:val="00E32292"/>
    <w:rsid w:val="00E32A78"/>
    <w:rsid w:val="00E34ED3"/>
    <w:rsid w:val="00E4533D"/>
    <w:rsid w:val="00E454E9"/>
    <w:rsid w:val="00E47CF1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1674"/>
    <w:rsid w:val="00E71A9B"/>
    <w:rsid w:val="00E71CB1"/>
    <w:rsid w:val="00E730FA"/>
    <w:rsid w:val="00E75096"/>
    <w:rsid w:val="00E750C8"/>
    <w:rsid w:val="00E75B05"/>
    <w:rsid w:val="00E7747C"/>
    <w:rsid w:val="00E813A6"/>
    <w:rsid w:val="00E82D44"/>
    <w:rsid w:val="00E835DC"/>
    <w:rsid w:val="00E83D3D"/>
    <w:rsid w:val="00E84CA8"/>
    <w:rsid w:val="00E97F95"/>
    <w:rsid w:val="00EA44E0"/>
    <w:rsid w:val="00EB3DC1"/>
    <w:rsid w:val="00EB704F"/>
    <w:rsid w:val="00EC06BF"/>
    <w:rsid w:val="00EC13F3"/>
    <w:rsid w:val="00EC2FF2"/>
    <w:rsid w:val="00EC38DE"/>
    <w:rsid w:val="00EC4446"/>
    <w:rsid w:val="00EC4461"/>
    <w:rsid w:val="00EC490F"/>
    <w:rsid w:val="00EC68F6"/>
    <w:rsid w:val="00EC7610"/>
    <w:rsid w:val="00EC76DC"/>
    <w:rsid w:val="00ED0EB3"/>
    <w:rsid w:val="00ED53F8"/>
    <w:rsid w:val="00ED6795"/>
    <w:rsid w:val="00ED79E9"/>
    <w:rsid w:val="00EE20B6"/>
    <w:rsid w:val="00EE2C1A"/>
    <w:rsid w:val="00EE312D"/>
    <w:rsid w:val="00EE5817"/>
    <w:rsid w:val="00EF0042"/>
    <w:rsid w:val="00EF04CC"/>
    <w:rsid w:val="00EF1FB6"/>
    <w:rsid w:val="00EF283B"/>
    <w:rsid w:val="00EF336A"/>
    <w:rsid w:val="00EF47D0"/>
    <w:rsid w:val="00EF7822"/>
    <w:rsid w:val="00F03FC0"/>
    <w:rsid w:val="00F04CE8"/>
    <w:rsid w:val="00F06E2A"/>
    <w:rsid w:val="00F12A1A"/>
    <w:rsid w:val="00F16D39"/>
    <w:rsid w:val="00F17EE0"/>
    <w:rsid w:val="00F23BE1"/>
    <w:rsid w:val="00F24FCF"/>
    <w:rsid w:val="00F27BD8"/>
    <w:rsid w:val="00F31EB4"/>
    <w:rsid w:val="00F340CA"/>
    <w:rsid w:val="00F43B5C"/>
    <w:rsid w:val="00F44AEC"/>
    <w:rsid w:val="00F44B33"/>
    <w:rsid w:val="00F468FB"/>
    <w:rsid w:val="00F50E2A"/>
    <w:rsid w:val="00F511E9"/>
    <w:rsid w:val="00F54089"/>
    <w:rsid w:val="00F5683F"/>
    <w:rsid w:val="00F60A72"/>
    <w:rsid w:val="00F61B56"/>
    <w:rsid w:val="00F65945"/>
    <w:rsid w:val="00F66A62"/>
    <w:rsid w:val="00F72E78"/>
    <w:rsid w:val="00F765D5"/>
    <w:rsid w:val="00F7745A"/>
    <w:rsid w:val="00F8132B"/>
    <w:rsid w:val="00F82261"/>
    <w:rsid w:val="00F831E8"/>
    <w:rsid w:val="00F83D45"/>
    <w:rsid w:val="00F85A45"/>
    <w:rsid w:val="00F85BA4"/>
    <w:rsid w:val="00F92840"/>
    <w:rsid w:val="00F96A4D"/>
    <w:rsid w:val="00F973F5"/>
    <w:rsid w:val="00F977F6"/>
    <w:rsid w:val="00FA015A"/>
    <w:rsid w:val="00FA5AE6"/>
    <w:rsid w:val="00FB24DB"/>
    <w:rsid w:val="00FB34F2"/>
    <w:rsid w:val="00FB4CBB"/>
    <w:rsid w:val="00FB4CEE"/>
    <w:rsid w:val="00FB6952"/>
    <w:rsid w:val="00FC1FD0"/>
    <w:rsid w:val="00FC40E3"/>
    <w:rsid w:val="00FC4B16"/>
    <w:rsid w:val="00FD1B55"/>
    <w:rsid w:val="00FD23A0"/>
    <w:rsid w:val="00FE204E"/>
    <w:rsid w:val="00FE2F25"/>
    <w:rsid w:val="00FE32B0"/>
    <w:rsid w:val="00FE4C16"/>
    <w:rsid w:val="00FE4F39"/>
    <w:rsid w:val="00FE52CE"/>
    <w:rsid w:val="00FE68D0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6479079"/>
  <w15:docId w15:val="{6BDAC5CC-0D9D-4CB1-A49C-B4AA5A51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A068D2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link w:val="Podnadpis"/>
    <w:rsid w:val="00A068D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627369"/>
    <w:pPr>
      <w:spacing w:before="120"/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693FBF"/>
    <w:pPr>
      <w:tabs>
        <w:tab w:val="left" w:pos="426"/>
      </w:tabs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="Cambria" w:hAnsi="Cambria"/>
      <w:b/>
      <w:color w:val="365F91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7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lovn-rove1-netunb">
    <w:name w:val="Číslování - úroveň 1 - netučné b"/>
    <w:basedOn w:val="Normln"/>
    <w:qFormat/>
    <w:rsid w:val="00837881"/>
    <w:pPr>
      <w:numPr>
        <w:numId w:val="26"/>
      </w:numPr>
      <w:spacing w:before="120" w:after="120"/>
      <w:jc w:val="both"/>
    </w:pPr>
    <w:rPr>
      <w:sz w:val="20"/>
    </w:rPr>
  </w:style>
  <w:style w:type="paragraph" w:customStyle="1" w:styleId="slovn-rove1">
    <w:name w:val="Číslování - úroveň 1"/>
    <w:basedOn w:val="Normln"/>
    <w:qFormat/>
    <w:rsid w:val="008E6A28"/>
    <w:pPr>
      <w:keepNext/>
      <w:numPr>
        <w:numId w:val="28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link w:val="slovn-rove2Char"/>
    <w:qFormat/>
    <w:rsid w:val="008E6A28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8E6A28"/>
    <w:pPr>
      <w:numPr>
        <w:ilvl w:val="2"/>
      </w:numPr>
      <w:tabs>
        <w:tab w:val="left" w:pos="510"/>
      </w:tabs>
      <w:spacing w:after="0"/>
    </w:pPr>
  </w:style>
  <w:style w:type="paragraph" w:customStyle="1" w:styleId="slovn-rove2-netun">
    <w:name w:val="číslování - úroveň 2 - netučné"/>
    <w:basedOn w:val="slovn-rove2"/>
    <w:link w:val="slovn-rove2-netunChar"/>
    <w:qFormat/>
    <w:rsid w:val="008E6A28"/>
    <w:pPr>
      <w:keepNext w:val="0"/>
      <w:tabs>
        <w:tab w:val="left" w:pos="425"/>
      </w:tabs>
    </w:pPr>
    <w:rPr>
      <w:b w:val="0"/>
    </w:rPr>
  </w:style>
  <w:style w:type="character" w:customStyle="1" w:styleId="slovn-rove2-netunChar">
    <w:name w:val="číslování - úroveň 2 - netučné Char"/>
    <w:link w:val="slovn-rove2-netun"/>
    <w:rsid w:val="008E6A28"/>
    <w:rPr>
      <w:rFonts w:ascii="Koop Office" w:hAnsi="Koop Office"/>
      <w:szCs w:val="24"/>
    </w:rPr>
  </w:style>
  <w:style w:type="numbering" w:customStyle="1" w:styleId="Styl2">
    <w:name w:val="Styl2"/>
    <w:uiPriority w:val="99"/>
    <w:rsid w:val="00D17412"/>
    <w:pPr>
      <w:numPr>
        <w:numId w:val="32"/>
      </w:numPr>
    </w:pPr>
  </w:style>
  <w:style w:type="paragraph" w:customStyle="1" w:styleId="Nadpislnk">
    <w:name w:val="Nadpis článků"/>
    <w:basedOn w:val="Normln"/>
    <w:qFormat/>
    <w:rsid w:val="00A735B5"/>
    <w:pPr>
      <w:keepNext/>
      <w:keepLines/>
      <w:spacing w:before="240" w:after="120"/>
      <w:jc w:val="center"/>
    </w:pPr>
    <w:rPr>
      <w:b/>
      <w:sz w:val="24"/>
    </w:rPr>
  </w:style>
  <w:style w:type="character" w:customStyle="1" w:styleId="slovn-rove2Char">
    <w:name w:val="číslování - úroveň 2 Char"/>
    <w:basedOn w:val="Standardnpsmoodstavce"/>
    <w:link w:val="slovn-rove2"/>
    <w:rsid w:val="00A735B5"/>
    <w:rPr>
      <w:rFonts w:ascii="Koop Office" w:hAnsi="Koop Office"/>
      <w:b/>
      <w:szCs w:val="24"/>
    </w:rPr>
  </w:style>
  <w:style w:type="paragraph" w:customStyle="1" w:styleId="odrka">
    <w:name w:val="odrážka"/>
    <w:basedOn w:val="Normln"/>
    <w:qFormat/>
    <w:rsid w:val="00A735B5"/>
    <w:pPr>
      <w:numPr>
        <w:numId w:val="34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lovn">
    <w:name w:val="číslování"/>
    <w:basedOn w:val="Normln"/>
    <w:qFormat/>
    <w:rsid w:val="00A735B5"/>
    <w:pPr>
      <w:numPr>
        <w:numId w:val="35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Cs w:val="20"/>
      <w:lang w:eastAsia="en-US"/>
    </w:rPr>
  </w:style>
  <w:style w:type="paragraph" w:customStyle="1" w:styleId="odrkadruh">
    <w:name w:val="odrážka druhá"/>
    <w:basedOn w:val="odrka"/>
    <w:qFormat/>
    <w:rsid w:val="00A735B5"/>
    <w:pPr>
      <w:numPr>
        <w:numId w:val="33"/>
      </w:numPr>
      <w:ind w:left="709" w:hanging="283"/>
    </w:pPr>
  </w:style>
  <w:style w:type="numbering" w:customStyle="1" w:styleId="slovn-velkpsmena">
    <w:name w:val="číslování - velká písmena"/>
    <w:uiPriority w:val="99"/>
    <w:rsid w:val="00BE11DD"/>
    <w:pPr>
      <w:numPr>
        <w:numId w:val="38"/>
      </w:numPr>
    </w:pPr>
  </w:style>
  <w:style w:type="paragraph" w:customStyle="1" w:styleId="slovn-Velkpsmena0">
    <w:name w:val="číslování - Velká písmena"/>
    <w:basedOn w:val="Normln"/>
    <w:qFormat/>
    <w:rsid w:val="00BE11DD"/>
    <w:pPr>
      <w:numPr>
        <w:numId w:val="38"/>
      </w:numPr>
      <w:spacing w:before="480" w:after="24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7AE25-F605-4215-8C84-E213C443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5</TotalTime>
  <Pages>6</Pages>
  <Words>2706</Words>
  <Characters>15666</Characters>
  <Application>Microsoft Office Word</Application>
  <DocSecurity>4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18336</CharactersWithSpaces>
  <SharedDoc>false</SharedDoc>
  <HLinks>
    <vt:vector size="6" baseType="variant">
      <vt:variant>
        <vt:i4>6226035</vt:i4>
      </vt:variant>
      <vt:variant>
        <vt:i4>0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dfojtik</dc:creator>
  <cp:lastModifiedBy>Blažková Oľga</cp:lastModifiedBy>
  <cp:revision>2</cp:revision>
  <cp:lastPrinted>2022-01-24T11:49:00Z</cp:lastPrinted>
  <dcterms:created xsi:type="dcterms:W3CDTF">2022-02-16T07:36:00Z</dcterms:created>
  <dcterms:modified xsi:type="dcterms:W3CDTF">2022-02-16T07:36:00Z</dcterms:modified>
</cp:coreProperties>
</file>