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1"/>
        <w:keepNext/>
        <w:keepLines/>
        <w:widowControl w:val="0"/>
        <w:shd w:val="clear" w:color="auto" w:fill="auto"/>
        <w:bidi w:val="0"/>
        <w:spacing w:before="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zajištění výkonu technického dozoru stavebníka na staveništi</w:t>
      </w:r>
      <w:bookmarkEnd w:id="0"/>
      <w:bookmarkEnd w:id="1"/>
    </w:p>
    <w:p>
      <w:pPr>
        <w:pStyle w:val="Style17"/>
        <w:keepNext/>
        <w:keepLines/>
        <w:widowControl w:val="0"/>
        <w:shd w:val="clear" w:color="auto" w:fill="auto"/>
        <w:bidi w:val="0"/>
        <w:spacing w:before="0" w:after="0"/>
        <w:ind w:right="0" w:firstLine="0"/>
        <w:jc w:val="left"/>
      </w:pPr>
      <w:bookmarkStart w:id="2" w:name="bookmark2"/>
      <w:bookmarkStart w:id="3" w:name="bookmark3"/>
      <w:r>
        <w:rPr>
          <w:b w:val="0"/>
          <w:bCs w:val="0"/>
          <w:color w:val="000000"/>
          <w:spacing w:val="0"/>
          <w:w w:val="100"/>
          <w:position w:val="0"/>
          <w:shd w:val="clear" w:color="auto" w:fill="auto"/>
          <w:lang w:val="cs-CZ" w:eastAsia="cs-CZ" w:bidi="cs-CZ"/>
        </w:rPr>
        <w:t xml:space="preserve">na akci: </w:t>
      </w:r>
      <w:r>
        <w:rPr>
          <w:color w:val="000000"/>
          <w:spacing w:val="0"/>
          <w:w w:val="100"/>
          <w:position w:val="0"/>
          <w:shd w:val="clear" w:color="auto" w:fill="auto"/>
          <w:lang w:val="cs-CZ" w:eastAsia="cs-CZ" w:bidi="cs-CZ"/>
        </w:rPr>
        <w:t>III/41015 Bahnův mlýn - propustek ev. č. 41015-7P</w:t>
      </w:r>
      <w:bookmarkEnd w:id="2"/>
      <w:bookmarkEnd w:id="3"/>
    </w:p>
    <w:p>
      <w:pPr>
        <w:pStyle w:val="Style20"/>
        <w:keepNext/>
        <w:keepLines/>
        <w:widowControl w:val="0"/>
        <w:shd w:val="clear" w:color="auto" w:fill="auto"/>
        <w:bidi w:val="0"/>
        <w:spacing w:before="0" w:after="240" w:line="425" w:lineRule="auto"/>
        <w:ind w:left="0" w:right="0" w:firstLine="540"/>
        <w:jc w:val="left"/>
      </w:pPr>
      <w:r>
        <mc:AlternateContent>
          <mc:Choice Requires="wps">
            <w:drawing>
              <wp:anchor distT="176530" distB="0" distL="6350" distR="0" simplePos="0" relativeHeight="125829378" behindDoc="0" locked="0" layoutInCell="1" allowOverlap="1">
                <wp:simplePos x="0" y="0"/>
                <wp:positionH relativeFrom="page">
                  <wp:posOffset>738505</wp:posOffset>
                </wp:positionH>
                <wp:positionV relativeFrom="paragraph">
                  <wp:posOffset>2576830</wp:posOffset>
                </wp:positionV>
                <wp:extent cx="6062345" cy="384175"/>
                <wp:wrapTopAndBottom/>
                <wp:docPr id="1" name="Shape 1"/>
                <a:graphic xmlns:a="http://schemas.openxmlformats.org/drawingml/2006/main">
                  <a:graphicData uri="http://schemas.microsoft.com/office/word/2010/wordprocessingShape">
                    <wps:wsp>
                      <wps:cNvSpPr txBox="1"/>
                      <wps:spPr>
                        <a:xfrm>
                          <a:ext cx="6062345" cy="384175"/>
                        </a:xfrm>
                        <a:prstGeom prst="rect"/>
                        <a:noFill/>
                      </wps:spPr>
                      <wps:txbx>
                        <w:txbxContent>
                          <w:tbl>
                            <w:tblPr>
                              <w:tblOverlap w:val="never"/>
                              <w:jc w:val="left"/>
                              <w:tblLayout w:type="fixed"/>
                            </w:tblPr>
                            <w:tblGrid>
                              <w:gridCol w:w="1891"/>
                              <w:gridCol w:w="7656"/>
                            </w:tblGrid>
                            <w:tr>
                              <w:trPr>
                                <w:tblHeader/>
                                <w:trHeight w:val="60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00090450</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8.149999999999999pt;margin-top:202.90000000000001pt;width:477.35000000000002pt;height:30.25pt;z-index:-125829375;mso-wrap-distance-left:0.5pt;mso-wrap-distance-top:13.9pt;mso-wrap-distance-right:0;mso-position-horizontal-relative:page" filled="f" stroked="f">
                <v:textbox inset="0,0,0,0">
                  <w:txbxContent>
                    <w:tbl>
                      <w:tblPr>
                        <w:tblOverlap w:val="never"/>
                        <w:jc w:val="left"/>
                        <w:tblLayout w:type="fixed"/>
                      </w:tblPr>
                      <w:tblGrid>
                        <w:gridCol w:w="1891"/>
                        <w:gridCol w:w="7656"/>
                      </w:tblGrid>
                      <w:tr>
                        <w:trPr>
                          <w:tblHeader/>
                          <w:trHeight w:val="60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00090450</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732155</wp:posOffset>
                </wp:positionH>
                <wp:positionV relativeFrom="paragraph">
                  <wp:posOffset>2400300</wp:posOffset>
                </wp:positionV>
                <wp:extent cx="713105" cy="176530"/>
                <wp:wrapNone/>
                <wp:docPr id="3" name="Shape 3"/>
                <a:graphic xmlns:a="http://schemas.openxmlformats.org/drawingml/2006/main">
                  <a:graphicData uri="http://schemas.microsoft.com/office/word/2010/wordprocessingShape">
                    <wps:wsp>
                      <wps:cNvSpPr txBox="1"/>
                      <wps:spPr>
                        <a:xfrm>
                          <a:ext cx="713105" cy="1765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Číslo účtu:</w:t>
                            </w:r>
                          </w:p>
                        </w:txbxContent>
                      </wps:txbx>
                      <wps:bodyPr lIns="0" tIns="0" rIns="0" bIns="0">
                        <a:noAutoFit/>
                      </wps:bodyPr>
                    </wps:wsp>
                  </a:graphicData>
                </a:graphic>
              </wp:anchor>
            </w:drawing>
          </mc:Choice>
          <mc:Fallback>
            <w:pict>
              <v:shape id="_x0000_s1029" type="#_x0000_t202" style="position:absolute;margin-left:57.649999999999999pt;margin-top:189.pt;width:56.149999999999999pt;height:13.9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Číslo účtu:</w:t>
                      </w:r>
                    </w:p>
                  </w:txbxContent>
                </v:textbox>
                <w10:wrap anchorx="page"/>
              </v:shape>
            </w:pict>
          </mc:Fallback>
        </mc:AlternateContent>
      </w:r>
      <w:r>
        <mc:AlternateContent>
          <mc:Choice Requires="wps">
            <w:drawing>
              <wp:anchor distT="0" distB="12700" distL="114300" distR="114300" simplePos="0" relativeHeight="125829380" behindDoc="0" locked="0" layoutInCell="1" allowOverlap="1">
                <wp:simplePos x="0" y="0"/>
                <wp:positionH relativeFrom="page">
                  <wp:posOffset>732155</wp:posOffset>
                </wp:positionH>
                <wp:positionV relativeFrom="paragraph">
                  <wp:posOffset>2933700</wp:posOffset>
                </wp:positionV>
                <wp:extent cx="2279650" cy="972185"/>
                <wp:wrapTopAndBottom/>
                <wp:docPr id="5" name="Shape 5"/>
                <a:graphic xmlns:a="http://schemas.openxmlformats.org/drawingml/2006/main">
                  <a:graphicData uri="http://schemas.microsoft.com/office/word/2010/wordprocessingShape">
                    <wps:wsp>
                      <wps:cNvSpPr txBox="1"/>
                      <wps:spPr>
                        <a:xfrm>
                          <a:ext cx="2279650" cy="972185"/>
                        </a:xfrm>
                        <a:prstGeom prst="rect"/>
                        <a:noFill/>
                      </wps:spPr>
                      <wps:txbx>
                        <w:txbxContent>
                          <w:p>
                            <w:pPr>
                              <w:pStyle w:val="Style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7"/>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wps:txbx>
                      <wps:bodyPr lIns="0" tIns="0" rIns="0" bIns="0">
                        <a:noAutoFit/>
                      </wps:bodyPr>
                    </wps:wsp>
                  </a:graphicData>
                </a:graphic>
              </wp:anchor>
            </w:drawing>
          </mc:Choice>
          <mc:Fallback>
            <w:pict>
              <v:shape id="_x0000_s1031" type="#_x0000_t202" style="position:absolute;margin-left:57.649999999999999pt;margin-top:231.pt;width:179.5pt;height:76.549999999999997pt;z-index:-125829373;mso-wrap-distance-left:9.pt;mso-wrap-distance-right:9.pt;mso-wrap-distance-bottom:1.pt;mso-position-horizontal-relative:page" filled="f" stroked="f">
                <v:textbox inset="0,0,0,0">
                  <w:txbxContent>
                    <w:p>
                      <w:pPr>
                        <w:pStyle w:val="Style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cs-CZ" w:eastAsia="cs-CZ" w:bidi="cs-CZ"/>
                        </w:rPr>
                        <w:t>Zřizovatel: Kraj Vysočina (dále jen „</w:t>
                      </w:r>
                      <w:r>
                        <w:rPr>
                          <w:b/>
                          <w:bCs/>
                          <w:i/>
                          <w:iCs/>
                          <w:color w:val="000000"/>
                          <w:spacing w:val="0"/>
                          <w:w w:val="100"/>
                          <w:position w:val="0"/>
                          <w:sz w:val="24"/>
                          <w:szCs w:val="24"/>
                          <w:shd w:val="clear" w:color="auto" w:fill="auto"/>
                          <w:lang w:val="cs-CZ" w:eastAsia="cs-CZ" w:bidi="cs-CZ"/>
                        </w:rPr>
                        <w:t>Objednatel</w:t>
                      </w:r>
                      <w:r>
                        <w:rPr>
                          <w:b/>
                          <w:bCs/>
                          <w:color w:val="000000"/>
                          <w:spacing w:val="0"/>
                          <w:w w:val="100"/>
                          <w:position w:val="0"/>
                          <w:sz w:val="24"/>
                          <w:szCs w:val="24"/>
                          <w:shd w:val="clear" w:color="auto" w:fill="auto"/>
                          <w:lang w:val="cs-CZ" w:eastAsia="cs-CZ" w:bidi="cs-CZ"/>
                        </w:rPr>
                        <w:t>“</w:t>
                      </w:r>
                      <w:r>
                        <w:rPr>
                          <w:color w:val="000000"/>
                          <w:spacing w:val="0"/>
                          <w:w w:val="100"/>
                          <w:position w:val="0"/>
                          <w:sz w:val="24"/>
                          <w:szCs w:val="24"/>
                          <w:shd w:val="clear" w:color="auto" w:fill="auto"/>
                          <w:lang w:val="cs-CZ" w:eastAsia="cs-CZ" w:bidi="cs-CZ"/>
                        </w:rPr>
                        <w:t>)</w:t>
                      </w:r>
                    </w:p>
                    <w:p>
                      <w:pPr>
                        <w:pStyle w:val="Style7"/>
                        <w:keepNext w:val="0"/>
                        <w:keepLines w:val="0"/>
                        <w:widowControl w:val="0"/>
                        <w:shd w:val="clear" w:color="auto" w:fill="auto"/>
                        <w:bidi w:val="0"/>
                        <w:spacing w:before="0" w:after="60" w:line="233" w:lineRule="auto"/>
                        <w:ind w:left="0" w:right="0" w:firstLine="0"/>
                        <w:jc w:val="left"/>
                      </w:pPr>
                      <w:r>
                        <w:rPr>
                          <w:b/>
                          <w:bCs/>
                          <w:color w:val="000000"/>
                          <w:spacing w:val="0"/>
                          <w:w w:val="100"/>
                          <w:position w:val="0"/>
                          <w:sz w:val="24"/>
                          <w:szCs w:val="24"/>
                          <w:shd w:val="clear" w:color="auto" w:fill="auto"/>
                          <w:lang w:val="cs-CZ" w:eastAsia="cs-CZ" w:bidi="cs-CZ"/>
                        </w:rPr>
                        <w:t>a</w:t>
                      </w:r>
                    </w:p>
                  </w:txbxContent>
                </v:textbox>
                <w10:wrap type="topAndBottom" anchorx="page"/>
              </v:shape>
            </w:pict>
          </mc:Fallback>
        </mc:AlternateContent>
      </w:r>
      <w:bookmarkStart w:id="4" w:name="bookmark4"/>
      <w:bookmarkStart w:id="5" w:name="bookmark5"/>
      <w:r>
        <w:rPr>
          <w:color w:val="000000"/>
          <w:spacing w:val="0"/>
          <w:w w:val="100"/>
          <w:position w:val="0"/>
          <w:sz w:val="24"/>
          <w:szCs w:val="24"/>
          <w:shd w:val="clear" w:color="auto" w:fill="auto"/>
          <w:lang w:val="cs-CZ" w:eastAsia="cs-CZ" w:bidi="cs-CZ"/>
        </w:rPr>
        <w:t>uzavřená podle § 1746 odst. 2 zákona č. 89/2012 Sb., občanský zákoník, v platném znění</w:t>
      </w:r>
      <w:bookmarkEnd w:id="4"/>
      <w:bookmarkEnd w:id="5"/>
    </w:p>
    <w:p>
      <w:pPr>
        <w:pStyle w:val="Style4"/>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Číslo smlouvy objednatele:</w:t>
      </w:r>
    </w:p>
    <w:p>
      <w:pPr>
        <w:pStyle w:val="Style4"/>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Číslo smlouvy dodavatele:</w:t>
      </w:r>
    </w:p>
    <w:tbl>
      <w:tblPr>
        <w:tblOverlap w:val="never"/>
        <w:jc w:val="center"/>
        <w:tblLayout w:type="fixed"/>
      </w:tblPr>
      <w:tblGrid>
        <w:gridCol w:w="1891"/>
        <w:gridCol w:w="7656"/>
      </w:tblGrid>
      <w:tr>
        <w:trPr>
          <w:trHeight w:val="155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 xml:space="preserve">Objednatel: </w:t>
            </w:r>
            <w:r>
              <w:rPr>
                <w:color w:val="000000"/>
                <w:spacing w:val="0"/>
                <w:w w:val="100"/>
                <w:position w:val="0"/>
                <w:sz w:val="24"/>
                <w:szCs w:val="24"/>
                <w:shd w:val="clear" w:color="auto" w:fill="auto"/>
                <w:lang w:val="cs-CZ" w:eastAsia="cs-CZ" w:bidi="cs-CZ"/>
              </w:rPr>
              <w:t xml:space="preserve">se sídlem: </w:t>
            </w: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w:t>
            </w:r>
          </w:p>
          <w:p>
            <w:pPr>
              <w:pStyle w:val="Style2"/>
              <w:keepNext w:val="0"/>
              <w:keepLines w:val="0"/>
              <w:widowControl w:val="0"/>
              <w:shd w:val="clear" w:color="auto" w:fill="auto"/>
              <w:bidi w:val="0"/>
              <w:spacing w:before="0" w:after="100" w:line="240" w:lineRule="auto"/>
              <w:ind w:left="2340" w:right="0" w:firstLine="0"/>
              <w:jc w:val="left"/>
            </w:pPr>
            <w:r>
              <w:rPr>
                <w:b/>
                <w:bCs/>
                <w:color w:val="000000"/>
                <w:spacing w:val="0"/>
                <w:w w:val="100"/>
                <w:position w:val="0"/>
                <w:sz w:val="24"/>
                <w:szCs w:val="24"/>
                <w:shd w:val="clear" w:color="auto" w:fill="auto"/>
                <w:lang w:val="cs-CZ" w:eastAsia="cs-CZ" w:bidi="cs-CZ"/>
              </w:rPr>
              <w:t>Smluvní strany</w:t>
            </w:r>
          </w:p>
          <w:p>
            <w:pPr>
              <w:pStyle w:val="Style2"/>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Kosovská 1122/16, 586 01 Jihlava</w:t>
            </w:r>
          </w:p>
          <w:p>
            <w:pPr>
              <w:pStyle w:val="Style2"/>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tbl>
      <w:tblPr>
        <w:tblOverlap w:val="never"/>
        <w:jc w:val="left"/>
        <w:tblLayout w:type="fixed"/>
      </w:tblPr>
      <w:tblGrid>
        <w:gridCol w:w="1891"/>
        <w:gridCol w:w="7656"/>
      </w:tblGrid>
      <w:tr>
        <w:trPr>
          <w:trHeight w:val="274" w:hRule="exact"/>
        </w:trPr>
        <w:tc>
          <w:tcPr>
            <w:tcBorders/>
            <w:shd w:val="clear" w:color="auto" w:fill="FFFFFF"/>
            <w:vAlign w:val="bottom"/>
          </w:tcPr>
          <w:p>
            <w:pPr>
              <w:pStyle w:val="Style2"/>
              <w:keepNext w:val="0"/>
              <w:keepLines w:val="0"/>
              <w:framePr w:w="9547" w:h="566" w:hSpace="10" w:vSpace="274" w:wrap="notBeside" w:vAnchor="text" w:hAnchor="text" w:x="282" w:y="27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bottom"/>
          </w:tcPr>
          <w:p>
            <w:pPr>
              <w:pStyle w:val="Style2"/>
              <w:keepNext w:val="0"/>
              <w:keepLines w:val="0"/>
              <w:framePr w:w="9547" w:h="566" w:hSpace="10" w:vSpace="274" w:wrap="notBeside" w:vAnchor="text" w:hAnchor="text" w:x="282" w:y="275"/>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referent investiční výstavby</w:t>
            </w:r>
          </w:p>
        </w:tc>
      </w:tr>
      <w:tr>
        <w:trPr>
          <w:trHeight w:val="293" w:hRule="exact"/>
        </w:trPr>
        <w:tc>
          <w:tcPr>
            <w:tcBorders/>
            <w:shd w:val="clear" w:color="auto" w:fill="FFFFFF"/>
            <w:vAlign w:val="bottom"/>
          </w:tcPr>
          <w:p>
            <w:pPr>
              <w:pStyle w:val="Style2"/>
              <w:keepNext w:val="0"/>
              <w:keepLines w:val="0"/>
              <w:framePr w:w="9547" w:h="566" w:hSpace="10" w:vSpace="274" w:wrap="notBeside" w:vAnchor="text" w:hAnchor="text" w:x="282" w:y="27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framePr w:w="9547" w:h="566" w:hSpace="10" w:vSpace="274" w:wrap="notBeside" w:vAnchor="text" w:hAnchor="text" w:x="282" w:y="275"/>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Komerční banka, a.s.</w:t>
            </w:r>
          </w:p>
        </w:tc>
      </w:tr>
    </w:tbl>
    <w:p>
      <w:pPr>
        <w:pStyle w:val="Style4"/>
        <w:keepNext w:val="0"/>
        <w:keepLines w:val="0"/>
        <w:framePr w:w="5299" w:h="322" w:hSpace="271" w:wrap="notBeside" w:vAnchor="text" w:hAnchor="text" w:x="272" w:y="1"/>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Osoby pověřené jednat jménem objednatele ve věcech</w:t>
      </w:r>
    </w:p>
    <w:p>
      <w:pPr>
        <w:widowControl w:val="0"/>
        <w:spacing w:after="99" w:line="1" w:lineRule="exact"/>
      </w:pPr>
    </w:p>
    <w:p>
      <w:pPr>
        <w:widowControl w:val="0"/>
        <w:spacing w:after="99" w:line="1" w:lineRule="exact"/>
      </w:pPr>
    </w:p>
    <w:tbl>
      <w:tblPr>
        <w:tblOverlap w:val="never"/>
        <w:jc w:val="center"/>
        <w:tblLayout w:type="fixed"/>
      </w:tblPr>
      <w:tblGrid>
        <w:gridCol w:w="1891"/>
        <w:gridCol w:w="7656"/>
      </w:tblGrid>
      <w:tr>
        <w:trPr>
          <w:trHeight w:val="25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Dodavatel: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sz w:val="24"/>
                <w:szCs w:val="24"/>
                <w:shd w:val="clear" w:color="auto" w:fill="auto"/>
                <w:lang w:val="cs-CZ" w:eastAsia="cs-CZ" w:bidi="cs-CZ"/>
              </w:rPr>
              <w:t>Eduard Chalupa s.r.o.</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Budovatelů 2617 , 390 02 Tábor</w:t>
            </w:r>
          </w:p>
        </w:tc>
      </w:tr>
    </w:tbl>
    <w:p>
      <w:pPr>
        <w:pStyle w:val="Style20"/>
        <w:keepNext/>
        <w:keepLines/>
        <w:widowControl w:val="0"/>
        <w:shd w:val="clear" w:color="auto" w:fill="auto"/>
        <w:tabs>
          <w:tab w:pos="2122" w:val="left"/>
        </w:tabs>
        <w:bidi w:val="0"/>
        <w:spacing w:before="0" w:after="0" w:line="240" w:lineRule="auto"/>
        <w:ind w:left="0" w:right="0" w:firstLine="0"/>
        <w:jc w:val="left"/>
      </w:pPr>
      <w:bookmarkStart w:id="6" w:name="bookmark6"/>
      <w:bookmarkStart w:id="7" w:name="bookmark7"/>
      <w:r>
        <w:rPr>
          <w:color w:val="000000"/>
          <w:spacing w:val="0"/>
          <w:w w:val="100"/>
          <w:position w:val="0"/>
          <w:sz w:val="24"/>
          <w:szCs w:val="24"/>
          <w:shd w:val="clear" w:color="auto" w:fill="auto"/>
          <w:lang w:val="cs-CZ" w:eastAsia="cs-CZ" w:bidi="cs-CZ"/>
        </w:rPr>
        <w:t>zastoupený:</w:t>
        <w:tab/>
        <w:t>Eduard Chalupa - jednatel</w:t>
      </w:r>
      <w:bookmarkEnd w:id="6"/>
      <w:bookmarkEnd w:id="7"/>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sz w:val="24"/>
          <w:szCs w:val="24"/>
          <w:shd w:val="clear" w:color="auto" w:fill="auto"/>
          <w:lang w:val="cs-CZ" w:eastAsia="cs-CZ" w:bidi="cs-CZ"/>
        </w:rPr>
        <w:t>zapsán v obchodním rejstříku: Krajský soud České Budějovice spis. značka oddíl C , vložka 31005 Osoby pověřené jednat jménem zhotovitele ve věcech smluvních: osoba odpovědná za výkon Koordinátora BOZP:</w:t>
      </w:r>
    </w:p>
    <w:tbl>
      <w:tblPr>
        <w:tblOverlap w:val="never"/>
        <w:jc w:val="center"/>
        <w:tblLayout w:type="fixed"/>
      </w:tblPr>
      <w:tblGrid>
        <w:gridCol w:w="1891"/>
        <w:gridCol w:w="7656"/>
      </w:tblGrid>
      <w:tr>
        <w:trPr>
          <w:trHeight w:val="36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Česká spořitelna, a.s.</w:t>
            </w:r>
          </w:p>
        </w:tc>
      </w:tr>
    </w:tbl>
    <w:p>
      <w:pPr>
        <w:pStyle w:val="Style4"/>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č. účtu :</w:t>
      </w:r>
    </w:p>
    <w:p>
      <w:pPr>
        <w:widowControl w:val="0"/>
        <w:spacing w:line="1" w:lineRule="exact"/>
      </w:pPr>
    </w:p>
    <w:tbl>
      <w:tblPr>
        <w:tblOverlap w:val="never"/>
        <w:jc w:val="center"/>
        <w:tblLayout w:type="fixed"/>
      </w:tblPr>
      <w:tblGrid>
        <w:gridCol w:w="1891"/>
        <w:gridCol w:w="7656"/>
      </w:tblGrid>
      <w:tr>
        <w:trPr>
          <w:trHeight w:val="60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108 20 604</w:t>
            </w:r>
          </w:p>
          <w:p>
            <w:pPr>
              <w:pStyle w:val="Style2"/>
              <w:keepNext w:val="0"/>
              <w:keepLines w:val="0"/>
              <w:widowControl w:val="0"/>
              <w:shd w:val="clear" w:color="auto" w:fill="auto"/>
              <w:bidi w:val="0"/>
              <w:spacing w:before="0" w:after="0" w:line="240" w:lineRule="auto"/>
              <w:ind w:left="0" w:right="0" w:firstLine="240"/>
              <w:jc w:val="left"/>
            </w:pPr>
            <w:r>
              <w:rPr>
                <w:color w:val="000000"/>
                <w:spacing w:val="0"/>
                <w:w w:val="100"/>
                <w:position w:val="0"/>
                <w:sz w:val="24"/>
                <w:szCs w:val="24"/>
                <w:shd w:val="clear" w:color="auto" w:fill="auto"/>
                <w:lang w:val="cs-CZ" w:eastAsia="cs-CZ" w:bidi="cs-CZ"/>
              </w:rPr>
              <w:t>CZ10820604</w:t>
            </w:r>
          </w:p>
        </w:tc>
      </w:tr>
    </w:tbl>
    <w:p>
      <w:pPr>
        <w:widowControl w:val="0"/>
        <w:spacing w:line="1" w:lineRule="exact"/>
      </w:pPr>
    </w:p>
    <w:p>
      <w:pPr>
        <w:pStyle w:val="Style4"/>
        <w:keepNext w:val="0"/>
        <w:keepLines w:val="0"/>
        <w:widowControl w:val="0"/>
        <w:shd w:val="clear" w:color="auto" w:fill="auto"/>
        <w:bidi w:val="0"/>
        <w:spacing w:before="0" w:after="0" w:line="240" w:lineRule="auto"/>
        <w:ind w:left="0" w:right="0" w:firstLine="0"/>
        <w:jc w:val="left"/>
        <w:rPr>
          <w:sz w:val="24"/>
          <w:szCs w:val="24"/>
        </w:rPr>
      </w:pPr>
      <w:r>
        <w:rPr>
          <w:b w:val="0"/>
          <w:bCs w:val="0"/>
          <w:i w:val="0"/>
          <w:iCs w:val="0"/>
          <w:color w:val="000000"/>
          <w:spacing w:val="0"/>
          <w:w w:val="100"/>
          <w:position w:val="0"/>
          <w:sz w:val="24"/>
          <w:szCs w:val="24"/>
          <w:shd w:val="clear" w:color="auto" w:fill="auto"/>
          <w:lang w:val="cs-CZ" w:eastAsia="cs-CZ" w:bidi="cs-CZ"/>
        </w:rPr>
        <w:t>Telefon:</w:t>
      </w:r>
    </w:p>
    <w:tbl>
      <w:tblPr>
        <w:tblOverlap w:val="never"/>
        <w:jc w:val="center"/>
        <w:tblLayout w:type="fixed"/>
      </w:tblPr>
      <w:tblGrid>
        <w:gridCol w:w="1891"/>
        <w:gridCol w:w="7656"/>
      </w:tblGrid>
      <w:tr>
        <w:trPr>
          <w:trHeight w:val="331"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2340" w:right="0" w:firstLine="0"/>
              <w:jc w:val="left"/>
            </w:pPr>
            <w:r>
              <w:rPr>
                <w:color w:val="000000"/>
                <w:spacing w:val="0"/>
                <w:w w:val="100"/>
                <w:position w:val="0"/>
                <w:sz w:val="24"/>
                <w:szCs w:val="24"/>
                <w:shd w:val="clear" w:color="auto" w:fill="auto"/>
                <w:lang w:val="cs-CZ" w:eastAsia="cs-CZ" w:bidi="cs-CZ"/>
              </w:rPr>
              <w:t xml:space="preserve">(dále jen </w:t>
            </w:r>
            <w:r>
              <w:rPr>
                <w:b/>
                <w:bCs/>
                <w:i/>
                <w:iCs/>
                <w:color w:val="000000"/>
                <w:spacing w:val="0"/>
                <w:w w:val="100"/>
                <w:position w:val="0"/>
                <w:sz w:val="24"/>
                <w:szCs w:val="24"/>
                <w:shd w:val="clear" w:color="auto" w:fill="auto"/>
                <w:lang w:val="cs-CZ" w:eastAsia="cs-CZ" w:bidi="cs-CZ"/>
              </w:rPr>
              <w:t>„TDS“)</w:t>
            </w:r>
          </w:p>
        </w:tc>
      </w:tr>
    </w:tbl>
    <w:p>
      <w:pPr>
        <w:widowControl w:val="0"/>
        <w:spacing w:after="519" w:line="1" w:lineRule="exact"/>
      </w:pPr>
    </w:p>
    <w:p>
      <w:pPr>
        <w:pStyle w:val="Style7"/>
        <w:keepNext w:val="0"/>
        <w:keepLines w:val="0"/>
        <w:widowControl w:val="0"/>
        <w:shd w:val="clear" w:color="auto" w:fill="auto"/>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 xml:space="preserve">uzavírají níže uvedeného dne, měsíce a roku tuto </w:t>
      </w:r>
      <w:r>
        <w:rPr>
          <w:b/>
          <w:bCs/>
          <w:color w:val="000000"/>
          <w:spacing w:val="0"/>
          <w:w w:val="100"/>
          <w:position w:val="0"/>
          <w:sz w:val="24"/>
          <w:szCs w:val="24"/>
          <w:shd w:val="clear" w:color="auto" w:fill="auto"/>
          <w:lang w:val="cs-CZ" w:eastAsia="cs-CZ" w:bidi="cs-CZ"/>
        </w:rPr>
        <w:t xml:space="preserve">smlouvu, </w:t>
      </w:r>
      <w:r>
        <w:rPr>
          <w:color w:val="000000"/>
          <w:spacing w:val="0"/>
          <w:w w:val="100"/>
          <w:position w:val="0"/>
          <w:sz w:val="24"/>
          <w:szCs w:val="24"/>
          <w:shd w:val="clear" w:color="auto" w:fill="auto"/>
          <w:lang w:val="cs-CZ" w:eastAsia="cs-CZ" w:bidi="cs-CZ"/>
        </w:rPr>
        <w:t xml:space="preserve">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w:t>
      </w:r>
      <w:r>
        <w:rPr>
          <w:color w:val="000000"/>
          <w:spacing w:val="0"/>
          <w:w w:val="100"/>
          <w:position w:val="0"/>
          <w:sz w:val="24"/>
          <w:szCs w:val="24"/>
          <w:shd w:val="clear" w:color="auto" w:fill="auto"/>
          <w:lang w:val="cs-CZ" w:eastAsia="cs-CZ" w:bidi="cs-CZ"/>
        </w:rPr>
        <w:t>k zaplacení sjednané odměny za jejich provedení a obě strany se zavazují plnit podmínky obsažené v následujících ustanoveních této smlouvy.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2</w:t>
      </w:r>
    </w:p>
    <w:p>
      <w:pPr>
        <w:pStyle w:val="Style20"/>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cs-CZ" w:eastAsia="cs-CZ" w:bidi="cs-CZ"/>
        </w:rPr>
        <w:t>Předmět smlouvy</w:t>
      </w:r>
      <w:bookmarkEnd w:id="8"/>
      <w:bookmarkEnd w:id="9"/>
    </w:p>
    <w:p>
      <w:pPr>
        <w:pStyle w:val="Style7"/>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color w:val="000000"/>
          <w:spacing w:val="0"/>
          <w:w w:val="100"/>
          <w:position w:val="0"/>
          <w:sz w:val="24"/>
          <w:szCs w:val="24"/>
          <w:shd w:val="clear" w:color="auto" w:fill="auto"/>
          <w:lang w:val="cs-CZ" w:eastAsia="cs-CZ" w:bidi="cs-CZ"/>
        </w:rPr>
        <w:t>TDS se zavazuje pro objednatele vykonávat funkci technického dozoru stavebníka na staveništi po celou dobu přípravy a realizace stavby</w:t>
      </w:r>
    </w:p>
    <w:p>
      <w:pPr>
        <w:pStyle w:val="Style20"/>
        <w:keepNext/>
        <w:keepLines/>
        <w:widowControl w:val="0"/>
        <w:shd w:val="clear" w:color="auto" w:fill="auto"/>
        <w:tabs>
          <w:tab w:pos="1344" w:val="left"/>
        </w:tabs>
        <w:bidi w:val="0"/>
        <w:spacing w:before="0" w:after="340" w:line="240" w:lineRule="auto"/>
        <w:ind w:left="0" w:right="0" w:firstLine="0"/>
        <w:jc w:val="both"/>
      </w:pPr>
      <w:bookmarkStart w:id="10" w:name="bookmark10"/>
      <w:bookmarkStart w:id="11" w:name="bookmark11"/>
      <w:r>
        <w:rPr>
          <w:b w:val="0"/>
          <w:bCs w:val="0"/>
          <w:color w:val="000000"/>
          <w:spacing w:val="0"/>
          <w:w w:val="100"/>
          <w:position w:val="0"/>
          <w:sz w:val="24"/>
          <w:szCs w:val="24"/>
          <w:shd w:val="clear" w:color="auto" w:fill="auto"/>
          <w:lang w:val="cs-CZ" w:eastAsia="cs-CZ" w:bidi="cs-CZ"/>
        </w:rPr>
        <w:t>na akci:</w:t>
        <w:tab/>
      </w:r>
      <w:r>
        <w:rPr>
          <w:color w:val="000000"/>
          <w:spacing w:val="0"/>
          <w:w w:val="100"/>
          <w:position w:val="0"/>
          <w:sz w:val="24"/>
          <w:szCs w:val="24"/>
          <w:shd w:val="clear" w:color="auto" w:fill="auto"/>
          <w:lang w:val="cs-CZ" w:eastAsia="cs-CZ" w:bidi="cs-CZ"/>
        </w:rPr>
        <w:t>III/41015 Bahnův mlýn - propustek ev. č. 41015-7P</w:t>
      </w:r>
      <w:bookmarkEnd w:id="10"/>
      <w:bookmarkEnd w:id="11"/>
    </w:p>
    <w:p>
      <w:pPr>
        <w:pStyle w:val="Style7"/>
        <w:keepNext w:val="0"/>
        <w:keepLines w:val="0"/>
        <w:widowControl w:val="0"/>
        <w:shd w:val="clear" w:color="auto" w:fill="auto"/>
        <w:bidi w:val="0"/>
        <w:spacing w:before="0" w:after="220" w:line="240" w:lineRule="auto"/>
        <w:ind w:left="0" w:right="0" w:firstLine="0"/>
        <w:jc w:val="both"/>
      </w:pPr>
      <w:r>
        <w:rPr>
          <w:color w:val="000000"/>
          <w:spacing w:val="0"/>
          <w:w w:val="100"/>
          <w:position w:val="0"/>
          <w:sz w:val="24"/>
          <w:szCs w:val="24"/>
          <w:shd w:val="clear" w:color="auto" w:fill="auto"/>
          <w:lang w:val="cs-CZ" w:eastAsia="cs-CZ" w:bidi="cs-CZ"/>
        </w:rPr>
        <w:t xml:space="preserve">a to v souladu s nabídkou dodavatele podanou v rámci výběrového řízení ze dne 8.3.2022 a v podrobnostech a za dodržení podmínek uvedených v </w:t>
      </w:r>
      <w:r>
        <w:rPr>
          <w:b/>
          <w:bCs/>
          <w:color w:val="000000"/>
          <w:spacing w:val="0"/>
          <w:w w:val="100"/>
          <w:position w:val="0"/>
          <w:sz w:val="24"/>
          <w:szCs w:val="24"/>
          <w:shd w:val="clear" w:color="auto" w:fill="auto"/>
          <w:lang w:val="cs-CZ" w:eastAsia="cs-CZ" w:bidi="cs-CZ"/>
        </w:rPr>
        <w:t xml:space="preserve">příloiáci </w:t>
      </w:r>
      <w:r>
        <w:rPr>
          <w:color w:val="000000"/>
          <w:spacing w:val="0"/>
          <w:w w:val="100"/>
          <w:position w:val="0"/>
          <w:sz w:val="24"/>
          <w:szCs w:val="24"/>
          <w:shd w:val="clear" w:color="auto" w:fill="auto"/>
          <w:lang w:val="cs-CZ" w:eastAsia="cs-CZ" w:bidi="cs-CZ"/>
        </w:rPr>
        <w:t>této smlouvy.</w:t>
      </w:r>
    </w:p>
    <w:p>
      <w:pPr>
        <w:pStyle w:val="Style7"/>
        <w:keepNext w:val="0"/>
        <w:keepLines w:val="0"/>
        <w:widowControl w:val="0"/>
        <w:numPr>
          <w:ilvl w:val="0"/>
          <w:numId w:val="1"/>
        </w:numPr>
        <w:shd w:val="clear" w:color="auto" w:fill="auto"/>
        <w:tabs>
          <w:tab w:pos="71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prohlašuje, že splňuje požadavky na odbornou způsobilost pro výkon technického dozoru stavebníka na staveništi</w:t>
      </w:r>
    </w:p>
    <w:p>
      <w:pPr>
        <w:pStyle w:val="Style7"/>
        <w:keepNext w:val="0"/>
        <w:keepLines w:val="0"/>
        <w:widowControl w:val="0"/>
        <w:numPr>
          <w:ilvl w:val="0"/>
          <w:numId w:val="1"/>
        </w:numPr>
        <w:shd w:val="clear" w:color="auto" w:fill="auto"/>
        <w:tabs>
          <w:tab w:pos="710"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TDS se podrobně seznámil s předmětem smlouvy, jsou mu známy všechny okolnosti potřebné pro zajištění výkonu technického dozoru stavebníka v požadovaném rozsahu a zabezpečí ho na svoji odpovědnost.</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3</w:t>
      </w:r>
    </w:p>
    <w:p>
      <w:pPr>
        <w:pStyle w:val="Style20"/>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cs-CZ" w:eastAsia="cs-CZ" w:bidi="cs-CZ"/>
        </w:rPr>
        <w:t>Rozsai a obsai předmětu plnění</w:t>
      </w:r>
      <w:bookmarkEnd w:id="12"/>
      <w:bookmarkEnd w:id="13"/>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plnění jsou veškeré práce a činnosti v členění dle níže uvedených fází stavby.</w:t>
      </w:r>
    </w:p>
    <w:p>
      <w:pPr>
        <w:pStyle w:val="Style20"/>
        <w:keepNext/>
        <w:keepLines/>
        <w:widowControl w:val="0"/>
        <w:numPr>
          <w:ilvl w:val="1"/>
          <w:numId w:val="1"/>
        </w:numPr>
        <w:shd w:val="clear" w:color="auto" w:fill="auto"/>
        <w:tabs>
          <w:tab w:pos="710" w:val="left"/>
        </w:tabs>
        <w:bidi w:val="0"/>
        <w:spacing w:before="0" w:line="240" w:lineRule="auto"/>
        <w:ind w:left="0" w:right="0" w:firstLine="0"/>
        <w:jc w:val="both"/>
      </w:pPr>
      <w:bookmarkStart w:id="14" w:name="bookmark14"/>
      <w:bookmarkStart w:id="15" w:name="bookmark15"/>
      <w:r>
        <w:rPr>
          <w:color w:val="000000"/>
          <w:spacing w:val="0"/>
          <w:w w:val="100"/>
          <w:position w:val="0"/>
          <w:sz w:val="24"/>
          <w:szCs w:val="24"/>
          <w:shd w:val="clear" w:color="auto" w:fill="auto"/>
          <w:lang w:val="cs-CZ" w:eastAsia="cs-CZ" w:bidi="cs-CZ"/>
        </w:rPr>
        <w:t>Přípravné činnosti před zaiájením stavby spočívající zejména v činnosteci:</w:t>
      </w:r>
      <w:bookmarkEnd w:id="14"/>
      <w:bookmarkEnd w:id="15"/>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seznámení se s problematikou stavby včetně znalosti projektové dokumentace dle DSP a PDPS a soupisu prací</w:t>
      </w:r>
    </w:p>
    <w:p>
      <w:pPr>
        <w:pStyle w:val="Style7"/>
        <w:keepNext w:val="0"/>
        <w:keepLines w:val="0"/>
        <w:widowControl w:val="0"/>
        <w:shd w:val="clear" w:color="auto" w:fill="auto"/>
        <w:bidi w:val="0"/>
        <w:spacing w:before="0" w:line="262"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získání podrobné znalosti obsahu Smlouvy o dílo včetně jejích příloh, rozpočtu a OP</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pPr>
        <w:pStyle w:val="Style7"/>
        <w:keepNext w:val="0"/>
        <w:keepLines w:val="0"/>
        <w:widowControl w:val="0"/>
        <w:shd w:val="clear" w:color="auto" w:fill="auto"/>
        <w:bidi w:val="0"/>
        <w:spacing w:before="0" w:line="262"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prohlídka staveniště před zahájením vlastních stavebních prací</w:t>
      </w:r>
    </w:p>
    <w:p>
      <w:pPr>
        <w:pStyle w:val="Style7"/>
        <w:keepNext w:val="0"/>
        <w:keepLines w:val="0"/>
        <w:widowControl w:val="0"/>
        <w:shd w:val="clear" w:color="auto" w:fill="auto"/>
        <w:bidi w:val="0"/>
        <w:spacing w:before="0" w:after="22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zabezpečení a organizace protokolárního předání staveniště zhotoviteli včetně zápisu o předání a převzetí staveniště včetně předání dokladů a převzetí harmonogramu a technologických postupů stavebníka</w:t>
      </w:r>
    </w:p>
    <w:p>
      <w:pPr>
        <w:pStyle w:val="Style20"/>
        <w:keepNext/>
        <w:keepLines/>
        <w:widowControl w:val="0"/>
        <w:numPr>
          <w:ilvl w:val="1"/>
          <w:numId w:val="1"/>
        </w:numPr>
        <w:shd w:val="clear" w:color="auto" w:fill="auto"/>
        <w:tabs>
          <w:tab w:pos="710" w:val="left"/>
        </w:tabs>
        <w:bidi w:val="0"/>
        <w:spacing w:before="0" w:line="240" w:lineRule="auto"/>
        <w:ind w:left="0" w:right="0" w:firstLine="0"/>
        <w:jc w:val="both"/>
      </w:pPr>
      <w:bookmarkStart w:id="16" w:name="bookmark16"/>
      <w:bookmarkStart w:id="17" w:name="bookmark17"/>
      <w:r>
        <w:rPr>
          <w:color w:val="000000"/>
          <w:spacing w:val="0"/>
          <w:w w:val="100"/>
          <w:position w:val="0"/>
          <w:sz w:val="24"/>
          <w:szCs w:val="24"/>
          <w:shd w:val="clear" w:color="auto" w:fill="auto"/>
          <w:lang w:val="cs-CZ" w:eastAsia="cs-CZ" w:bidi="cs-CZ"/>
        </w:rPr>
        <w:t>Práce spojené s prováděním stavby spočívající zejména v činnosteci:</w:t>
      </w:r>
      <w:bookmarkEnd w:id="16"/>
      <w:bookmarkEnd w:id="17"/>
    </w:p>
    <w:p>
      <w:pPr>
        <w:pStyle w:val="Style7"/>
        <w:keepNext w:val="0"/>
        <w:keepLines w:val="0"/>
        <w:widowControl w:val="0"/>
        <w:numPr>
          <w:ilvl w:val="0"/>
          <w:numId w:val="3"/>
        </w:numPr>
        <w:shd w:val="clear" w:color="auto" w:fill="auto"/>
        <w:tabs>
          <w:tab w:pos="1142" w:val="left"/>
        </w:tabs>
        <w:bidi w:val="0"/>
        <w:spacing w:before="0" w:line="252" w:lineRule="auto"/>
        <w:ind w:left="1140" w:right="0" w:hanging="420"/>
        <w:jc w:val="both"/>
      </w:pPr>
      <w:r>
        <w:rPr>
          <w:color w:val="000000"/>
          <w:spacing w:val="0"/>
          <w:w w:val="100"/>
          <w:position w:val="0"/>
          <w:sz w:val="24"/>
          <w:szCs w:val="24"/>
          <w:shd w:val="clear" w:color="auto" w:fill="auto"/>
          <w:lang w:val="cs-CZ" w:eastAsia="cs-CZ" w:bidi="cs-CZ"/>
        </w:rPr>
        <w:t xml:space="preserve">fyzická přítomnost a výkon technického dozoru stavebníka na staveništi a to </w:t>
      </w:r>
      <w:r>
        <w:rPr>
          <w:b/>
          <w:bCs/>
          <w:color w:val="000000"/>
          <w:spacing w:val="0"/>
          <w:w w:val="100"/>
          <w:position w:val="0"/>
          <w:sz w:val="24"/>
          <w:szCs w:val="24"/>
          <w:shd w:val="clear" w:color="auto" w:fill="auto"/>
          <w:lang w:val="cs-CZ" w:eastAsia="cs-CZ" w:bidi="cs-CZ"/>
        </w:rPr>
        <w:t>minimálně ve 2 dnech v pruběiu kalendářníio týdne</w:t>
      </w:r>
      <w:r>
        <w:rPr>
          <w:color w:val="000000"/>
          <w:spacing w:val="0"/>
          <w:w w:val="100"/>
          <w:position w:val="0"/>
          <w:sz w:val="24"/>
          <w:szCs w:val="24"/>
          <w:shd w:val="clear" w:color="auto" w:fill="auto"/>
          <w:lang w:val="cs-CZ" w:eastAsia="cs-CZ" w:bidi="cs-CZ"/>
        </w:rPr>
        <w:t>, pokud nebude se zadavatelem dohodnuto jinak</w:t>
      </w:r>
    </w:p>
    <w:p>
      <w:pPr>
        <w:pStyle w:val="Style7"/>
        <w:keepNext w:val="0"/>
        <w:keepLines w:val="0"/>
        <w:widowControl w:val="0"/>
        <w:numPr>
          <w:ilvl w:val="0"/>
          <w:numId w:val="3"/>
        </w:numPr>
        <w:shd w:val="clear" w:color="auto" w:fill="auto"/>
        <w:tabs>
          <w:tab w:pos="1142" w:val="left"/>
        </w:tabs>
        <w:bidi w:val="0"/>
        <w:spacing w:before="0" w:line="252" w:lineRule="auto"/>
        <w:ind w:left="1140" w:right="0" w:hanging="420"/>
        <w:jc w:val="both"/>
      </w:pPr>
      <w:r>
        <w:rPr>
          <w:color w:val="000000"/>
          <w:spacing w:val="0"/>
          <w:w w:val="100"/>
          <w:position w:val="0"/>
          <w:sz w:val="24"/>
          <w:szCs w:val="24"/>
          <w:shd w:val="clear" w:color="auto" w:fill="auto"/>
          <w:lang w:val="cs-CZ" w:eastAsia="cs-CZ" w:bidi="cs-CZ"/>
        </w:rPr>
        <w:t>nepřetržitá fyzická přítomnost a výkon technického dozoru stavebníka na staveništi po dobu pokládky asfaltových vrstev</w:t>
      </w:r>
    </w:p>
    <w:p>
      <w:pPr>
        <w:pStyle w:val="Style7"/>
        <w:keepNext w:val="0"/>
        <w:keepLines w:val="0"/>
        <w:widowControl w:val="0"/>
        <w:shd w:val="clear" w:color="auto" w:fill="auto"/>
        <w:bidi w:val="0"/>
        <w:spacing w:before="0" w:line="233"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soustavná kontrola dodržování podmínek smlouvy o dílo uzavřené mezi stavebníkem a zhotovitelem</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zajištění systematického doplňování dokumentace, podle které se stavba realizuje a kontroly, zda zhotovitel průběžně zpracovává dokumentaci skutečného provedení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svolávání a organizace pravidelných kontrolních dnů v četnosti podle požadavku zadavatele včetně zápisu z kontrolního dne stavby; zápis bude TDS zpracován a odeslán objednateli do 3 pracovních dnů od termínu konání kontrolního dne</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věcné a cenové správnosti a úplnosti oceňovacích podkladů a faktur, jejich soulad s podmínkami smlouvy o dílo a jejich předkládání zadavateli k evidenci či proplacení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těch částí stavby, které budou v dalším postupu zakryty, nebo se stanou nepřístupnými a účast na zkouškách prováděných v průběhu výstavby s kontrolou správnosti jejich provádění včetně zápisu do stavebního deníku</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dodržování schválených technologických postupů</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pracovníky projektanta zabezpečujícími autorský dozor při zajišťování souladu realizovaných dílčích částí stavby s projektem, s koordinátorem BOZP, stavebním dozorem, stavbyvedoucím a s orgány příslušnými v rámci stavebních akcí</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dodržování platných legislativních předpisů a závazných ČSN, případně závazných částí ČSN v rámci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sledování vedení stavebního deníku v souladu s podmínkami smlouvy o dílo, provádění zápisů se zhodnocením kvality prací a dodávek, kontrola postupu výstavby s časovým plánem a s požadavky na odstranění zjištěných nedostatků</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spolupráce s odpovědnými pracovníky zhotovitele při provádění opatření na odvrácení, nebo omezení škod při ohrožení stavby živelnými událostmi</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shromažďování, kontrola a zajištění všech dokladů o provedených předepsaných zkouškách a revizích, evidence všech protokolů a zápisů</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dodržení časového postupu prací a návrhy na řešení vzniklých prodlev</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příprava podkladů pro odevzdání a převzetí stavby, nebo její části</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provedení soupisu vad a případných nedodělků a kontrola jejich odstraňování, zápis o předání a převzetí dokončené stavby investorem</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kontrola vyklizení staveniště zhotovitelem</w:t>
      </w:r>
    </w:p>
    <w:p>
      <w:pPr>
        <w:pStyle w:val="Style7"/>
        <w:keepNext w:val="0"/>
        <w:keepLines w:val="0"/>
        <w:widowControl w:val="0"/>
        <w:shd w:val="clear" w:color="auto" w:fill="auto"/>
        <w:bidi w:val="0"/>
        <w:spacing w:before="0" w:line="240" w:lineRule="auto"/>
        <w:ind w:left="0" w:right="0" w:firstLine="7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uplatňování požadavků na zhotovitele vyplývající z předání a převzetí díla</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TDS je povinen prokazatelně informovat objednatele o návštěvě na staveništi zápisem ve stavebním deníku a doložením fotodokumentace s elektronickou časovou identifikací</w:t>
      </w:r>
    </w:p>
    <w:p>
      <w:pPr>
        <w:pStyle w:val="Style20"/>
        <w:keepNext/>
        <w:keepLines/>
        <w:widowControl w:val="0"/>
        <w:numPr>
          <w:ilvl w:val="1"/>
          <w:numId w:val="1"/>
        </w:numPr>
        <w:shd w:val="clear" w:color="auto" w:fill="auto"/>
        <w:tabs>
          <w:tab w:pos="588" w:val="left"/>
        </w:tabs>
        <w:bidi w:val="0"/>
        <w:spacing w:before="0" w:line="240" w:lineRule="auto"/>
        <w:ind w:left="0" w:right="0" w:firstLine="0"/>
        <w:jc w:val="left"/>
      </w:pPr>
      <w:bookmarkStart w:id="18" w:name="bookmark18"/>
      <w:bookmarkStart w:id="19" w:name="bookmark19"/>
      <w:r>
        <w:rPr>
          <w:color w:val="000000"/>
          <w:spacing w:val="0"/>
          <w:w w:val="100"/>
          <w:position w:val="0"/>
          <w:sz w:val="24"/>
          <w:szCs w:val="24"/>
          <w:shd w:val="clear" w:color="auto" w:fill="auto"/>
          <w:lang w:val="cs-CZ" w:eastAsia="cs-CZ" w:bidi="cs-CZ"/>
        </w:rPr>
        <w:t>Práce po dokončení stavby spočívající zejména v činnostech:</w:t>
      </w:r>
      <w:bookmarkEnd w:id="18"/>
      <w:bookmarkEnd w:id="19"/>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opatření závazných stanovisek dotčených orgánů k užívání stavby vyžadovaná zvláštními právními předpisy pro vydání kolaudačního souhlasu (příprava podkladů pro žádost o kolaudační řízení), případně zajištění oznámení o předčasném užívání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účast na kolaudačním řízení, účast na závěrečné kontrolní prohlídce stavby stavebním úřadem, obstarání vydání kolaudačního souhlasu, případně oznámení o předčasném užívání stavby</w:t>
      </w:r>
    </w:p>
    <w:p>
      <w:pPr>
        <w:pStyle w:val="Style7"/>
        <w:keepNext w:val="0"/>
        <w:keepLines w:val="0"/>
        <w:widowControl w:val="0"/>
        <w:shd w:val="clear" w:color="auto" w:fill="auto"/>
        <w:bidi w:val="0"/>
        <w:spacing w:before="0" w:line="240" w:lineRule="auto"/>
        <w:ind w:left="1140" w:right="0" w:hanging="420"/>
        <w:jc w:val="both"/>
      </w:pPr>
      <w:r>
        <w:rPr>
          <w:rFonts w:ascii="Arial" w:eastAsia="Arial" w:hAnsi="Arial" w:cs="Arial"/>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zpracování podkladů pro závěrečné vyúčtování stavby po odstranění event. kolaudačních závad.</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4</w:t>
      </w:r>
    </w:p>
    <w:p>
      <w:pPr>
        <w:pStyle w:val="Style20"/>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z w:val="24"/>
          <w:szCs w:val="24"/>
          <w:shd w:val="clear" w:color="auto" w:fill="auto"/>
          <w:lang w:val="cs-CZ" w:eastAsia="cs-CZ" w:bidi="cs-CZ"/>
        </w:rPr>
        <w:t>Čas plnění</w:t>
      </w:r>
      <w:bookmarkEnd w:id="20"/>
      <w:bookmarkEnd w:id="21"/>
    </w:p>
    <w:p>
      <w:pPr>
        <w:pStyle w:val="Style7"/>
        <w:keepNext w:val="0"/>
        <w:keepLines w:val="0"/>
        <w:widowControl w:val="0"/>
        <w:numPr>
          <w:ilvl w:val="0"/>
          <w:numId w:val="5"/>
        </w:numPr>
        <w:shd w:val="clear" w:color="auto" w:fill="auto"/>
        <w:tabs>
          <w:tab w:pos="588"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TDS zahájí svoji činnost okamžikem prvního úkonu.</w:t>
      </w:r>
    </w:p>
    <w:p>
      <w:pPr>
        <w:pStyle w:val="Style7"/>
        <w:keepNext w:val="0"/>
        <w:keepLines w:val="0"/>
        <w:widowControl w:val="0"/>
        <w:numPr>
          <w:ilvl w:val="0"/>
          <w:numId w:val="5"/>
        </w:numPr>
        <w:shd w:val="clear" w:color="auto" w:fill="auto"/>
        <w:tabs>
          <w:tab w:pos="588"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TDS ukončí činnost okamžikem, kdy jsou fyzicky ukončeny práce na stavbě.</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5</w:t>
      </w:r>
    </w:p>
    <w:p>
      <w:pPr>
        <w:pStyle w:val="Style20"/>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z w:val="24"/>
          <w:szCs w:val="24"/>
          <w:shd w:val="clear" w:color="auto" w:fill="auto"/>
          <w:lang w:val="cs-CZ" w:eastAsia="cs-CZ" w:bidi="cs-CZ"/>
        </w:rPr>
        <w:t>Odměna TDS, platební podmínky</w:t>
      </w:r>
      <w:bookmarkEnd w:id="22"/>
      <w:bookmarkEnd w:id="23"/>
    </w:p>
    <w:p>
      <w:pPr>
        <w:pStyle w:val="Style7"/>
        <w:keepNext w:val="0"/>
        <w:keepLines w:val="0"/>
        <w:widowControl w:val="0"/>
        <w:numPr>
          <w:ilvl w:val="0"/>
          <w:numId w:val="7"/>
        </w:numPr>
        <w:shd w:val="clear" w:color="auto" w:fill="auto"/>
        <w:tabs>
          <w:tab w:pos="588" w:val="left"/>
        </w:tabs>
        <w:bidi w:val="0"/>
        <w:spacing w:before="0" w:after="380" w:line="240" w:lineRule="auto"/>
        <w:ind w:left="0" w:right="0" w:firstLine="0"/>
        <w:jc w:val="left"/>
      </w:pPr>
      <w:r>
        <w:rPr>
          <w:color w:val="000000"/>
          <w:spacing w:val="0"/>
          <w:w w:val="100"/>
          <w:position w:val="0"/>
          <w:sz w:val="24"/>
          <w:szCs w:val="24"/>
          <w:shd w:val="clear" w:color="auto" w:fill="auto"/>
          <w:lang w:val="cs-CZ" w:eastAsia="cs-CZ" w:bidi="cs-CZ"/>
        </w:rPr>
        <w:t>Objednatel se zavazuje zaplatit TDS za uskutečnění činností podle této smlouvy smluvní dohodnutou odměnu ve výši:</w:t>
      </w:r>
    </w:p>
    <w:p>
      <w:pPr>
        <w:pStyle w:val="Style7"/>
        <w:keepNext w:val="0"/>
        <w:keepLines w:val="0"/>
        <w:widowControl w:val="0"/>
        <w:shd w:val="clear" w:color="auto" w:fill="auto"/>
        <w:bidi w:val="0"/>
        <w:spacing w:before="0" w:after="380" w:line="240" w:lineRule="auto"/>
        <w:ind w:left="0" w:right="0" w:firstLine="580"/>
        <w:jc w:val="left"/>
      </w:pPr>
      <w:r>
        <w:rPr>
          <w:b/>
          <w:bCs/>
          <w:color w:val="000000"/>
          <w:spacing w:val="0"/>
          <w:w w:val="100"/>
          <w:position w:val="0"/>
          <w:sz w:val="24"/>
          <w:szCs w:val="24"/>
          <w:shd w:val="clear" w:color="auto" w:fill="auto"/>
          <w:lang w:val="cs-CZ" w:eastAsia="cs-CZ" w:bidi="cs-CZ"/>
        </w:rPr>
        <w:t xml:space="preserve">a) </w:t>
      </w:r>
      <w:r>
        <w:rPr>
          <w:b/>
          <w:bCs/>
          <w:color w:val="000000"/>
          <w:spacing w:val="0"/>
          <w:w w:val="100"/>
          <w:position w:val="0"/>
          <w:sz w:val="24"/>
          <w:szCs w:val="24"/>
          <w:u w:val="single"/>
          <w:shd w:val="clear" w:color="auto" w:fill="auto"/>
          <w:lang w:val="cs-CZ" w:eastAsia="cs-CZ" w:bidi="cs-CZ"/>
        </w:rPr>
        <w:t>Výkon TDS - práce před zahájením a po dokončení stavby</w:t>
      </w:r>
    </w:p>
    <w:tbl>
      <w:tblPr>
        <w:tblOverlap w:val="never"/>
        <w:jc w:val="center"/>
        <w:tblLayout w:type="fixed"/>
      </w:tblPr>
      <w:tblGrid>
        <w:gridCol w:w="4397"/>
        <w:gridCol w:w="3835"/>
      </w:tblGrid>
      <w:tr>
        <w:trPr>
          <w:trHeight w:val="509"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práci před zahájením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18 000,- Kč bez DPH</w:t>
            </w:r>
          </w:p>
        </w:tc>
      </w:tr>
      <w:tr>
        <w:trPr>
          <w:trHeight w:val="50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prací po dokončení stavby</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22 000,- Kč bez DPH</w:t>
            </w:r>
          </w:p>
        </w:tc>
      </w:tr>
      <w:tr>
        <w:trPr>
          <w:trHeight w:val="50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40 000,- Kč</w:t>
            </w:r>
          </w:p>
        </w:tc>
      </w:tr>
      <w:tr>
        <w:trPr>
          <w:trHeight w:val="437"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8 400,- Kč</w:t>
            </w:r>
          </w:p>
        </w:tc>
      </w:tr>
      <w:tr>
        <w:trPr>
          <w:trHeight w:val="571"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48 400,-.Kč</w:t>
            </w:r>
          </w:p>
        </w:tc>
      </w:tr>
    </w:tbl>
    <w:p>
      <w:pPr>
        <w:widowControl w:val="0"/>
        <w:spacing w:after="379" w:line="1" w:lineRule="exact"/>
      </w:pPr>
    </w:p>
    <w:p>
      <w:pPr>
        <w:pStyle w:val="Style20"/>
        <w:keepNext/>
        <w:keepLines/>
        <w:widowControl w:val="0"/>
        <w:shd w:val="clear" w:color="auto" w:fill="auto"/>
        <w:bidi w:val="0"/>
        <w:spacing w:before="0" w:after="240" w:line="240" w:lineRule="auto"/>
        <w:ind w:left="0" w:right="0" w:firstLine="720"/>
        <w:jc w:val="left"/>
      </w:pPr>
      <w:bookmarkStart w:id="24" w:name="bookmark24"/>
      <w:bookmarkStart w:id="25" w:name="bookmark25"/>
      <w:r>
        <w:rPr>
          <w:color w:val="000000"/>
          <w:spacing w:val="0"/>
          <w:w w:val="100"/>
          <w:position w:val="0"/>
          <w:sz w:val="24"/>
          <w:szCs w:val="24"/>
          <w:shd w:val="clear" w:color="auto" w:fill="auto"/>
          <w:lang w:val="cs-CZ" w:eastAsia="cs-CZ" w:bidi="cs-CZ"/>
        </w:rPr>
        <w:t xml:space="preserve">b) </w:t>
      </w:r>
      <w:r>
        <w:rPr>
          <w:color w:val="000000"/>
          <w:spacing w:val="0"/>
          <w:w w:val="100"/>
          <w:position w:val="0"/>
          <w:sz w:val="24"/>
          <w:szCs w:val="24"/>
          <w:u w:val="single"/>
          <w:shd w:val="clear" w:color="auto" w:fill="auto"/>
          <w:lang w:val="cs-CZ" w:eastAsia="cs-CZ" w:bidi="cs-CZ"/>
        </w:rPr>
        <w:t>Výkon TDS - práce spojené s prováděním stavby</w:t>
      </w:r>
      <w:bookmarkEnd w:id="24"/>
      <w:bookmarkEnd w:id="25"/>
    </w:p>
    <w:tbl>
      <w:tblPr>
        <w:tblOverlap w:val="never"/>
        <w:jc w:val="center"/>
        <w:tblLayout w:type="fixed"/>
      </w:tblPr>
      <w:tblGrid>
        <w:gridCol w:w="4397"/>
        <w:gridCol w:w="3835"/>
      </w:tblGrid>
      <w:tr>
        <w:trPr>
          <w:trHeight w:val="68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580,- Kč bez DPH</w:t>
            </w:r>
          </w:p>
        </w:tc>
      </w:tr>
      <w:tr>
        <w:trPr>
          <w:trHeight w:val="69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cs-CZ" w:eastAsia="cs-CZ" w:bidi="cs-CZ"/>
              </w:rPr>
              <w:t>Cena za 1 hodinu (60 minut) výkonu TDS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720,- Kč bez DPH</w:t>
            </w:r>
          </w:p>
        </w:tc>
      </w:tr>
    </w:tbl>
    <w:p>
      <w:pPr>
        <w:widowControl w:val="0"/>
        <w:spacing w:after="539" w:line="1" w:lineRule="exact"/>
      </w:pPr>
    </w:p>
    <w:p>
      <w:pPr>
        <w:pStyle w:val="Style7"/>
        <w:keepNext w:val="0"/>
        <w:keepLines w:val="0"/>
        <w:widowControl w:val="0"/>
        <w:numPr>
          <w:ilvl w:val="0"/>
          <w:numId w:val="7"/>
        </w:numPr>
        <w:shd w:val="clear" w:color="auto" w:fill="auto"/>
        <w:tabs>
          <w:tab w:pos="588" w:val="left"/>
        </w:tabs>
        <w:bidi w:val="0"/>
        <w:spacing w:before="0" w:after="180" w:line="240" w:lineRule="auto"/>
        <w:ind w:left="0" w:right="0" w:firstLine="0"/>
        <w:jc w:val="both"/>
      </w:pPr>
      <w:r>
        <w:rPr>
          <w:color w:val="000000"/>
          <w:spacing w:val="0"/>
          <w:w w:val="100"/>
          <w:position w:val="0"/>
          <w:sz w:val="24"/>
          <w:szCs w:val="24"/>
          <w:shd w:val="clear" w:color="auto" w:fill="auto"/>
          <w:lang w:val="cs-CZ" w:eastAsia="cs-CZ" w:bidi="cs-CZ"/>
        </w:rP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konzultačních dnů.</w:t>
      </w:r>
    </w:p>
    <w:p>
      <w:pPr>
        <w:pStyle w:val="Style7"/>
        <w:keepNext w:val="0"/>
        <w:keepLines w:val="0"/>
        <w:widowControl w:val="0"/>
        <w:numPr>
          <w:ilvl w:val="0"/>
          <w:numId w:val="7"/>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Cena výkonu TDS na staveništi bude fakturována dle skutečného počtu hodin, doložených v soupisu návštěv TDS schvalovaného osobou pověřenou jednat ve věcech technických.</w:t>
      </w:r>
    </w:p>
    <w:p>
      <w:pPr>
        <w:pStyle w:val="Style7"/>
        <w:keepNext w:val="0"/>
        <w:keepLines w:val="0"/>
        <w:widowControl w:val="0"/>
        <w:numPr>
          <w:ilvl w:val="0"/>
          <w:numId w:val="7"/>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Ke sjednané ceně bez DPH za zajištění TDS bude u plátce DPH účtována daň z přidané hodnoty v zákonné výši.</w:t>
      </w:r>
    </w:p>
    <w:p>
      <w:pPr>
        <w:pStyle w:val="Style7"/>
        <w:keepNext w:val="0"/>
        <w:keepLines w:val="0"/>
        <w:widowControl w:val="0"/>
        <w:numPr>
          <w:ilvl w:val="0"/>
          <w:numId w:val="7"/>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Celkovou a pro účely fakturace rozhodnou cenou se u plátce DPH rozumí cena vč. DPH.</w:t>
      </w:r>
    </w:p>
    <w:p>
      <w:pPr>
        <w:pStyle w:val="Style7"/>
        <w:keepNext w:val="0"/>
        <w:keepLines w:val="0"/>
        <w:widowControl w:val="0"/>
        <w:numPr>
          <w:ilvl w:val="0"/>
          <w:numId w:val="7"/>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této skutečnosti není nutné uzavírat dodatek k této smlouvě.</w:t>
      </w:r>
    </w:p>
    <w:p>
      <w:pPr>
        <w:pStyle w:val="Style7"/>
        <w:keepNext w:val="0"/>
        <w:keepLines w:val="0"/>
        <w:widowControl w:val="0"/>
        <w:numPr>
          <w:ilvl w:val="0"/>
          <w:numId w:val="7"/>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Dohodnutá odměna bude TDS proplacena na základě jeho daňového dokladu (faktury).</w:t>
      </w:r>
    </w:p>
    <w:p>
      <w:pPr>
        <w:pStyle w:val="Style7"/>
        <w:keepNext w:val="0"/>
        <w:keepLines w:val="0"/>
        <w:widowControl w:val="0"/>
        <w:numPr>
          <w:ilvl w:val="0"/>
          <w:numId w:val="7"/>
        </w:numPr>
        <w:shd w:val="clear" w:color="auto" w:fill="auto"/>
        <w:tabs>
          <w:tab w:pos="572" w:val="left"/>
        </w:tabs>
        <w:bidi w:val="0"/>
        <w:spacing w:before="0" w:after="100" w:line="226" w:lineRule="auto"/>
        <w:ind w:left="0" w:right="0" w:firstLine="0"/>
        <w:jc w:val="both"/>
      </w:pPr>
      <w:r>
        <w:rPr>
          <w:color w:val="000000"/>
          <w:spacing w:val="0"/>
          <w:w w:val="100"/>
          <w:position w:val="0"/>
          <w:sz w:val="24"/>
          <w:szCs w:val="24"/>
          <w:shd w:val="clear" w:color="auto" w:fill="auto"/>
          <w:lang w:val="cs-CZ" w:eastAsia="cs-CZ" w:bidi="cs-CZ"/>
        </w:rPr>
        <w:t>Faktury budou vystaveny měsíčně za každou část zvlášť,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pPr>
        <w:pStyle w:val="Style7"/>
        <w:keepNext w:val="0"/>
        <w:keepLines w:val="0"/>
        <w:widowControl w:val="0"/>
        <w:numPr>
          <w:ilvl w:val="0"/>
          <w:numId w:val="7"/>
        </w:numPr>
        <w:shd w:val="clear" w:color="auto" w:fill="auto"/>
        <w:tabs>
          <w:tab w:pos="572" w:val="left"/>
        </w:tabs>
        <w:bidi w:val="0"/>
        <w:spacing w:before="0" w:after="100" w:line="230" w:lineRule="auto"/>
        <w:ind w:left="0" w:right="0" w:firstLine="0"/>
        <w:jc w:val="both"/>
      </w:pPr>
      <w:r>
        <w:rPr>
          <w:color w:val="000000"/>
          <w:spacing w:val="0"/>
          <w:w w:val="100"/>
          <w:position w:val="0"/>
          <w:sz w:val="24"/>
          <w:szCs w:val="24"/>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7"/>
        <w:keepNext w:val="0"/>
        <w:keepLines w:val="0"/>
        <w:widowControl w:val="0"/>
        <w:numPr>
          <w:ilvl w:val="0"/>
          <w:numId w:val="7"/>
        </w:numPr>
        <w:shd w:val="clear" w:color="auto" w:fill="auto"/>
        <w:tabs>
          <w:tab w:pos="62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Úhrada za plnění z této smlouvy bude realizována bezhotovostním převodem na účet TDS, který je správcem daně (finančním úřadem) zveřejněn způsobem umožňujícím dálkový přístup ve smyslu ustanovení § 98 zákona č. 235/2004 Sb. o dani z přidané hodnoty, ve znění pozdějších předpisů (dále jen „zákon o DPH“).</w:t>
      </w:r>
    </w:p>
    <w:p>
      <w:pPr>
        <w:pStyle w:val="Style7"/>
        <w:keepNext w:val="0"/>
        <w:keepLines w:val="0"/>
        <w:widowControl w:val="0"/>
        <w:numPr>
          <w:ilvl w:val="0"/>
          <w:numId w:val="7"/>
        </w:numPr>
        <w:shd w:val="clear" w:color="auto" w:fill="auto"/>
        <w:tabs>
          <w:tab w:pos="62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pPr>
        <w:pStyle w:val="Style7"/>
        <w:keepNext w:val="0"/>
        <w:keepLines w:val="0"/>
        <w:widowControl w:val="0"/>
        <w:numPr>
          <w:ilvl w:val="0"/>
          <w:numId w:val="7"/>
        </w:numPr>
        <w:shd w:val="clear" w:color="auto" w:fill="auto"/>
        <w:tabs>
          <w:tab w:pos="62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uhradí prokázané náklady, které TDS nutně nebo účelně vynaložil při plnění předmětu smlouvy - správní a jiné poplatky. Úkony, na základě kterých tyto náklady vzniknou, TDS s objednatelem předem projedná.</w:t>
      </w:r>
    </w:p>
    <w:p>
      <w:pPr>
        <w:pStyle w:val="Style7"/>
        <w:keepNext w:val="0"/>
        <w:keepLines w:val="0"/>
        <w:widowControl w:val="0"/>
        <w:numPr>
          <w:ilvl w:val="0"/>
          <w:numId w:val="7"/>
        </w:numPr>
        <w:shd w:val="clear" w:color="auto" w:fill="auto"/>
        <w:tabs>
          <w:tab w:pos="625"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Lhůta splatnosti daňových dokladů se vzájemnou dohodou sjednává do 30 dnů ode dne, kdy objednatel obdrží oprávněně vystavený daňový doklad.</w:t>
      </w:r>
    </w:p>
    <w:p>
      <w:pPr>
        <w:pStyle w:val="Style7"/>
        <w:keepNext w:val="0"/>
        <w:keepLines w:val="0"/>
        <w:widowControl w:val="0"/>
        <w:numPr>
          <w:ilvl w:val="0"/>
          <w:numId w:val="7"/>
        </w:numPr>
        <w:shd w:val="clear" w:color="auto" w:fill="auto"/>
        <w:tabs>
          <w:tab w:pos="625" w:val="left"/>
        </w:tabs>
        <w:bidi w:val="0"/>
        <w:spacing w:before="0" w:after="540" w:line="240" w:lineRule="auto"/>
        <w:ind w:left="0" w:right="0" w:firstLine="0"/>
        <w:jc w:val="both"/>
      </w:pPr>
      <w:r>
        <w:rPr>
          <w:color w:val="000000"/>
          <w:spacing w:val="0"/>
          <w:w w:val="100"/>
          <w:position w:val="0"/>
          <w:sz w:val="24"/>
          <w:szCs w:val="24"/>
          <w:shd w:val="clear" w:color="auto" w:fill="auto"/>
          <w:lang w:val="cs-CZ" w:eastAsia="cs-CZ" w:bidi="cs-CZ"/>
        </w:rPr>
        <w:t>Práce, které se případně vyskytnou nad rámec předmětu smlouvy, budou dohodnuty v dodatku této smlouvy. Odměna za tyto práce bude sjednána v souladu s náklady TDS dle přílohy této smlouvy - kalkulace odměny.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6</w:t>
      </w:r>
    </w:p>
    <w:p>
      <w:pPr>
        <w:pStyle w:val="Style20"/>
        <w:keepNext/>
        <w:keepLines/>
        <w:widowControl w:val="0"/>
        <w:shd w:val="clear" w:color="auto" w:fill="auto"/>
        <w:bidi w:val="0"/>
        <w:spacing w:before="0" w:after="100" w:line="240" w:lineRule="auto"/>
        <w:ind w:left="0" w:right="0" w:firstLine="0"/>
        <w:jc w:val="center"/>
      </w:pPr>
      <w:bookmarkStart w:id="26" w:name="bookmark26"/>
      <w:bookmarkStart w:id="27" w:name="bookmark27"/>
      <w:r>
        <w:rPr>
          <w:color w:val="000000"/>
          <w:spacing w:val="0"/>
          <w:w w:val="100"/>
          <w:position w:val="0"/>
          <w:sz w:val="24"/>
          <w:szCs w:val="24"/>
          <w:shd w:val="clear" w:color="auto" w:fill="auto"/>
          <w:lang w:val="cs-CZ" w:eastAsia="cs-CZ" w:bidi="cs-CZ"/>
        </w:rPr>
        <w:t>Práva a povinnosti smluvních stran</w:t>
      </w:r>
      <w:bookmarkEnd w:id="26"/>
      <w:bookmarkEnd w:id="27"/>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postupovat při zařizování smluvené záležitosti s veškerou odbornou péčí, podle svých schopností a znalostí a podle pokynů objednatele.</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Dodavatel je oprávněn plnit předmět této smlouvy pouze prostřednictvím osob, jejichž odborná praxe byla předmětem hodnocení nabídek podaných na veřejnou zakázku zadanou v poptávkovém řízení na uzavření této smlouvy</w:t>
      </w:r>
      <w:r>
        <w:rPr>
          <w:b/>
          <w:bCs/>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Odpovědné osoby, které budou zajišťovat výkon technického dozoru stavebníka na staveništi:</w:t>
      </w:r>
    </w:p>
    <w:p>
      <w:pPr>
        <w:pStyle w:val="Style7"/>
        <w:keepNext w:val="0"/>
        <w:keepLines w:val="0"/>
        <w:widowControl w:val="0"/>
        <w:shd w:val="clear" w:color="auto" w:fill="auto"/>
        <w:bidi w:val="0"/>
        <w:spacing w:before="0" w:after="500" w:line="240" w:lineRule="auto"/>
        <w:ind w:left="0" w:right="0" w:firstLine="580"/>
        <w:jc w:val="left"/>
      </w:pPr>
      <w:r>
        <w:rPr>
          <w:b/>
          <w:bCs/>
          <w:color w:val="000000"/>
          <w:spacing w:val="0"/>
          <w:w w:val="100"/>
          <w:position w:val="0"/>
          <w:sz w:val="24"/>
          <w:szCs w:val="24"/>
          <w:shd w:val="clear" w:color="auto" w:fill="auto"/>
          <w:lang w:val="cs-CZ" w:eastAsia="cs-CZ" w:bidi="cs-CZ"/>
        </w:rPr>
        <w:t xml:space="preserve">Odpovědný TDS - Mosty a inženýrské konstrukce </w:t>
      </w:r>
      <w:r>
        <w:rPr>
          <w:color w:val="000000"/>
          <w:spacing w:val="0"/>
          <w:w w:val="100"/>
          <w:position w:val="0"/>
          <w:sz w:val="24"/>
          <w:szCs w:val="24"/>
          <w:shd w:val="clear" w:color="auto" w:fill="auto"/>
          <w:lang w:val="cs-CZ" w:eastAsia="cs-CZ" w:bidi="cs-CZ"/>
        </w:rPr>
        <w:t>(jméno, příjmení, titul, číslo autorizace):</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 xml:space="preserve">Dodavatel je </w:t>
      </w:r>
      <w:r>
        <w:rPr>
          <w:b/>
          <w:bCs/>
          <w:color w:val="000000"/>
          <w:spacing w:val="0"/>
          <w:w w:val="100"/>
          <w:position w:val="0"/>
          <w:sz w:val="24"/>
          <w:szCs w:val="24"/>
          <w:shd w:val="clear" w:color="auto" w:fill="auto"/>
          <w:lang w:val="cs-CZ" w:eastAsia="cs-CZ" w:bidi="cs-CZ"/>
        </w:rPr>
        <w:t xml:space="preserve">oprávněn změnit tyto osoby </w:t>
      </w:r>
      <w:r>
        <w:rPr>
          <w:color w:val="000000"/>
          <w:spacing w:val="0"/>
          <w:w w:val="100"/>
          <w:position w:val="0"/>
          <w:sz w:val="24"/>
          <w:szCs w:val="24"/>
          <w:shd w:val="clear" w:color="auto" w:fill="auto"/>
          <w:lang w:val="cs-CZ" w:eastAsia="cs-CZ" w:bidi="cs-CZ"/>
        </w:rPr>
        <w:t xml:space="preserve">z důvodů na jeho straně </w:t>
      </w:r>
      <w:r>
        <w:rPr>
          <w:b/>
          <w:bCs/>
          <w:color w:val="000000"/>
          <w:spacing w:val="0"/>
          <w:w w:val="100"/>
          <w:position w:val="0"/>
          <w:sz w:val="24"/>
          <w:szCs w:val="24"/>
          <w:shd w:val="clear" w:color="auto" w:fill="auto"/>
          <w:lang w:val="cs-CZ" w:eastAsia="cs-CZ" w:bidi="cs-CZ"/>
        </w:rPr>
        <w:t xml:space="preserve">pouze s předchozím písemným souhlasem zadavatele stavby a pouze, </w:t>
      </w:r>
      <w:r>
        <w:rPr>
          <w:color w:val="000000"/>
          <w:spacing w:val="0"/>
          <w:w w:val="100"/>
          <w:position w:val="0"/>
          <w:sz w:val="24"/>
          <w:szCs w:val="24"/>
          <w:shd w:val="clear" w:color="auto" w:fill="auto"/>
          <w:lang w:val="cs-CZ" w:eastAsia="cs-CZ" w:bidi="cs-CZ"/>
        </w:rPr>
        <w:t xml:space="preserve">pokud </w:t>
      </w:r>
      <w:r>
        <w:rPr>
          <w:b/>
          <w:bCs/>
          <w:color w:val="000000"/>
          <w:spacing w:val="0"/>
          <w:w w:val="100"/>
          <w:position w:val="0"/>
          <w:sz w:val="24"/>
          <w:szCs w:val="24"/>
          <w:shd w:val="clear" w:color="auto" w:fill="auto"/>
          <w:lang w:val="cs-CZ" w:eastAsia="cs-CZ" w:bidi="cs-CZ"/>
        </w:rPr>
        <w:t xml:space="preserve">délka odborné praxe </w:t>
      </w:r>
      <w:r>
        <w:rPr>
          <w:color w:val="000000"/>
          <w:spacing w:val="0"/>
          <w:w w:val="100"/>
          <w:position w:val="0"/>
          <w:sz w:val="24"/>
          <w:szCs w:val="24"/>
          <w:shd w:val="clear" w:color="auto" w:fill="auto"/>
          <w:lang w:val="cs-CZ" w:eastAsia="cs-CZ" w:bidi="cs-CZ"/>
        </w:rPr>
        <w:t xml:space="preserve">těchto </w:t>
      </w:r>
      <w:r>
        <w:rPr>
          <w:b/>
          <w:bCs/>
          <w:color w:val="000000"/>
          <w:spacing w:val="0"/>
          <w:w w:val="100"/>
          <w:position w:val="0"/>
          <w:sz w:val="24"/>
          <w:szCs w:val="24"/>
          <w:shd w:val="clear" w:color="auto" w:fill="auto"/>
          <w:lang w:val="cs-CZ" w:eastAsia="cs-CZ" w:bidi="cs-CZ"/>
        </w:rPr>
        <w:t xml:space="preserve">nových osob bude stejná nebo delší </w:t>
      </w:r>
      <w:r>
        <w:rPr>
          <w:color w:val="000000"/>
          <w:spacing w:val="0"/>
          <w:w w:val="100"/>
          <w:position w:val="0"/>
          <w:sz w:val="24"/>
          <w:szCs w:val="24"/>
          <w:shd w:val="clear" w:color="auto" w:fill="auto"/>
          <w:lang w:val="cs-CZ" w:eastAsia="cs-CZ" w:bidi="cs-CZ"/>
        </w:rPr>
        <w:t>jako délka odborné praxe osob původních</w:t>
      </w:r>
      <w:r>
        <w:rPr>
          <w:b/>
          <w:bCs/>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Vyžaduje-li činnost TDS podle této smlouvy právní jednání objednatele, je objednatel povinen vystavit na žádost TDS písemnou plnou moc pro toto jednání. TDS se zavazuje využít tuto plnou moc jen v rozsahu stanoveném plnou mocí a touto smlouvou.</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povinen předat objednateli bez zbytečného odkladu věci, které za něj převzal při vyřizování záležitostí.</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se zavazuje poskytnout TDS veškeré informace, které jsou nutné k zařízení záležitosti.</w:t>
      </w:r>
    </w:p>
    <w:p>
      <w:pPr>
        <w:pStyle w:val="Style7"/>
        <w:keepNext w:val="0"/>
        <w:keepLines w:val="0"/>
        <w:widowControl w:val="0"/>
        <w:numPr>
          <w:ilvl w:val="0"/>
          <w:numId w:val="9"/>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je oprávněn vyhradit si účast svého pověřeného zástupce při jakémkoliv úkonu TDS, který se týká předmětu této smlouvy.</w:t>
      </w:r>
    </w:p>
    <w:p>
      <w:pPr>
        <w:pStyle w:val="Style7"/>
        <w:keepNext w:val="0"/>
        <w:keepLines w:val="0"/>
        <w:widowControl w:val="0"/>
        <w:numPr>
          <w:ilvl w:val="0"/>
          <w:numId w:val="9"/>
        </w:numPr>
        <w:shd w:val="clear" w:color="auto" w:fill="auto"/>
        <w:tabs>
          <w:tab w:pos="572"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Dle § 2 písm. e) zákona č. 320/2001 Sb., o finanční kontrole ve veřejné správě a o změně některých zákonů (zákon o finanční kontrole), je TDS osobou povinnou spolupůsobit při výkonu finanční kontroly.</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7</w:t>
      </w:r>
    </w:p>
    <w:p>
      <w:pPr>
        <w:pStyle w:val="Style20"/>
        <w:keepNext/>
        <w:keepLines/>
        <w:widowControl w:val="0"/>
        <w:shd w:val="clear" w:color="auto" w:fill="auto"/>
        <w:bidi w:val="0"/>
        <w:spacing w:before="0" w:after="100" w:line="240" w:lineRule="auto"/>
        <w:ind w:left="0" w:right="0" w:firstLine="0"/>
        <w:jc w:val="center"/>
      </w:pPr>
      <w:bookmarkStart w:id="28" w:name="bookmark28"/>
      <w:bookmarkStart w:id="29" w:name="bookmark29"/>
      <w:r>
        <w:rPr>
          <w:color w:val="000000"/>
          <w:spacing w:val="0"/>
          <w:w w:val="100"/>
          <w:position w:val="0"/>
          <w:sz w:val="24"/>
          <w:szCs w:val="24"/>
          <w:shd w:val="clear" w:color="auto" w:fill="auto"/>
          <w:lang w:val="cs-CZ" w:eastAsia="cs-CZ" w:bidi="cs-CZ"/>
        </w:rPr>
        <w:t>Změna závazku</w:t>
      </w:r>
      <w:bookmarkEnd w:id="28"/>
      <w:bookmarkEnd w:id="29"/>
    </w:p>
    <w:p>
      <w:pPr>
        <w:pStyle w:val="Style7"/>
        <w:keepNext w:val="0"/>
        <w:keepLines w:val="0"/>
        <w:widowControl w:val="0"/>
        <w:numPr>
          <w:ilvl w:val="0"/>
          <w:numId w:val="11"/>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Tuto smlouvu lze měnit pouze formou písemných, číslovaných dodatků, podepsaných oprávněnými zástupci obou smluvních stran.</w:t>
      </w:r>
    </w:p>
    <w:p>
      <w:pPr>
        <w:pStyle w:val="Style7"/>
        <w:keepNext w:val="0"/>
        <w:keepLines w:val="0"/>
        <w:widowControl w:val="0"/>
        <w:numPr>
          <w:ilvl w:val="0"/>
          <w:numId w:val="11"/>
        </w:numPr>
        <w:shd w:val="clear" w:color="auto" w:fill="auto"/>
        <w:tabs>
          <w:tab w:pos="572" w:val="left"/>
        </w:tabs>
        <w:bidi w:val="0"/>
        <w:spacing w:before="0" w:after="660" w:line="240" w:lineRule="auto"/>
        <w:ind w:left="0" w:right="0" w:firstLine="0"/>
        <w:jc w:val="both"/>
      </w:pPr>
      <w:r>
        <w:rPr>
          <w:color w:val="000000"/>
          <w:spacing w:val="0"/>
          <w:w w:val="100"/>
          <w:position w:val="0"/>
          <w:sz w:val="24"/>
          <w:szCs w:val="24"/>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8</w:t>
      </w:r>
    </w:p>
    <w:p>
      <w:pPr>
        <w:pStyle w:val="Style20"/>
        <w:keepNext/>
        <w:keepLines/>
        <w:widowControl w:val="0"/>
        <w:shd w:val="clear" w:color="auto" w:fill="auto"/>
        <w:bidi w:val="0"/>
        <w:spacing w:before="0" w:after="100" w:line="240" w:lineRule="auto"/>
        <w:ind w:left="0" w:right="0" w:firstLine="0"/>
        <w:jc w:val="center"/>
      </w:pPr>
      <w:bookmarkStart w:id="30" w:name="bookmark30"/>
      <w:bookmarkStart w:id="31" w:name="bookmark31"/>
      <w:r>
        <w:rPr>
          <w:color w:val="000000"/>
          <w:spacing w:val="0"/>
          <w:w w:val="100"/>
          <w:position w:val="0"/>
          <w:sz w:val="24"/>
          <w:szCs w:val="24"/>
          <w:shd w:val="clear" w:color="auto" w:fill="auto"/>
          <w:lang w:val="cs-CZ" w:eastAsia="cs-CZ" w:bidi="cs-CZ"/>
        </w:rPr>
        <w:t>Sankce</w:t>
      </w:r>
      <w:bookmarkEnd w:id="30"/>
      <w:bookmarkEnd w:id="31"/>
    </w:p>
    <w:p>
      <w:pPr>
        <w:pStyle w:val="Style7"/>
        <w:keepNext w:val="0"/>
        <w:keepLines w:val="0"/>
        <w:widowControl w:val="0"/>
        <w:numPr>
          <w:ilvl w:val="0"/>
          <w:numId w:val="13"/>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zjištění neplnění některé z činností blíže specifikovaných v čl. 3. smlouvy je TDS povinen uhradit objednateli smluvní pokutu ve výši 0,5% z celkové ceny plnění vč. DPH za každé zjištění. Tuto pokutu je možné ukládat opakovaně, dokud nedojde ke zjednání nápravy v přiměřené lhůtě stanovené objednatelem.</w:t>
      </w:r>
    </w:p>
    <w:p>
      <w:pPr>
        <w:pStyle w:val="Style7"/>
        <w:keepNext w:val="0"/>
        <w:keepLines w:val="0"/>
        <w:widowControl w:val="0"/>
        <w:numPr>
          <w:ilvl w:val="0"/>
          <w:numId w:val="13"/>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Zaplacením smluvní pokuty není dotčeno právo objednatele na náhradu škody způsobenou TDS a zjednání nápravy vedoucí k odstranění vady.</w:t>
      </w:r>
    </w:p>
    <w:p>
      <w:pPr>
        <w:pStyle w:val="Style7"/>
        <w:keepNext w:val="0"/>
        <w:keepLines w:val="0"/>
        <w:widowControl w:val="0"/>
        <w:numPr>
          <w:ilvl w:val="0"/>
          <w:numId w:val="13"/>
        </w:numPr>
        <w:shd w:val="clear" w:color="auto" w:fill="auto"/>
        <w:tabs>
          <w:tab w:pos="57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V případě prodlení objednatele se zaplacením faktur uhradí objednatel TDS smluvní pokutu v zákonné výši za každý den prodlení.</w:t>
      </w:r>
    </w:p>
    <w:p>
      <w:pPr>
        <w:pStyle w:val="Style7"/>
        <w:keepNext w:val="0"/>
        <w:keepLines w:val="0"/>
        <w:widowControl w:val="0"/>
        <w:numPr>
          <w:ilvl w:val="0"/>
          <w:numId w:val="13"/>
        </w:numPr>
        <w:shd w:val="clear" w:color="auto" w:fill="auto"/>
        <w:tabs>
          <w:tab w:pos="572" w:val="left"/>
        </w:tabs>
        <w:bidi w:val="0"/>
        <w:spacing w:before="0" w:after="100" w:line="240" w:lineRule="auto"/>
        <w:ind w:left="0" w:right="0" w:firstLine="0"/>
        <w:jc w:val="left"/>
      </w:pPr>
      <w:r>
        <w:rPr>
          <w:color w:val="000000"/>
          <w:spacing w:val="0"/>
          <w:w w:val="100"/>
          <w:position w:val="0"/>
          <w:sz w:val="24"/>
          <w:szCs w:val="24"/>
          <w:shd w:val="clear" w:color="auto" w:fill="auto"/>
          <w:lang w:val="cs-CZ" w:eastAsia="cs-CZ" w:bidi="cs-CZ"/>
        </w:rPr>
        <w:t>Smluvní pokuta je splatná do 10 dnů poté, co bude doklad doručen povinné smluvní straně.</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9</w:t>
      </w:r>
    </w:p>
    <w:p>
      <w:pPr>
        <w:pStyle w:val="Style20"/>
        <w:keepNext/>
        <w:keepLines/>
        <w:widowControl w:val="0"/>
        <w:shd w:val="clear" w:color="auto" w:fill="auto"/>
        <w:bidi w:val="0"/>
        <w:spacing w:before="0" w:after="100" w:line="240" w:lineRule="auto"/>
        <w:ind w:left="0" w:right="0" w:firstLine="0"/>
        <w:jc w:val="center"/>
      </w:pPr>
      <w:bookmarkStart w:id="32" w:name="bookmark32"/>
      <w:bookmarkStart w:id="33" w:name="bookmark33"/>
      <w:r>
        <w:rPr>
          <w:color w:val="000000"/>
          <w:spacing w:val="0"/>
          <w:w w:val="100"/>
          <w:position w:val="0"/>
          <w:sz w:val="24"/>
          <w:szCs w:val="24"/>
          <w:shd w:val="clear" w:color="auto" w:fill="auto"/>
          <w:lang w:val="cs-CZ" w:eastAsia="cs-CZ" w:bidi="cs-CZ"/>
        </w:rPr>
        <w:t>Odpovědnost za škodu</w:t>
      </w:r>
      <w:bookmarkEnd w:id="32"/>
      <w:bookmarkEnd w:id="33"/>
    </w:p>
    <w:p>
      <w:pPr>
        <w:pStyle w:val="Style7"/>
        <w:keepNext w:val="0"/>
        <w:keepLines w:val="0"/>
        <w:widowControl w:val="0"/>
        <w:numPr>
          <w:ilvl w:val="0"/>
          <w:numId w:val="15"/>
        </w:numPr>
        <w:shd w:val="clear" w:color="auto" w:fill="auto"/>
        <w:tabs>
          <w:tab w:pos="566"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odpovídá za škodu, která objednateli vznikne v důsledku vadného plnění, a to v plném rozsahu</w:t>
      </w:r>
      <w:r>
        <w:rPr>
          <w:color w:val="000000"/>
          <w:spacing w:val="0"/>
          <w:w w:val="100"/>
          <w:position w:val="0"/>
          <w:sz w:val="24"/>
          <w:szCs w:val="24"/>
          <w:shd w:val="clear" w:color="auto" w:fill="auto"/>
          <w:lang w:val="cs-CZ" w:eastAsia="cs-CZ" w:bidi="cs-CZ"/>
        </w:rPr>
        <w:t>. Za škodu se považuje i újma, která objednateli vznikla tím, že musel vynaložit náklady v důsledku porušení povinností TDS.</w:t>
      </w:r>
    </w:p>
    <w:p>
      <w:pPr>
        <w:pStyle w:val="Style7"/>
        <w:keepNext w:val="0"/>
        <w:keepLines w:val="0"/>
        <w:widowControl w:val="0"/>
        <w:numPr>
          <w:ilvl w:val="0"/>
          <w:numId w:val="15"/>
        </w:numPr>
        <w:shd w:val="clear" w:color="auto" w:fill="auto"/>
        <w:tabs>
          <w:tab w:pos="566" w:val="left"/>
        </w:tabs>
        <w:bidi w:val="0"/>
        <w:spacing w:before="0" w:after="100" w:line="240" w:lineRule="auto"/>
        <w:ind w:left="0" w:right="0" w:firstLine="0"/>
        <w:jc w:val="both"/>
      </w:pPr>
      <w:r>
        <w:rPr>
          <w:b/>
          <w:bCs/>
          <w:color w:val="000000"/>
          <w:spacing w:val="0"/>
          <w:w w:val="100"/>
          <w:position w:val="0"/>
          <w:sz w:val="24"/>
          <w:szCs w:val="24"/>
          <w:shd w:val="clear" w:color="auto" w:fill="auto"/>
          <w:lang w:val="cs-CZ" w:eastAsia="cs-CZ" w:bidi="cs-CZ"/>
        </w:rPr>
        <w:t>TDS se zavazuje</w:t>
      </w:r>
      <w:r>
        <w:rPr>
          <w:color w:val="000000"/>
          <w:spacing w:val="0"/>
          <w:w w:val="100"/>
          <w:position w:val="0"/>
          <w:sz w:val="24"/>
          <w:szCs w:val="24"/>
          <w:shd w:val="clear" w:color="auto" w:fill="auto"/>
          <w:lang w:val="cs-CZ" w:eastAsia="cs-CZ" w:bidi="cs-CZ"/>
        </w:rPr>
        <w:t xml:space="preserve">, že po celou dobu plnění svého závazku z této smlouvy </w:t>
      </w:r>
      <w:r>
        <w:rPr>
          <w:b/>
          <w:bCs/>
          <w:color w:val="000000"/>
          <w:spacing w:val="0"/>
          <w:w w:val="100"/>
          <w:position w:val="0"/>
          <w:sz w:val="24"/>
          <w:szCs w:val="24"/>
          <w:shd w:val="clear" w:color="auto" w:fill="auto"/>
          <w:lang w:val="cs-CZ" w:eastAsia="cs-CZ" w:bidi="cs-CZ"/>
        </w:rPr>
        <w:t xml:space="preserve">bude mít </w:t>
      </w:r>
      <w:r>
        <w:rPr>
          <w:color w:val="000000"/>
          <w:spacing w:val="0"/>
          <w:w w:val="100"/>
          <w:position w:val="0"/>
          <w:sz w:val="24"/>
          <w:szCs w:val="24"/>
          <w:shd w:val="clear" w:color="auto" w:fill="auto"/>
          <w:lang w:val="cs-CZ" w:eastAsia="cs-CZ" w:bidi="cs-CZ"/>
        </w:rPr>
        <w:t xml:space="preserve">na vlastní náklady </w:t>
      </w:r>
      <w:r>
        <w:rPr>
          <w:b/>
          <w:bCs/>
          <w:color w:val="000000"/>
          <w:spacing w:val="0"/>
          <w:w w:val="100"/>
          <w:position w:val="0"/>
          <w:sz w:val="24"/>
          <w:szCs w:val="24"/>
          <w:shd w:val="clear" w:color="auto" w:fill="auto"/>
          <w:lang w:val="cs-CZ" w:eastAsia="cs-CZ" w:bidi="cs-CZ"/>
        </w:rPr>
        <w:t xml:space="preserve">sjednáno profesní pojištění odpovědnosti </w:t>
      </w:r>
      <w:r>
        <w:rPr>
          <w:color w:val="000000"/>
          <w:spacing w:val="0"/>
          <w:w w:val="100"/>
          <w:position w:val="0"/>
          <w:sz w:val="24"/>
          <w:szCs w:val="24"/>
          <w:shd w:val="clear" w:color="auto" w:fill="auto"/>
          <w:lang w:val="cs-CZ" w:eastAsia="cs-CZ" w:bidi="cs-CZ"/>
        </w:rPr>
        <w:t xml:space="preserve">za škodu způsobenou třetím osobám vyplývající z dodávaného předmětu smlouvy </w:t>
      </w:r>
      <w:r>
        <w:rPr>
          <w:b/>
          <w:bCs/>
          <w:color w:val="000000"/>
          <w:spacing w:val="0"/>
          <w:w w:val="100"/>
          <w:position w:val="0"/>
          <w:sz w:val="24"/>
          <w:szCs w:val="24"/>
          <w:shd w:val="clear" w:color="auto" w:fill="auto"/>
          <w:lang w:val="cs-CZ" w:eastAsia="cs-CZ" w:bidi="cs-CZ"/>
        </w:rPr>
        <w:t>s limitem min. 1.000.000,00Kč</w:t>
      </w:r>
      <w:r>
        <w:rPr>
          <w:color w:val="000000"/>
          <w:spacing w:val="0"/>
          <w:w w:val="100"/>
          <w:position w:val="0"/>
          <w:sz w:val="24"/>
          <w:szCs w:val="24"/>
          <w:shd w:val="clear" w:color="auto" w:fill="auto"/>
          <w:lang w:val="cs-CZ" w:eastAsia="cs-CZ" w:bidi="cs-CZ"/>
        </w:rPr>
        <w:t>.</w:t>
      </w:r>
    </w:p>
    <w:p>
      <w:pPr>
        <w:pStyle w:val="Style7"/>
        <w:keepNext w:val="0"/>
        <w:keepLines w:val="0"/>
        <w:widowControl w:val="0"/>
        <w:numPr>
          <w:ilvl w:val="0"/>
          <w:numId w:val="15"/>
        </w:numPr>
        <w:shd w:val="clear" w:color="auto" w:fill="auto"/>
        <w:tabs>
          <w:tab w:pos="566" w:val="left"/>
        </w:tabs>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Odpovědnost za škodu se řídí příslušnými ustanoveními občanského zákoníku, nestanoví-li smlouva jinak.</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cs-CZ" w:eastAsia="cs-CZ" w:bidi="cs-CZ"/>
        </w:rPr>
        <w:t>Článek 10</w:t>
      </w:r>
    </w:p>
    <w:p>
      <w:pPr>
        <w:pStyle w:val="Style20"/>
        <w:keepNext/>
        <w:keepLines/>
        <w:widowControl w:val="0"/>
        <w:shd w:val="clear" w:color="auto" w:fill="auto"/>
        <w:bidi w:val="0"/>
        <w:spacing w:before="0" w:after="100" w:line="240" w:lineRule="auto"/>
        <w:ind w:left="0" w:right="0" w:firstLine="0"/>
        <w:jc w:val="center"/>
      </w:pPr>
      <w:bookmarkStart w:id="34" w:name="bookmark34"/>
      <w:bookmarkStart w:id="35" w:name="bookmark35"/>
      <w:r>
        <w:rPr>
          <w:color w:val="000000"/>
          <w:spacing w:val="0"/>
          <w:w w:val="100"/>
          <w:position w:val="0"/>
          <w:sz w:val="24"/>
          <w:szCs w:val="24"/>
          <w:shd w:val="clear" w:color="auto" w:fill="auto"/>
          <w:lang w:val="cs-CZ" w:eastAsia="cs-CZ" w:bidi="cs-CZ"/>
        </w:rPr>
        <w:t>Ostatní ujednání, závěrečná ustanovení</w:t>
      </w:r>
      <w:bookmarkEnd w:id="34"/>
      <w:bookmarkEnd w:id="35"/>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Tato smlouva je uzavřena na dobu určitou ode dne jejího podpisu do dne ukončení předmětu plnění.</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 xml:space="preserve">Tato Smlouva je vyhotovena v </w:t>
      </w:r>
      <w:r>
        <w:rPr>
          <w:b/>
          <w:bCs/>
          <w:color w:val="000000"/>
          <w:spacing w:val="0"/>
          <w:w w:val="100"/>
          <w:position w:val="0"/>
          <w:sz w:val="24"/>
          <w:szCs w:val="24"/>
          <w:shd w:val="clear" w:color="auto" w:fill="auto"/>
          <w:lang w:val="cs-CZ" w:eastAsia="cs-CZ" w:bidi="cs-CZ"/>
        </w:rPr>
        <w:t>elektronické podobě</w:t>
      </w:r>
      <w:r>
        <w:rPr>
          <w:color w:val="000000"/>
          <w:spacing w:val="0"/>
          <w:w w:val="100"/>
          <w:position w:val="0"/>
          <w:sz w:val="24"/>
          <w:szCs w:val="24"/>
          <w:shd w:val="clear" w:color="auto" w:fill="auto"/>
          <w:lang w:val="cs-CZ" w:eastAsia="cs-CZ" w:bidi="cs-CZ"/>
        </w:rPr>
        <w:t>, přičemž obě smluvní strany obdrží její elektronický originál.</w:t>
      </w:r>
    </w:p>
    <w:p>
      <w:pPr>
        <w:pStyle w:val="Style7"/>
        <w:keepNext w:val="0"/>
        <w:keepLines w:val="0"/>
        <w:widowControl w:val="0"/>
        <w:numPr>
          <w:ilvl w:val="0"/>
          <w:numId w:val="17"/>
        </w:numPr>
        <w:shd w:val="clear" w:color="auto" w:fill="auto"/>
        <w:tabs>
          <w:tab w:pos="620"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r>
        <w:br w:type="page"/>
      </w:r>
    </w:p>
    <w:p>
      <w:pPr>
        <w:pStyle w:val="Style7"/>
        <w:keepNext w:val="0"/>
        <w:keepLines w:val="0"/>
        <w:widowControl w:val="0"/>
        <w:numPr>
          <w:ilvl w:val="0"/>
          <w:numId w:val="17"/>
        </w:numPr>
        <w:shd w:val="clear" w:color="auto" w:fill="auto"/>
        <w:tabs>
          <w:tab w:pos="74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Smlouvu bude dle vůle smluvních stran v souladu s příslušnými právními předpisy, zejména ve lhůtách stanovených příslušnými právními předpisy, zveřejňovat Objednatel.</w:t>
      </w:r>
    </w:p>
    <w:p>
      <w:pPr>
        <w:pStyle w:val="Style7"/>
        <w:keepNext w:val="0"/>
        <w:keepLines w:val="0"/>
        <w:widowControl w:val="0"/>
        <w:numPr>
          <w:ilvl w:val="0"/>
          <w:numId w:val="17"/>
        </w:numPr>
        <w:shd w:val="clear" w:color="auto" w:fill="auto"/>
        <w:tabs>
          <w:tab w:pos="75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7"/>
        <w:keepNext w:val="0"/>
        <w:keepLines w:val="0"/>
        <w:widowControl w:val="0"/>
        <w:numPr>
          <w:ilvl w:val="0"/>
          <w:numId w:val="17"/>
        </w:numPr>
        <w:shd w:val="clear" w:color="auto" w:fill="auto"/>
        <w:tabs>
          <w:tab w:pos="74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Smlouva </w:t>
      </w:r>
      <w:r>
        <w:rPr>
          <w:b/>
          <w:bCs/>
          <w:color w:val="000000"/>
          <w:spacing w:val="0"/>
          <w:w w:val="100"/>
          <w:position w:val="0"/>
          <w:sz w:val="24"/>
          <w:szCs w:val="24"/>
          <w:u w:val="single"/>
          <w:shd w:val="clear" w:color="auto" w:fill="auto"/>
          <w:lang w:val="cs-CZ" w:eastAsia="cs-CZ" w:bidi="cs-CZ"/>
        </w:rPr>
        <w:t>nabývá účinnosti</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odeslání písemné výzvy objednatele k zahájení činnosti TDS.</w:t>
      </w:r>
    </w:p>
    <w:p>
      <w:pPr>
        <w:pStyle w:val="Style7"/>
        <w:keepNext w:val="0"/>
        <w:keepLines w:val="0"/>
        <w:widowControl w:val="0"/>
        <w:numPr>
          <w:ilvl w:val="0"/>
          <w:numId w:val="17"/>
        </w:numPr>
        <w:shd w:val="clear" w:color="auto" w:fill="auto"/>
        <w:tabs>
          <w:tab w:pos="750"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7"/>
        <w:keepNext w:val="0"/>
        <w:keepLines w:val="0"/>
        <w:widowControl w:val="0"/>
        <w:numPr>
          <w:ilvl w:val="0"/>
          <w:numId w:val="17"/>
        </w:numPr>
        <w:shd w:val="clear" w:color="auto" w:fill="auto"/>
        <w:tabs>
          <w:tab w:pos="759"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Pokud Objednatel neodešle TDS písemnou výzvu k zahájení činnosti </w:t>
      </w:r>
      <w:r>
        <w:rPr>
          <w:b/>
          <w:bCs/>
          <w:color w:val="000000"/>
          <w:spacing w:val="0"/>
          <w:w w:val="100"/>
          <w:position w:val="0"/>
          <w:sz w:val="24"/>
          <w:szCs w:val="24"/>
          <w:shd w:val="clear" w:color="auto" w:fill="auto"/>
          <w:lang w:val="cs-CZ" w:eastAsia="cs-CZ" w:bidi="cs-CZ"/>
        </w:rPr>
        <w:t xml:space="preserve">ani do 30.4.2023, nenabude Smlouva účinnosti a bez dalšího tímto dnem pozbude i své platnosti. </w:t>
      </w:r>
      <w:r>
        <w:rPr>
          <w:color w:val="000000"/>
          <w:spacing w:val="0"/>
          <w:w w:val="100"/>
          <w:position w:val="0"/>
          <w:sz w:val="24"/>
          <w:szCs w:val="24"/>
          <w:shd w:val="clear" w:color="auto" w:fill="auto"/>
          <w:lang w:val="cs-CZ" w:eastAsia="cs-CZ" w:bidi="cs-CZ"/>
        </w:rPr>
        <w:t>V takovém případě nevzniká TDS nárok na náhradu škody nebo ušlého zisku a s tímto vědomím TDS Smlouvu podepisuje.</w:t>
      </w:r>
    </w:p>
    <w:p>
      <w:pPr>
        <w:pStyle w:val="Style7"/>
        <w:keepNext w:val="0"/>
        <w:keepLines w:val="0"/>
        <w:widowControl w:val="0"/>
        <w:numPr>
          <w:ilvl w:val="0"/>
          <w:numId w:val="17"/>
        </w:numPr>
        <w:shd w:val="clear" w:color="auto" w:fill="auto"/>
        <w:tabs>
          <w:tab w:pos="750"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Smluvní strany prohlašují, že si smlouvu před podpisem přečetly, s jejím obsahem souhlasí a na důkaz svobodné a vážné vůle připojují své podpisy.</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Přílohy:</w:t>
      </w:r>
    </w:p>
    <w:p>
      <w:pPr>
        <w:pStyle w:val="Style7"/>
        <w:keepNext w:val="0"/>
        <w:keepLines w:val="0"/>
        <w:widowControl w:val="0"/>
        <w:shd w:val="clear" w:color="auto" w:fill="auto"/>
        <w:bidi w:val="0"/>
        <w:spacing w:before="0" w:after="380" w:line="223" w:lineRule="auto"/>
        <w:ind w:left="0" w:right="0" w:firstLine="0"/>
        <w:jc w:val="both"/>
      </w:pPr>
      <w:r>
        <w:rPr>
          <w:rFonts w:ascii="Courier New" w:eastAsia="Courier New" w:hAnsi="Courier New" w:cs="Courier New"/>
          <w:color w:val="000000"/>
          <w:spacing w:val="0"/>
          <w:w w:val="100"/>
          <w:position w:val="0"/>
          <w:sz w:val="24"/>
          <w:szCs w:val="24"/>
          <w:shd w:val="clear" w:color="auto" w:fill="auto"/>
          <w:lang w:val="cs-CZ" w:eastAsia="cs-CZ" w:bidi="cs-CZ"/>
        </w:rPr>
        <w:t xml:space="preserve">o </w:t>
      </w:r>
      <w:r>
        <w:rPr>
          <w:b/>
          <w:bCs/>
          <w:color w:val="000000"/>
          <w:spacing w:val="0"/>
          <w:w w:val="100"/>
          <w:position w:val="0"/>
          <w:sz w:val="24"/>
          <w:szCs w:val="24"/>
          <w:shd w:val="clear" w:color="auto" w:fill="auto"/>
          <w:lang w:val="cs-CZ" w:eastAsia="cs-CZ" w:bidi="cs-CZ"/>
        </w:rPr>
        <w:t>Příloha č. 1 - Kalkulace odměny TDS</w:t>
      </w:r>
    </w:p>
    <w:p>
      <w:pPr>
        <w:pStyle w:val="Style7"/>
        <w:keepNext w:val="0"/>
        <w:keepLines w:val="0"/>
        <w:widowControl w:val="0"/>
        <w:shd w:val="clear" w:color="auto" w:fill="auto"/>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7"/>
        <w:keepNext w:val="0"/>
        <w:keepLines w:val="0"/>
        <w:widowControl w:val="0"/>
        <w:shd w:val="clear" w:color="auto" w:fill="auto"/>
        <w:tabs>
          <w:tab w:pos="4891" w:val="left"/>
        </w:tabs>
        <w:bidi w:val="0"/>
        <w:spacing w:before="0" w:after="500" w:line="240" w:lineRule="auto"/>
        <w:ind w:left="0" w:right="0" w:firstLine="0"/>
        <w:jc w:val="both"/>
      </w:pPr>
      <w:r>
        <w:rPr>
          <w:color w:val="000000"/>
          <w:spacing w:val="0"/>
          <w:w w:val="100"/>
          <w:position w:val="0"/>
          <w:sz w:val="24"/>
          <w:szCs w:val="24"/>
          <w:shd w:val="clear" w:color="auto" w:fill="auto"/>
          <w:lang w:val="cs-CZ" w:eastAsia="cs-CZ" w:bidi="cs-CZ"/>
        </w:rPr>
        <w:t>TDS:</w:t>
        <w:tab/>
        <w:t>Objednatel:</w:t>
      </w:r>
    </w:p>
    <w:p>
      <w:pPr>
        <w:pStyle w:val="Style7"/>
        <w:keepNext w:val="0"/>
        <w:keepLines w:val="0"/>
        <w:widowControl w:val="0"/>
        <w:shd w:val="clear" w:color="auto" w:fill="auto"/>
        <w:tabs>
          <w:tab w:pos="4891" w:val="left"/>
          <w:tab w:leader="dot" w:pos="8083" w:val="left"/>
        </w:tabs>
        <w:bidi w:val="0"/>
        <w:spacing w:before="0" w:after="1700" w:line="240" w:lineRule="auto"/>
        <w:ind w:left="0" w:right="0" w:firstLine="0"/>
        <w:jc w:val="both"/>
      </w:pPr>
      <w:r>
        <mc:AlternateContent>
          <mc:Choice Requires="wps">
            <w:drawing>
              <wp:anchor distT="0" distB="0" distL="114300" distR="114300" simplePos="0" relativeHeight="125829382" behindDoc="0" locked="0" layoutInCell="1" allowOverlap="1">
                <wp:simplePos x="0" y="0"/>
                <wp:positionH relativeFrom="page">
                  <wp:posOffset>1489075</wp:posOffset>
                </wp:positionH>
                <wp:positionV relativeFrom="paragraph">
                  <wp:posOffset>1257300</wp:posOffset>
                </wp:positionV>
                <wp:extent cx="1673225" cy="204470"/>
                <wp:wrapSquare wrapText="right"/>
                <wp:docPr id="7" name="Shape 7"/>
                <a:graphic xmlns:a="http://schemas.openxmlformats.org/drawingml/2006/main">
                  <a:graphicData uri="http://schemas.microsoft.com/office/word/2010/wordprocessingShape">
                    <wps:wsp>
                      <wps:cNvSpPr txBox="1"/>
                      <wps:spPr>
                        <a:xfrm>
                          <a:ext cx="1673225" cy="20447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Chalupa Eduard - jednatel</w:t>
                            </w:r>
                          </w:p>
                        </w:txbxContent>
                      </wps:txbx>
                      <wps:bodyPr wrap="none" lIns="0" tIns="0" rIns="0" bIns="0">
                        <a:noAutoFit/>
                      </wps:bodyPr>
                    </wps:wsp>
                  </a:graphicData>
                </a:graphic>
              </wp:anchor>
            </w:drawing>
          </mc:Choice>
          <mc:Fallback>
            <w:pict>
              <v:shape id="_x0000_s1033" type="#_x0000_t202" style="position:absolute;margin-left:117.25pt;margin-top:99.pt;width:131.75pt;height:16.100000000000001pt;z-index:-125829371;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Chalupa Eduard - jednatel</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V Táboře .dne: 15.3.2022</w:t>
        <w:tab/>
        <w:t xml:space="preserve">V Jihlavě dne: </w:t>
        <w:tab/>
      </w:r>
    </w:p>
    <w:p>
      <w:pPr>
        <w:pStyle w:val="Style7"/>
        <w:keepNext w:val="0"/>
        <w:keepLines w:val="0"/>
        <w:widowControl w:val="0"/>
        <w:shd w:val="clear" w:color="auto" w:fill="auto"/>
        <w:bidi w:val="0"/>
        <w:spacing w:before="0" w:after="240" w:line="240" w:lineRule="auto"/>
        <w:ind w:left="0" w:right="0" w:firstLine="0"/>
        <w:jc w:val="center"/>
        <w:sectPr>
          <w:footerReference w:type="default" r:id="rId5"/>
          <w:footnotePr>
            <w:pos w:val="pageBottom"/>
            <w:numFmt w:val="decimal"/>
            <w:numRestart w:val="continuous"/>
          </w:footnotePr>
          <w:pgSz w:w="12240" w:h="15840"/>
          <w:pgMar w:top="1118" w:left="1145" w:right="995" w:bottom="1192" w:header="690"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Ing. Radovan Necid</w:t>
        <w:br/>
        <w:t>ředitel organizace</w:t>
      </w:r>
    </w:p>
    <w:tbl>
      <w:tblPr>
        <w:tblOverlap w:val="never"/>
        <w:jc w:val="center"/>
        <w:tblLayout w:type="fixed"/>
      </w:tblPr>
      <w:tblGrid>
        <w:gridCol w:w="552"/>
        <w:gridCol w:w="5832"/>
        <w:gridCol w:w="1512"/>
        <w:gridCol w:w="1637"/>
      </w:tblGrid>
      <w:tr>
        <w:trPr>
          <w:trHeight w:val="499"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Příloha č. 1 Kalkulace odměny TDS</w:t>
            </w:r>
          </w:p>
        </w:tc>
      </w:tr>
      <w:tr>
        <w:trPr>
          <w:trHeight w:val="557"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30"/>
                <w:szCs w:val="30"/>
              </w:rPr>
            </w:pPr>
            <w:r>
              <w:rPr>
                <w:b/>
                <w:bCs/>
                <w:color w:val="000000"/>
                <w:spacing w:val="0"/>
                <w:w w:val="100"/>
                <w:position w:val="0"/>
                <w:sz w:val="30"/>
                <w:szCs w:val="30"/>
                <w:shd w:val="clear" w:color="auto" w:fill="auto"/>
                <w:lang w:val="cs-CZ" w:eastAsia="cs-CZ" w:bidi="cs-CZ"/>
              </w:rPr>
              <w:t>Kalkulace odměny TDS</w:t>
            </w:r>
          </w:p>
        </w:tc>
      </w:tr>
      <w:tr>
        <w:trPr>
          <w:trHeight w:val="384"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 akce: "III/41015 Bahnův mlýn - propustek ev. č. 41015-7P"</w:t>
            </w:r>
          </w:p>
        </w:tc>
      </w:tr>
      <w:tr>
        <w:trPr>
          <w:trHeight w:val="72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b/>
                <w:bCs/>
                <w:color w:val="000000"/>
                <w:spacing w:val="0"/>
                <w:w w:val="100"/>
                <w:position w:val="0"/>
                <w:sz w:val="18"/>
                <w:szCs w:val="18"/>
                <w:shd w:val="clear" w:color="auto" w:fill="auto"/>
                <w:lang w:val="cs-CZ" w:eastAsia="cs-CZ" w:bidi="cs-CZ"/>
              </w:rPr>
              <w:t>Č.</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cs-CZ" w:eastAsia="cs-CZ" w:bidi="cs-CZ"/>
              </w:rPr>
              <w:t>Cena v Kč bez DPH</w:t>
            </w:r>
          </w:p>
        </w:tc>
      </w:tr>
      <w:tr>
        <w:trPr>
          <w:trHeight w:val="480" w:hRule="exact"/>
        </w:trPr>
        <w:tc>
          <w:tcPr>
            <w:gridSpan w:val="2"/>
            <w:tcBorders>
              <w:top w:val="single" w:sz="4"/>
              <w:left w:val="single" w:sz="4"/>
            </w:tcBorders>
            <w:shd w:val="clear" w:color="auto" w:fill="D8E4BD"/>
            <w:vAlign w:val="bottom"/>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 Výkon TDS - práce před zahájením a po dokončení stavby</w:t>
            </w:r>
          </w:p>
        </w:tc>
        <w:tc>
          <w:tcPr>
            <w:gridSpan w:val="2"/>
            <w:tcBorders>
              <w:top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00"/>
              <w:jc w:val="left"/>
              <w:rPr>
                <w:sz w:val="18"/>
                <w:szCs w:val="18"/>
              </w:rPr>
            </w:pPr>
            <w:r>
              <w:rPr>
                <w:b/>
                <w:bCs/>
                <w:color w:val="000000"/>
                <w:spacing w:val="0"/>
                <w:w w:val="100"/>
                <w:position w:val="0"/>
                <w:sz w:val="18"/>
                <w:szCs w:val="18"/>
                <w:shd w:val="clear" w:color="auto" w:fill="auto"/>
                <w:lang w:val="cs-CZ" w:eastAsia="cs-CZ" w:bidi="cs-CZ"/>
              </w:rPr>
              <w:t>x cena celkem za 10h</w:t>
            </w:r>
          </w:p>
        </w:tc>
      </w:tr>
      <w:tr>
        <w:trPr>
          <w:trHeight w:val="75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před zahájením stavby</w:t>
            </w:r>
          </w:p>
          <w:p>
            <w:pPr>
              <w:pStyle w:val="Style2"/>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se zahájením stavby, dle specifikace ve smlouvě pro výkon TDS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18 000,00 Kč</w:t>
            </w:r>
          </w:p>
        </w:tc>
      </w:tr>
      <w:tr>
        <w:trPr>
          <w:trHeight w:val="78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Cena za práci po dokončení stavby</w:t>
            </w:r>
          </w:p>
          <w:p>
            <w:pPr>
              <w:pStyle w:val="Style2"/>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dokončením stavby, dle specifikace ve smlouvě pro výkon TDS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22 000,00 Kč</w:t>
            </w:r>
          </w:p>
        </w:tc>
      </w:tr>
      <w:tr>
        <w:trPr>
          <w:trHeight w:val="283" w:hRule="exact"/>
        </w:trPr>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A. Cena za výkon TDS před zahájením a po dokončení stavby celkem</w:t>
            </w:r>
          </w:p>
        </w:tc>
        <w:tc>
          <w:tcPr>
            <w:tcBorders>
              <w:top w:val="single" w:sz="4"/>
              <w:left w:val="single" w:sz="4"/>
            </w:tcBorders>
            <w:shd w:val="clear" w:color="auto" w:fill="D8E4BD"/>
            <w:vAlign w:val="bottom"/>
          </w:tcPr>
          <w:p>
            <w:pPr>
              <w:pStyle w:val="Style2"/>
              <w:keepNext w:val="0"/>
              <w:keepLines w:val="0"/>
              <w:widowControl w:val="0"/>
              <w:shd w:val="clear" w:color="auto" w:fill="auto"/>
              <w:bidi w:val="0"/>
              <w:spacing w:before="0" w:after="0" w:line="240" w:lineRule="auto"/>
              <w:ind w:left="0" w:right="0" w:firstLine="400"/>
              <w:jc w:val="left"/>
              <w:rPr>
                <w:sz w:val="18"/>
                <w:szCs w:val="18"/>
              </w:rPr>
            </w:pPr>
            <w:r>
              <w:rPr>
                <w:b/>
                <w:bCs/>
                <w:color w:val="000000"/>
                <w:spacing w:val="0"/>
                <w:w w:val="100"/>
                <w:position w:val="0"/>
                <w:sz w:val="18"/>
                <w:szCs w:val="18"/>
                <w:shd w:val="clear" w:color="auto" w:fill="auto"/>
                <w:lang w:val="cs-CZ" w:eastAsia="cs-CZ" w:bidi="cs-CZ"/>
              </w:rPr>
              <w:t>#HODNOTA!</w:t>
            </w:r>
          </w:p>
        </w:tc>
        <w:tc>
          <w:tcPr>
            <w:tcBorders>
              <w:top w:val="single" w:sz="4"/>
              <w:left w:val="single" w:sz="4"/>
              <w:right w:val="single" w:sz="4"/>
            </w:tcBorders>
            <w:shd w:val="clear" w:color="auto" w:fill="D8E4BD"/>
            <w:vAlign w:val="bottom"/>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40 000,00 Kč</w:t>
            </w:r>
          </w:p>
        </w:tc>
      </w:tr>
      <w:tr>
        <w:trPr>
          <w:trHeight w:val="792" w:hRule="exact"/>
        </w:trPr>
        <w:tc>
          <w:tcPr>
            <w:gridSpan w:val="2"/>
            <w:tcBorders>
              <w:top w:val="single" w:sz="4"/>
              <w:left w:val="single" w:sz="4"/>
            </w:tcBorders>
            <w:shd w:val="clear" w:color="auto" w:fill="D8E4BD"/>
            <w:vAlign w:val="bottom"/>
          </w:tcPr>
          <w:p>
            <w:pPr>
              <w:pStyle w:val="Style2"/>
              <w:keepNext w:val="0"/>
              <w:keepLines w:val="0"/>
              <w:widowControl w:val="0"/>
              <w:shd w:val="clear" w:color="auto" w:fill="auto"/>
              <w:bidi w:val="0"/>
              <w:spacing w:before="0" w:after="0" w:line="266"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 Výkon TDS - práce spojené s prováděním stavby</w:t>
            </w:r>
          </w:p>
          <w:p>
            <w:pPr>
              <w:pStyle w:val="Style2"/>
              <w:keepNext w:val="0"/>
              <w:keepLines w:val="0"/>
              <w:widowControl w:val="0"/>
              <w:shd w:val="clear" w:color="auto" w:fill="auto"/>
              <w:bidi w:val="0"/>
              <w:spacing w:before="0" w:after="0" w:line="266"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Účastník uvede nabídkovou cenu TDS za práce spojené s prováděním stavby, dle specifikace ve smlouvě pro výkon TDS</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190"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 xml:space="preserve">c e l k em za 10 hodin </w:t>
            </w:r>
            <w:r>
              <w:rPr>
                <w:b/>
                <w:bCs/>
                <w:i/>
                <w:iCs/>
                <w:color w:val="000000"/>
                <w:spacing w:val="0"/>
                <w:w w:val="100"/>
                <w:position w:val="0"/>
                <w:sz w:val="18"/>
                <w:szCs w:val="18"/>
                <w:shd w:val="clear" w:color="auto" w:fill="auto"/>
                <w:vertAlign w:val="subscript"/>
                <w:lang w:val="cs-CZ" w:eastAsia="cs-CZ" w:bidi="cs-CZ"/>
              </w:rPr>
              <w:t>*</w:t>
            </w:r>
          </w:p>
        </w:tc>
      </w:tr>
      <w:tr>
        <w:trPr>
          <w:trHeight w:val="88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3.</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v kanceláři</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předpokládané </w:t>
            </w:r>
            <w:r>
              <w:rPr>
                <w:b/>
                <w:bCs/>
                <w:color w:val="000000"/>
                <w:spacing w:val="0"/>
                <w:w w:val="100"/>
                <w:position w:val="0"/>
                <w:sz w:val="18"/>
                <w:szCs w:val="18"/>
                <w:shd w:val="clear" w:color="auto" w:fill="auto"/>
                <w:lang w:val="cs-CZ" w:eastAsia="cs-CZ" w:bidi="cs-CZ"/>
              </w:rPr>
              <w:t>náklady bez nároku na cestové</w:t>
            </w:r>
          </w:p>
          <w:p>
            <w:pPr>
              <w:pStyle w:val="Style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v předpokládaném rozsahu </w:t>
            </w:r>
            <w:r>
              <w:rPr>
                <w:b/>
                <w:bCs/>
                <w:color w:val="000000"/>
                <w:spacing w:val="0"/>
                <w:w w:val="100"/>
                <w:position w:val="0"/>
                <w:sz w:val="18"/>
                <w:szCs w:val="18"/>
                <w:shd w:val="clear" w:color="auto" w:fill="auto"/>
                <w:lang w:val="cs-CZ" w:eastAsia="cs-CZ" w:bidi="cs-CZ"/>
              </w:rPr>
              <w:t>10 hodin</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00"/>
              <w:jc w:val="both"/>
              <w:rPr>
                <w:sz w:val="18"/>
                <w:szCs w:val="18"/>
              </w:rPr>
            </w:pPr>
            <w:r>
              <w:rPr>
                <w:b/>
                <w:bCs/>
                <w:color w:val="000000"/>
                <w:spacing w:val="0"/>
                <w:w w:val="100"/>
                <w:position w:val="0"/>
                <w:sz w:val="18"/>
                <w:szCs w:val="18"/>
                <w:shd w:val="clear" w:color="auto" w:fill="auto"/>
                <w:lang w:val="cs-CZ" w:eastAsia="cs-CZ" w:bidi="cs-CZ"/>
              </w:rPr>
              <w:t>5 8 0 , 0 0 K 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5 8 0 0 , 0 0 Kč</w:t>
            </w:r>
          </w:p>
        </w:tc>
      </w:tr>
      <w:tr>
        <w:trPr>
          <w:trHeight w:val="566"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180"/>
              <w:jc w:val="both"/>
              <w:rPr>
                <w:sz w:val="18"/>
                <w:szCs w:val="18"/>
              </w:rPr>
            </w:pPr>
            <w:r>
              <w:rPr>
                <w:color w:val="000000"/>
                <w:spacing w:val="0"/>
                <w:w w:val="100"/>
                <w:position w:val="0"/>
                <w:sz w:val="18"/>
                <w:szCs w:val="18"/>
                <w:shd w:val="clear" w:color="auto" w:fill="auto"/>
                <w:lang w:val="cs-CZ" w:eastAsia="cs-CZ" w:bidi="cs-CZ"/>
              </w:rPr>
              <w:t>4.</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Práce spojené s výkonem TDS na staveništi</w:t>
            </w:r>
          </w:p>
          <w:p>
            <w:pPr>
              <w:pStyle w:val="Style2"/>
              <w:keepNext w:val="0"/>
              <w:keepLines w:val="0"/>
              <w:widowControl w:val="0"/>
              <w:shd w:val="clear" w:color="auto" w:fill="auto"/>
              <w:bidi w:val="0"/>
              <w:spacing w:before="0" w:after="0" w:line="262"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8"/>
                <w:szCs w:val="18"/>
                <w:shd w:val="clear" w:color="auto" w:fill="auto"/>
                <w:lang w:val="cs-CZ" w:eastAsia="cs-CZ" w:bidi="cs-CZ"/>
              </w:rPr>
              <w:t xml:space="preserve">předpokládané náklady </w:t>
            </w:r>
            <w:r>
              <w:rPr>
                <w:b/>
                <w:bCs/>
                <w:color w:val="000000"/>
                <w:spacing w:val="0"/>
                <w:w w:val="100"/>
                <w:position w:val="0"/>
                <w:sz w:val="18"/>
                <w:szCs w:val="18"/>
                <w:shd w:val="clear" w:color="auto" w:fill="auto"/>
                <w:lang w:val="cs-CZ" w:eastAsia="cs-CZ" w:bidi="cs-CZ"/>
              </w:rPr>
              <w:t>včetně cestovného</w:t>
            </w:r>
          </w:p>
          <w:p>
            <w:pPr>
              <w:pStyle w:val="Style2"/>
              <w:keepNext w:val="0"/>
              <w:keepLines w:val="0"/>
              <w:widowControl w:val="0"/>
              <w:shd w:val="clear" w:color="auto" w:fill="auto"/>
              <w:bidi w:val="0"/>
              <w:spacing w:before="0" w:after="0" w:line="262"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 v předpokládaném rozsahu </w:t>
            </w:r>
            <w:r>
              <w:rPr>
                <w:b/>
                <w:bCs/>
                <w:color w:val="000000"/>
                <w:spacing w:val="0"/>
                <w:w w:val="100"/>
                <w:position w:val="0"/>
                <w:sz w:val="18"/>
                <w:szCs w:val="18"/>
                <w:shd w:val="clear" w:color="auto" w:fill="auto"/>
                <w:lang w:val="cs-CZ" w:eastAsia="cs-CZ" w:bidi="cs-CZ"/>
              </w:rPr>
              <w:t>2 návštěvy/týden á 2 hodiny, celkem 16 týdnů</w:t>
            </w:r>
          </w:p>
          <w:p>
            <w:pPr>
              <w:pStyle w:val="Style2"/>
              <w:keepNext w:val="0"/>
              <w:keepLines w:val="0"/>
              <w:widowControl w:val="0"/>
              <w:shd w:val="clear" w:color="auto" w:fill="auto"/>
              <w:bidi w:val="0"/>
              <w:spacing w:before="0" w:after="0" w:line="262" w:lineRule="auto"/>
              <w:ind w:left="0" w:right="0" w:firstLine="0"/>
              <w:jc w:val="left"/>
              <w:rPr>
                <w:sz w:val="18"/>
                <w:szCs w:val="18"/>
              </w:rPr>
            </w:pPr>
            <w:r>
              <w:rPr>
                <w:i/>
                <w:iCs/>
                <w:color w:val="000000"/>
                <w:spacing w:val="0"/>
                <w:w w:val="100"/>
                <w:position w:val="0"/>
                <w:sz w:val="18"/>
                <w:szCs w:val="18"/>
                <w:shd w:val="clear" w:color="auto" w:fill="auto"/>
                <w:lang w:val="cs-CZ" w:eastAsia="cs-CZ" w:bidi="cs-CZ"/>
              </w:rPr>
              <w:t xml:space="preserve">(vzorec pro výpočet hodin : </w:t>
            </w:r>
            <w:r>
              <w:rPr>
                <w:b/>
                <w:bCs/>
                <w:i/>
                <w:iCs/>
                <w:color w:val="000000"/>
                <w:spacing w:val="0"/>
                <w:w w:val="100"/>
                <w:position w:val="0"/>
                <w:sz w:val="18"/>
                <w:szCs w:val="18"/>
                <w:shd w:val="clear" w:color="auto" w:fill="auto"/>
                <w:lang w:val="cs-CZ" w:eastAsia="cs-CZ" w:bidi="cs-CZ"/>
              </w:rPr>
              <w:t xml:space="preserve">2 </w:t>
            </w:r>
            <w:r>
              <w:rPr>
                <w:i/>
                <w:iCs/>
                <w:color w:val="000000"/>
                <w:spacing w:val="0"/>
                <w:w w:val="100"/>
                <w:position w:val="0"/>
                <w:sz w:val="18"/>
                <w:szCs w:val="18"/>
                <w:shd w:val="clear" w:color="auto" w:fill="auto"/>
                <w:lang w:val="cs-CZ" w:eastAsia="cs-CZ" w:bidi="cs-CZ"/>
              </w:rPr>
              <w:t xml:space="preserve">návštěvy x 2 hod. výkonu TDS x </w:t>
            </w:r>
            <w:r>
              <w:rPr>
                <w:b/>
                <w:bCs/>
                <w:i/>
                <w:iCs/>
                <w:color w:val="000000"/>
                <w:spacing w:val="0"/>
                <w:w w:val="100"/>
                <w:position w:val="0"/>
                <w:sz w:val="18"/>
                <w:szCs w:val="18"/>
                <w:shd w:val="clear" w:color="auto" w:fill="auto"/>
                <w:lang w:val="cs-CZ" w:eastAsia="cs-CZ" w:bidi="cs-CZ"/>
              </w:rPr>
              <w:t xml:space="preserve">16 </w:t>
            </w:r>
            <w:r>
              <w:rPr>
                <w:i/>
                <w:iCs/>
                <w:color w:val="000000"/>
                <w:spacing w:val="0"/>
                <w:w w:val="100"/>
                <w:position w:val="0"/>
                <w:sz w:val="18"/>
                <w:szCs w:val="18"/>
                <w:shd w:val="clear" w:color="auto" w:fill="auto"/>
                <w:lang w:val="cs-CZ" w:eastAsia="cs-CZ" w:bidi="cs-CZ"/>
              </w:rPr>
              <w:t>týdnů = 64 hodin výkonu TDS celkem)</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00"/>
              <w:jc w:val="both"/>
              <w:rPr>
                <w:sz w:val="18"/>
                <w:szCs w:val="18"/>
              </w:rPr>
            </w:pPr>
            <w:r>
              <w:rPr>
                <w:b/>
                <w:bCs/>
                <w:color w:val="000000"/>
                <w:spacing w:val="0"/>
                <w:w w:val="100"/>
                <w:position w:val="0"/>
                <w:sz w:val="18"/>
                <w:szCs w:val="18"/>
                <w:shd w:val="clear" w:color="auto" w:fill="auto"/>
                <w:lang w:val="cs-CZ" w:eastAsia="cs-CZ" w:bidi="cs-CZ"/>
              </w:rPr>
              <w:t>720, 0 0 K 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62" w:lineRule="auto"/>
              <w:ind w:left="0" w:right="0" w:firstLine="0"/>
              <w:jc w:val="center"/>
              <w:rPr>
                <w:sz w:val="18"/>
                <w:szCs w:val="18"/>
              </w:rPr>
            </w:pPr>
            <w:r>
              <w:rPr>
                <w:b/>
                <w:bCs/>
                <w:i/>
                <w:iCs/>
                <w:color w:val="000000"/>
                <w:spacing w:val="0"/>
                <w:w w:val="100"/>
                <w:position w:val="0"/>
                <w:sz w:val="18"/>
                <w:szCs w:val="18"/>
                <w:shd w:val="clear" w:color="auto" w:fill="auto"/>
                <w:lang w:val="cs-CZ" w:eastAsia="cs-CZ" w:bidi="cs-CZ"/>
              </w:rPr>
              <w:t>c e l k e m z a 6 4 h o d i n *</w:t>
            </w:r>
          </w:p>
        </w:tc>
      </w:tr>
      <w:tr>
        <w:trPr>
          <w:trHeight w:val="917"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color w:val="000000"/>
                <w:spacing w:val="0"/>
                <w:w w:val="100"/>
                <w:position w:val="0"/>
                <w:sz w:val="18"/>
                <w:szCs w:val="18"/>
                <w:shd w:val="clear" w:color="auto" w:fill="auto"/>
                <w:lang w:val="cs-CZ" w:eastAsia="cs-CZ" w:bidi="cs-CZ"/>
              </w:rPr>
              <w:t>4 6 0 8 0 , 0 0 K č</w:t>
            </w:r>
          </w:p>
        </w:tc>
      </w:tr>
      <w:tr>
        <w:trPr>
          <w:trHeight w:val="518"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B. Cena za výkon TDS při provádění stavby celkem</w:t>
            </w:r>
          </w:p>
        </w:tc>
        <w:tc>
          <w:tcPr>
            <w:tcBorders>
              <w:top w:val="single" w:sz="4"/>
              <w:left w:val="single" w:sz="4"/>
            </w:tcBorders>
            <w:shd w:val="clear" w:color="auto" w:fill="D8E4BD"/>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1 300,00 Kč</w:t>
            </w:r>
          </w:p>
        </w:tc>
        <w:tc>
          <w:tcPr>
            <w:tcBorders>
              <w:top w:val="single" w:sz="4"/>
              <w:left w:val="single" w:sz="4"/>
              <w:right w:val="single" w:sz="4"/>
            </w:tcBorders>
            <w:shd w:val="clear" w:color="auto" w:fill="D8E4BD"/>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51 880,00 Kč</w:t>
            </w:r>
          </w:p>
        </w:tc>
      </w:tr>
      <w:tr>
        <w:trPr>
          <w:trHeight w:val="523" w:hRule="exact"/>
        </w:trPr>
        <w:tc>
          <w:tcPr>
            <w:gridSpan w:val="2"/>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BEZ DPH (A + B)</w:t>
            </w:r>
          </w:p>
        </w:tc>
        <w:tc>
          <w:tcPr>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b/>
                <w:bCs/>
                <w:color w:val="000000"/>
                <w:spacing w:val="0"/>
                <w:w w:val="100"/>
                <w:position w:val="0"/>
                <w:sz w:val="18"/>
                <w:szCs w:val="18"/>
                <w:shd w:val="clear" w:color="auto" w:fill="auto"/>
                <w:lang w:val="cs-CZ" w:eastAsia="cs-CZ" w:bidi="cs-CZ"/>
              </w:rPr>
              <w:t>#HODNOTA!</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91 880,00 Kč</w:t>
            </w:r>
          </w:p>
        </w:tc>
      </w:tr>
      <w:tr>
        <w:trPr>
          <w:trHeight w:val="485" w:hRule="exact"/>
        </w:trPr>
        <w:tc>
          <w:tcPr>
            <w:gridSpan w:val="2"/>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DPH 21 %</w:t>
            </w:r>
          </w:p>
        </w:tc>
        <w:tc>
          <w:tcPr>
            <w:tcBorders>
              <w:top w:val="single" w:sz="4"/>
              <w:lef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b/>
                <w:bCs/>
                <w:color w:val="000000"/>
                <w:spacing w:val="0"/>
                <w:w w:val="100"/>
                <w:position w:val="0"/>
                <w:sz w:val="18"/>
                <w:szCs w:val="18"/>
                <w:shd w:val="clear" w:color="auto" w:fill="auto"/>
                <w:lang w:val="cs-CZ" w:eastAsia="cs-CZ" w:bidi="cs-CZ"/>
              </w:rPr>
              <w:t>#HODNOTA!</w:t>
            </w:r>
          </w:p>
        </w:tc>
        <w:tc>
          <w:tcPr>
            <w:tcBorders>
              <w:top w:val="single" w:sz="4"/>
              <w:left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80"/>
              <w:jc w:val="both"/>
              <w:rPr>
                <w:sz w:val="18"/>
                <w:szCs w:val="18"/>
              </w:rPr>
            </w:pPr>
            <w:r>
              <w:rPr>
                <w:b/>
                <w:bCs/>
                <w:color w:val="000000"/>
                <w:spacing w:val="0"/>
                <w:w w:val="100"/>
                <w:position w:val="0"/>
                <w:sz w:val="18"/>
                <w:szCs w:val="18"/>
                <w:shd w:val="clear" w:color="auto" w:fill="auto"/>
                <w:lang w:val="cs-CZ" w:eastAsia="cs-CZ" w:bidi="cs-CZ"/>
              </w:rPr>
              <w:t>19 294,80 Kč</w:t>
            </w:r>
          </w:p>
        </w:tc>
      </w:tr>
      <w:tr>
        <w:trPr>
          <w:trHeight w:val="667" w:hRule="exact"/>
        </w:trPr>
        <w:tc>
          <w:tcPr>
            <w:gridSpan w:val="2"/>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560"/>
              <w:jc w:val="left"/>
              <w:rPr>
                <w:sz w:val="18"/>
                <w:szCs w:val="18"/>
              </w:rPr>
            </w:pPr>
            <w:r>
              <w:rPr>
                <w:b/>
                <w:bCs/>
                <w:color w:val="000000"/>
                <w:spacing w:val="0"/>
                <w:w w:val="100"/>
                <w:position w:val="0"/>
                <w:sz w:val="18"/>
                <w:szCs w:val="18"/>
                <w:shd w:val="clear" w:color="auto" w:fill="auto"/>
                <w:lang w:val="cs-CZ" w:eastAsia="cs-CZ" w:bidi="cs-CZ"/>
              </w:rPr>
              <w:t>CENA CELKEM VČETNĚ DPH</w:t>
            </w:r>
          </w:p>
        </w:tc>
        <w:tc>
          <w:tcPr>
            <w:tcBorders>
              <w:top w:val="single" w:sz="4"/>
              <w:left w:val="single" w:sz="4"/>
              <w:bottom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400"/>
              <w:jc w:val="left"/>
              <w:rPr>
                <w:sz w:val="18"/>
                <w:szCs w:val="18"/>
              </w:rPr>
            </w:pPr>
            <w:r>
              <w:rPr>
                <w:b/>
                <w:bCs/>
                <w:color w:val="000000"/>
                <w:spacing w:val="0"/>
                <w:w w:val="100"/>
                <w:position w:val="0"/>
                <w:sz w:val="18"/>
                <w:szCs w:val="18"/>
                <w:shd w:val="clear" w:color="auto" w:fill="auto"/>
                <w:lang w:val="cs-CZ" w:eastAsia="cs-CZ" w:bidi="cs-CZ"/>
              </w:rPr>
              <w:t>#HODNOTA!</w:t>
            </w:r>
          </w:p>
        </w:tc>
        <w:tc>
          <w:tcPr>
            <w:tcBorders>
              <w:top w:val="single" w:sz="4"/>
              <w:left w:val="single" w:sz="4"/>
              <w:bottom w:val="single" w:sz="4"/>
              <w:right w:val="single" w:sz="4"/>
            </w:tcBorders>
            <w:shd w:val="clear" w:color="auto" w:fill="C3D79A"/>
            <w:vAlign w:val="center"/>
          </w:tcPr>
          <w:p>
            <w:pPr>
              <w:pStyle w:val="Style2"/>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shd w:val="clear" w:color="auto" w:fill="auto"/>
                <w:lang w:val="cs-CZ" w:eastAsia="cs-CZ" w:bidi="cs-CZ"/>
              </w:rPr>
              <w:t>111 174,80 Kč</w:t>
            </w:r>
          </w:p>
        </w:tc>
      </w:tr>
    </w:tbl>
    <w:p>
      <w:pPr>
        <w:pStyle w:val="Style4"/>
        <w:keepNext w:val="0"/>
        <w:keepLines w:val="0"/>
        <w:widowControl w:val="0"/>
        <w:shd w:val="clear" w:color="auto" w:fill="auto"/>
        <w:bidi w:val="0"/>
        <w:spacing w:before="0" w:after="0" w:line="240" w:lineRule="auto"/>
        <w:ind w:left="653" w:right="0" w:firstLine="0"/>
        <w:jc w:val="left"/>
      </w:pPr>
      <w:r>
        <w:rPr>
          <w:color w:val="000000"/>
          <w:spacing w:val="0"/>
          <w:w w:val="100"/>
          <w:position w:val="0"/>
          <w:shd w:val="clear" w:color="auto" w:fill="auto"/>
          <w:lang w:val="cs-CZ" w:eastAsia="cs-CZ" w:bidi="cs-CZ"/>
        </w:rPr>
        <w:t>Tabulka pro zpracování ceny plnění bude jako příloha nedílnou součástí Smlouvy o zajištění výkonu TDS na staveništi.</w:t>
      </w:r>
    </w:p>
    <w:p>
      <w:pPr>
        <w:widowControl w:val="0"/>
        <w:spacing w:after="359" w:line="1" w:lineRule="exact"/>
      </w:pPr>
    </w:p>
    <w:p>
      <w:pPr>
        <w:pStyle w:val="Style38"/>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1 - </w:t>
      </w:r>
      <w:r>
        <w:rPr>
          <w:b w:val="0"/>
          <w:bCs w:val="0"/>
          <w:color w:val="000000"/>
          <w:spacing w:val="0"/>
          <w:w w:val="100"/>
          <w:position w:val="0"/>
          <w:u w:val="single"/>
          <w:shd w:val="clear" w:color="auto" w:fill="auto"/>
          <w:lang w:val="cs-CZ" w:eastAsia="cs-CZ" w:bidi="cs-CZ"/>
        </w:rPr>
        <w:t>Cena za práci před zahájením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38"/>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2 - </w:t>
      </w:r>
      <w:r>
        <w:rPr>
          <w:b w:val="0"/>
          <w:bCs w:val="0"/>
          <w:color w:val="000000"/>
          <w:spacing w:val="0"/>
          <w:w w:val="100"/>
          <w:position w:val="0"/>
          <w:u w:val="single"/>
          <w:shd w:val="clear" w:color="auto" w:fill="auto"/>
          <w:lang w:val="cs-CZ" w:eastAsia="cs-CZ" w:bidi="cs-CZ"/>
        </w:rPr>
        <w:t>Cena za práci po dokončení stavby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w:t>
      </w:r>
    </w:p>
    <w:p>
      <w:pPr>
        <w:pStyle w:val="Style38"/>
        <w:keepNext w:val="0"/>
        <w:keepLines w:val="0"/>
        <w:widowControl w:val="0"/>
        <w:shd w:val="clear" w:color="auto" w:fill="auto"/>
        <w:bidi w:val="0"/>
        <w:spacing w:before="0" w:after="0"/>
        <w:ind w:left="0" w:right="0" w:firstLine="0"/>
        <w:jc w:val="left"/>
      </w:pPr>
      <w:r>
        <w:rPr>
          <w:b w:val="0"/>
          <w:bCs w:val="0"/>
          <w:color w:val="000000"/>
          <w:spacing w:val="0"/>
          <w:w w:val="100"/>
          <w:position w:val="0"/>
          <w:shd w:val="clear" w:color="auto" w:fill="auto"/>
          <w:lang w:val="cs-CZ" w:eastAsia="cs-CZ" w:bidi="cs-CZ"/>
        </w:rPr>
        <w:t xml:space="preserve">Položka č. 3 - </w:t>
      </w:r>
      <w:r>
        <w:rPr>
          <w:b w:val="0"/>
          <w:bCs w:val="0"/>
          <w:color w:val="000000"/>
          <w:spacing w:val="0"/>
          <w:w w:val="100"/>
          <w:position w:val="0"/>
          <w:u w:val="single"/>
          <w:shd w:val="clear" w:color="auto" w:fill="auto"/>
          <w:lang w:val="cs-CZ" w:eastAsia="cs-CZ" w:bidi="cs-CZ"/>
        </w:rPr>
        <w:t>Cena za práci v kanceláři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uvedena ve Smlouvě o zajištění výkonu TDS a bude sloužit pro fakturaci výkonu TDS </w:t>
      </w:r>
      <w:r>
        <w:rPr>
          <w:b w:val="0"/>
          <w:bCs w:val="0"/>
          <w:color w:val="000000"/>
          <w:spacing w:val="0"/>
          <w:w w:val="100"/>
          <w:position w:val="0"/>
          <w:shd w:val="clear" w:color="auto" w:fill="auto"/>
          <w:lang w:val="cs-CZ" w:eastAsia="cs-CZ" w:bidi="cs-CZ"/>
        </w:rPr>
        <w:t>dle skutečnosti.</w:t>
      </w:r>
    </w:p>
    <w:p>
      <w:pPr>
        <w:pStyle w:val="Style38"/>
        <w:keepNext w:val="0"/>
        <w:keepLines w:val="0"/>
        <w:widowControl w:val="0"/>
        <w:shd w:val="clear" w:color="auto" w:fill="auto"/>
        <w:bidi w:val="0"/>
        <w:spacing w:before="0"/>
        <w:ind w:left="0" w:right="0" w:firstLine="0"/>
        <w:jc w:val="left"/>
      </w:pPr>
      <w:r>
        <w:rPr>
          <w:b w:val="0"/>
          <w:bCs w:val="0"/>
          <w:color w:val="000000"/>
          <w:spacing w:val="0"/>
          <w:w w:val="100"/>
          <w:position w:val="0"/>
          <w:shd w:val="clear" w:color="auto" w:fill="auto"/>
          <w:lang w:val="cs-CZ" w:eastAsia="cs-CZ" w:bidi="cs-CZ"/>
        </w:rPr>
        <w:t xml:space="preserve">Položka č. 4 - </w:t>
      </w:r>
      <w:r>
        <w:rPr>
          <w:b w:val="0"/>
          <w:bCs w:val="0"/>
          <w:color w:val="000000"/>
          <w:spacing w:val="0"/>
          <w:w w:val="100"/>
          <w:position w:val="0"/>
          <w:u w:val="single"/>
          <w:shd w:val="clear" w:color="auto" w:fill="auto"/>
          <w:lang w:val="cs-CZ" w:eastAsia="cs-CZ" w:bidi="cs-CZ"/>
        </w:rPr>
        <w:t>Cena za práci na staveništi při provádění stavby v rozsahu 1 hodiny</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bude uvedena ve Smlouvě o zajištění výkonu TDS a bude sloužit pro fakturaci výkonu TDS dle doložené skutečnosti.</w:t>
      </w:r>
    </w:p>
    <w:p>
      <w:pPr>
        <w:pStyle w:val="Style38"/>
        <w:keepNext w:val="0"/>
        <w:keepLines w:val="0"/>
        <w:widowControl w:val="0"/>
        <w:numPr>
          <w:ilvl w:val="0"/>
          <w:numId w:val="19"/>
        </w:numPr>
        <w:shd w:val="clear" w:color="auto" w:fill="auto"/>
        <w:tabs>
          <w:tab w:pos="248" w:val="left"/>
        </w:tabs>
        <w:bidi w:val="0"/>
        <w:spacing w:before="0" w:after="280"/>
        <w:ind w:left="0" w:right="0" w:firstLine="0"/>
        <w:jc w:val="left"/>
      </w:pPr>
      <w:r>
        <w:rPr>
          <w:b w:val="0"/>
          <w:bCs w:val="0"/>
          <w:color w:val="000000"/>
          <w:spacing w:val="0"/>
          <w:w w:val="100"/>
          <w:position w:val="0"/>
          <w:shd w:val="clear" w:color="auto" w:fill="auto"/>
          <w:lang w:val="cs-CZ" w:eastAsia="cs-CZ" w:bidi="cs-CZ"/>
        </w:rPr>
        <w:t xml:space="preserve">Cena za práci na staveništi při provádění stavby (pol. č. 3 a č. 4) </w:t>
      </w:r>
      <w:r>
        <w:rPr>
          <w:color w:val="000000"/>
          <w:spacing w:val="0"/>
          <w:w w:val="100"/>
          <w:position w:val="0"/>
          <w:shd w:val="clear" w:color="auto" w:fill="auto"/>
          <w:lang w:val="cs-CZ" w:eastAsia="cs-CZ" w:bidi="cs-CZ"/>
        </w:rPr>
        <w:t xml:space="preserve">v celkovém předpokládaném rozsahu 10 hodin v kanceláři a 64 hodin n a staveništi </w:t>
      </w:r>
      <w:r>
        <w:rPr>
          <w:b w:val="0"/>
          <w:bCs w:val="0"/>
          <w:color w:val="000000"/>
          <w:spacing w:val="0"/>
          <w:w w:val="100"/>
          <w:position w:val="0"/>
          <w:shd w:val="clear" w:color="auto" w:fill="auto"/>
          <w:lang w:val="cs-CZ" w:eastAsia="cs-CZ" w:bidi="cs-CZ"/>
        </w:rPr>
        <w:t xml:space="preserve">je uvedena pouze pro rovnocenné hodnocení podaných nabídek. </w:t>
      </w:r>
      <w:r>
        <w:rPr>
          <w:color w:val="000000"/>
          <w:spacing w:val="0"/>
          <w:w w:val="100"/>
          <w:position w:val="0"/>
          <w:shd w:val="clear" w:color="auto" w:fill="auto"/>
          <w:lang w:val="cs-CZ" w:eastAsia="cs-CZ" w:bidi="cs-CZ"/>
        </w:rPr>
        <w:t>Ve Smlouvě o zajištění výkonu TDS uvedena nebude.</w:t>
      </w:r>
    </w:p>
    <w:p>
      <w:pPr>
        <w:pStyle w:val="Style38"/>
        <w:keepNext w:val="0"/>
        <w:keepLines w:val="0"/>
        <w:widowControl w:val="0"/>
        <w:numPr>
          <w:ilvl w:val="0"/>
          <w:numId w:val="19"/>
        </w:numPr>
        <w:shd w:val="clear" w:color="auto" w:fill="auto"/>
        <w:tabs>
          <w:tab w:pos="248" w:val="left"/>
        </w:tabs>
        <w:bidi w:val="0"/>
        <w:spacing w:before="0" w:after="400"/>
        <w:ind w:left="0" w:right="0" w:firstLine="0"/>
        <w:jc w:val="left"/>
      </w:pPr>
      <w:r>
        <w:drawing>
          <wp:anchor distT="0" distB="149225" distL="114300" distR="114300" simplePos="0" relativeHeight="125829384" behindDoc="0" locked="0" layoutInCell="1" allowOverlap="1">
            <wp:simplePos x="0" y="0"/>
            <wp:positionH relativeFrom="page">
              <wp:posOffset>4601210</wp:posOffset>
            </wp:positionH>
            <wp:positionV relativeFrom="paragraph">
              <wp:posOffset>228600</wp:posOffset>
            </wp:positionV>
            <wp:extent cx="2572385" cy="567055"/>
            <wp:wrapSquare wrapText="bothSides"/>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6"/>
                    <a:stretch/>
                  </pic:blipFill>
                  <pic:spPr>
                    <a:xfrm>
                      <a:ext cx="2572385" cy="56705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5189220</wp:posOffset>
                </wp:positionH>
                <wp:positionV relativeFrom="paragraph">
                  <wp:posOffset>798830</wp:posOffset>
                </wp:positionV>
                <wp:extent cx="1182370" cy="146050"/>
                <wp:wrapNone/>
                <wp:docPr id="14" name="Shape 14"/>
                <a:graphic xmlns:a="http://schemas.openxmlformats.org/drawingml/2006/main">
                  <a:graphicData uri="http://schemas.microsoft.com/office/word/2010/wordprocessingShape">
                    <wps:wsp>
                      <wps:cNvSpPr txBox="1"/>
                      <wps:spPr>
                        <a:xfrm>
                          <a:ext cx="1182370" cy="14605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Chalupa Eduard - jednatel</w:t>
                            </w:r>
                          </w:p>
                        </w:txbxContent>
                      </wps:txbx>
                      <wps:bodyPr lIns="0" tIns="0" rIns="0" bIns="0">
                        <a:noAutoFit/>
                      </wps:bodyPr>
                    </wps:wsp>
                  </a:graphicData>
                </a:graphic>
              </wp:anchor>
            </w:drawing>
          </mc:Choice>
          <mc:Fallback>
            <w:pict>
              <v:shape id="_x0000_s1040" type="#_x0000_t202" style="position:absolute;margin-left:408.60000000000002pt;margin-top:62.899999999999999pt;width:93.099999999999994pt;height:11.5pt;z-index:251657731;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Chalupa Eduard - jednatel</w:t>
                      </w:r>
                    </w:p>
                  </w:txbxContent>
                </v:textbox>
                <w10:wrap anchorx="page"/>
              </v:shape>
            </w:pict>
          </mc:Fallback>
        </mc:AlternateContent>
      </w:r>
      <w:r>
        <w:rPr>
          <w:color w:val="000000"/>
          <w:spacing w:val="0"/>
          <w:w w:val="100"/>
          <w:position w:val="0"/>
          <w:shd w:val="clear" w:color="auto" w:fill="auto"/>
          <w:lang w:val="cs-CZ" w:eastAsia="cs-CZ" w:bidi="cs-CZ"/>
        </w:rPr>
        <w:t xml:space="preserve">* </w:t>
      </w:r>
      <w:r>
        <w:rPr>
          <w:b w:val="0"/>
          <w:bCs w:val="0"/>
          <w:color w:val="000000"/>
          <w:spacing w:val="0"/>
          <w:w w:val="100"/>
          <w:position w:val="0"/>
          <w:u w:val="single"/>
          <w:shd w:val="clear" w:color="auto" w:fill="auto"/>
          <w:lang w:val="cs-CZ" w:eastAsia="cs-CZ" w:bidi="cs-CZ"/>
        </w:rPr>
        <w:t>Cena celkem (vč. DPH)</w:t>
      </w:r>
      <w:r>
        <w:rPr>
          <w:b w:val="0"/>
          <w:bCs w:val="0"/>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bude použita k hodnocení podaných nabídek, </w:t>
      </w:r>
      <w:r>
        <w:rPr>
          <w:b w:val="0"/>
          <w:bCs w:val="0"/>
          <w:color w:val="000000"/>
          <w:spacing w:val="0"/>
          <w:w w:val="100"/>
          <w:position w:val="0"/>
          <w:shd w:val="clear" w:color="auto" w:fill="auto"/>
          <w:lang w:val="cs-CZ" w:eastAsia="cs-CZ" w:bidi="cs-CZ"/>
        </w:rPr>
        <w:t>ve Smlouvě o zajištění výkonu TDS uvedena nebude.</w:t>
      </w:r>
    </w:p>
    <w:p>
      <w:pPr>
        <w:pStyle w:val="Style38"/>
        <w:keepNext w:val="0"/>
        <w:keepLines w:val="0"/>
        <w:widowControl w:val="0"/>
        <w:shd w:val="clear" w:color="auto" w:fill="auto"/>
        <w:bidi w:val="0"/>
        <w:spacing w:before="0" w:after="220"/>
        <w:ind w:left="0" w:right="0" w:firstLine="0"/>
        <w:jc w:val="left"/>
      </w:pPr>
      <w:r>
        <w:rPr>
          <w:b w:val="0"/>
          <w:bCs w:val="0"/>
          <w:i w:val="0"/>
          <w:iCs w:val="0"/>
          <w:color w:val="000000"/>
          <w:spacing w:val="0"/>
          <w:w w:val="100"/>
          <w:position w:val="0"/>
          <w:shd w:val="clear" w:color="auto" w:fill="auto"/>
          <w:lang w:val="cs-CZ" w:eastAsia="cs-CZ" w:bidi="cs-CZ"/>
        </w:rPr>
        <w:t>V Táboře dne 15.3.2022</w:t>
      </w:r>
    </w:p>
    <w:sectPr>
      <w:footerReference w:type="default" r:id="rId8"/>
      <w:footnotePr>
        <w:pos w:val="pageBottom"/>
        <w:numFmt w:val="decimal"/>
        <w:numRestart w:val="continuous"/>
      </w:footnotePr>
      <w:pgSz w:w="12240" w:h="15840"/>
      <w:pgMar w:top="663" w:left="1178" w:right="972" w:bottom="663" w:header="235" w:footer="23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756285</wp:posOffset>
              </wp:positionH>
              <wp:positionV relativeFrom="page">
                <wp:posOffset>9500870</wp:posOffset>
              </wp:positionV>
              <wp:extent cx="3209290" cy="262255"/>
              <wp:wrapNone/>
              <wp:docPr id="9" name="Shape 9"/>
              <a:graphic xmlns:a="http://schemas.openxmlformats.org/drawingml/2006/main">
                <a:graphicData uri="http://schemas.microsoft.com/office/word/2010/wordprocessingShape">
                  <wps:wsp>
                    <wps:cNvSpPr txBox="1"/>
                    <wps:spPr>
                      <a:xfrm>
                        <a:ext cx="3209290" cy="26225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"III/41015 Bahnův mlýn - propustek ev. č. 41015-7P</w:t>
                          </w:r>
                        </w:p>
                      </w:txbxContent>
                    </wps:txbx>
                    <wps:bodyPr wrap="none" lIns="0" tIns="0" rIns="0" bIns="0">
                      <a:spAutoFit/>
                    </wps:bodyPr>
                  </wps:wsp>
                </a:graphicData>
              </a:graphic>
            </wp:anchor>
          </w:drawing>
        </mc:Choice>
        <mc:Fallback>
          <w:pict>
            <v:shape id="_x0000_s1035" type="#_x0000_t202" style="position:absolute;margin-left:59.549999999999997pt;margin-top:748.10000000000002pt;width:252.69999999999999pt;height:20.649999999999999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Smlouva o zajištění výkonu TDS na staveništi - 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8</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akce: </w:t>
                    </w:r>
                    <w:r>
                      <w:rPr>
                        <w:b/>
                        <w:bCs/>
                        <w:color w:val="000000"/>
                        <w:spacing w:val="0"/>
                        <w:w w:val="100"/>
                        <w:position w:val="0"/>
                        <w:shd w:val="clear" w:color="auto" w:fill="auto"/>
                        <w:lang w:val="cs-CZ" w:eastAsia="cs-CZ" w:bidi="cs-CZ"/>
                      </w:rPr>
                      <w:t>"III/41015 Bahnův mlýn - propustek ev. č. 41015-7P</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734695</wp:posOffset>
              </wp:positionH>
              <wp:positionV relativeFrom="page">
                <wp:posOffset>9450070</wp:posOffset>
              </wp:positionV>
              <wp:extent cx="6397625" cy="0"/>
              <wp:wrapNone/>
              <wp:docPr id="11" name="Shape 11"/>
              <a:graphic xmlns:a="http://schemas.openxmlformats.org/drawingml/2006/main">
                <a:graphicData uri="http://schemas.microsoft.com/office/word/2010/wordprocessingShape">
                  <wps:wsp>
                    <wps:cNvCnPr/>
                    <wps:spPr>
                      <a:xfrm>
                        <a:ext cx="6397625" cy="0"/>
                      </a:xfrm>
                      <a:prstGeom prst="straightConnector1"/>
                      <a:ln w="12700">
                        <a:solidFill/>
                      </a:ln>
                    </wps:spPr>
                    <wps:bodyPr/>
                  </wps:wsp>
                </a:graphicData>
              </a:graphic>
            </wp:anchor>
          </w:drawing>
        </mc:Choice>
        <mc:Fallback>
          <w:pict>
            <v:shape o:spt="32" o:oned="true" path="m,l21600,21600e" style="position:absolute;margin-left:57.850000000000001pt;margin-top:744.10000000000002pt;width:50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5">
    <w:name w:val="Titulek tabulky_"/>
    <w:basedOn w:val="DefaultParagraphFont"/>
    <w:link w:val="Style4"/>
    <w:rPr>
      <w:rFonts w:ascii="Times New Roman" w:eastAsia="Times New Roman" w:hAnsi="Times New Roman" w:cs="Times New Roman"/>
      <w:b/>
      <w:bCs/>
      <w:i/>
      <w:iCs/>
      <w:smallCaps w:val="0"/>
      <w:strike w:val="0"/>
      <w:sz w:val="16"/>
      <w:szCs w:val="16"/>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2">
    <w:name w:val="Nadpis #1_"/>
    <w:basedOn w:val="DefaultParagraphFont"/>
    <w:link w:val="Style11"/>
    <w:rPr>
      <w:rFonts w:ascii="Times New Roman" w:eastAsia="Times New Roman" w:hAnsi="Times New Roman" w:cs="Times New Roman"/>
      <w:b/>
      <w:bCs/>
      <w:i w:val="0"/>
      <w:iCs w:val="0"/>
      <w:smallCaps w:val="0"/>
      <w:strike w:val="0"/>
      <w:sz w:val="32"/>
      <w:szCs w:val="32"/>
      <w:u w:val="none"/>
    </w:rPr>
  </w:style>
  <w:style w:type="character" w:customStyle="1" w:styleId="CharStyle14">
    <w:name w:val="Záhlaví nebo zápatí (2)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Nadpis #2_"/>
    <w:basedOn w:val="DefaultParagraphFont"/>
    <w:link w:val="Style17"/>
    <w:rPr>
      <w:rFonts w:ascii="Times New Roman" w:eastAsia="Times New Roman" w:hAnsi="Times New Roman" w:cs="Times New Roman"/>
      <w:b/>
      <w:bCs/>
      <w:i w:val="0"/>
      <w:iCs w:val="0"/>
      <w:smallCaps w:val="0"/>
      <w:strike w:val="0"/>
      <w:sz w:val="28"/>
      <w:szCs w:val="28"/>
      <w:u w:val="none"/>
    </w:rPr>
  </w:style>
  <w:style w:type="character" w:customStyle="1" w:styleId="CharStyle21">
    <w:name w:val="Nadpis #3_"/>
    <w:basedOn w:val="DefaultParagraphFont"/>
    <w:link w:val="Style20"/>
    <w:rPr>
      <w:rFonts w:ascii="Times New Roman" w:eastAsia="Times New Roman" w:hAnsi="Times New Roman" w:cs="Times New Roman"/>
      <w:b/>
      <w:bCs/>
      <w:i w:val="0"/>
      <w:iCs w:val="0"/>
      <w:smallCaps w:val="0"/>
      <w:strike w:val="0"/>
      <w:u w:val="none"/>
    </w:rPr>
  </w:style>
  <w:style w:type="character" w:customStyle="1" w:styleId="CharStyle31">
    <w:name w:val="Titulek obrázku_"/>
    <w:basedOn w:val="DefaultParagraphFont"/>
    <w:link w:val="Style30"/>
    <w:rPr>
      <w:rFonts w:ascii="Times New Roman" w:eastAsia="Times New Roman" w:hAnsi="Times New Roman" w:cs="Times New Roman"/>
      <w:b w:val="0"/>
      <w:bCs w:val="0"/>
      <w:i/>
      <w:iCs/>
      <w:smallCaps w:val="0"/>
      <w:strike w:val="0"/>
      <w:sz w:val="16"/>
      <w:szCs w:val="16"/>
      <w:u w:val="none"/>
    </w:rPr>
  </w:style>
  <w:style w:type="character" w:customStyle="1" w:styleId="CharStyle39">
    <w:name w:val="Základní text (2)_"/>
    <w:basedOn w:val="DefaultParagraphFont"/>
    <w:link w:val="Style38"/>
    <w:rPr>
      <w:rFonts w:ascii="Times New Roman" w:eastAsia="Times New Roman" w:hAnsi="Times New Roman" w:cs="Times New Roman"/>
      <w:b/>
      <w:bCs/>
      <w:i/>
      <w:iCs/>
      <w:smallCaps w:val="0"/>
      <w:strike w:val="0"/>
      <w:sz w:val="16"/>
      <w:szCs w:val="16"/>
      <w:u w:val="none"/>
    </w:rPr>
  </w:style>
  <w:style w:type="paragraph" w:customStyle="1" w:styleId="Style2">
    <w:name w:val="Jiné"/>
    <w:basedOn w:val="Normal"/>
    <w:link w:val="CharStyle3"/>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4">
    <w:name w:val="Titulek tabulky"/>
    <w:basedOn w:val="Normal"/>
    <w:link w:val="CharStyle5"/>
    <w:pPr>
      <w:widowControl w:val="0"/>
      <w:shd w:val="clear" w:color="auto" w:fill="FFFFFF"/>
    </w:pPr>
    <w:rPr>
      <w:rFonts w:ascii="Times New Roman" w:eastAsia="Times New Roman" w:hAnsi="Times New Roman" w:cs="Times New Roman"/>
      <w:b/>
      <w:bCs/>
      <w:i/>
      <w:iCs/>
      <w:smallCaps w:val="0"/>
      <w:strike w:val="0"/>
      <w:sz w:val="16"/>
      <w:szCs w:val="16"/>
      <w:u w:val="none"/>
    </w:rPr>
  </w:style>
  <w:style w:type="paragraph" w:customStyle="1" w:styleId="Style7">
    <w:name w:val="Základní text"/>
    <w:basedOn w:val="Normal"/>
    <w:link w:val="CharStyle8"/>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1">
    <w:name w:val="Nadpis #1"/>
    <w:basedOn w:val="Normal"/>
    <w:link w:val="CharStyle12"/>
    <w:pPr>
      <w:widowControl w:val="0"/>
      <w:shd w:val="clear" w:color="auto" w:fill="FFFFFF"/>
      <w:spacing w:after="360"/>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13">
    <w:name w:val="Záhlaví nebo zápatí (2)"/>
    <w:basedOn w:val="Normal"/>
    <w:link w:val="CharStyle14"/>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Nadpis #2"/>
    <w:basedOn w:val="Normal"/>
    <w:link w:val="CharStyle18"/>
    <w:pPr>
      <w:widowControl w:val="0"/>
      <w:shd w:val="clear" w:color="auto" w:fill="FFFFFF"/>
      <w:spacing w:line="425" w:lineRule="auto"/>
      <w:ind w:left="1840"/>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20">
    <w:name w:val="Nadpis #3"/>
    <w:basedOn w:val="Normal"/>
    <w:link w:val="CharStyle21"/>
    <w:pPr>
      <w:widowControl w:val="0"/>
      <w:shd w:val="clear" w:color="auto" w:fill="FFFFFF"/>
      <w:spacing w:after="120"/>
      <w:jc w:val="center"/>
      <w:outlineLvl w:val="2"/>
    </w:pPr>
    <w:rPr>
      <w:rFonts w:ascii="Times New Roman" w:eastAsia="Times New Roman" w:hAnsi="Times New Roman" w:cs="Times New Roman"/>
      <w:b/>
      <w:bCs/>
      <w:i w:val="0"/>
      <w:iCs w:val="0"/>
      <w:smallCaps w:val="0"/>
      <w:strike w:val="0"/>
      <w:u w:val="none"/>
    </w:rPr>
  </w:style>
  <w:style w:type="paragraph" w:customStyle="1" w:styleId="Style30">
    <w:name w:val="Titulek obrázku"/>
    <w:basedOn w:val="Normal"/>
    <w:link w:val="CharStyle31"/>
    <w:pPr>
      <w:widowControl w:val="0"/>
      <w:shd w:val="clear" w:color="auto" w:fill="FFFFFF"/>
    </w:pPr>
    <w:rPr>
      <w:rFonts w:ascii="Times New Roman" w:eastAsia="Times New Roman" w:hAnsi="Times New Roman" w:cs="Times New Roman"/>
      <w:b w:val="0"/>
      <w:bCs w:val="0"/>
      <w:i/>
      <w:iCs/>
      <w:smallCaps w:val="0"/>
      <w:strike w:val="0"/>
      <w:sz w:val="16"/>
      <w:szCs w:val="16"/>
      <w:u w:val="none"/>
    </w:rPr>
  </w:style>
  <w:style w:type="paragraph" w:customStyle="1" w:styleId="Style38">
    <w:name w:val="Základní text (2)"/>
    <w:basedOn w:val="Normal"/>
    <w:link w:val="CharStyle39"/>
    <w:pPr>
      <w:widowControl w:val="0"/>
      <w:shd w:val="clear" w:color="auto" w:fill="FFFFFF"/>
      <w:spacing w:after="160" w:line="276" w:lineRule="auto"/>
    </w:pPr>
    <w:rPr>
      <w:rFonts w:ascii="Times New Roman" w:eastAsia="Times New Roman" w:hAnsi="Times New Roman" w:cs="Times New Roman"/>
      <w:b/>
      <w:bCs/>
      <w:i/>
      <w:iCs/>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kostelecka</dc:creator>
  <cp:keywords/>
</cp:coreProperties>
</file>