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2CFD5A55" w:rsidR="00313763" w:rsidRPr="00283690" w:rsidRDefault="007A298A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VÁNOČNÍ DŮM s.r.o.</w:t>
      </w:r>
    </w:p>
    <w:p w14:paraId="45FF4295" w14:textId="7B4CFE3E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7A298A">
        <w:rPr>
          <w:rFonts w:ascii="Times New Roman" w:hAnsi="Times New Roman"/>
          <w:sz w:val="24"/>
          <w:szCs w:val="26"/>
        </w:rPr>
        <w:t>Svatopluka Čecha 420, 356 01 Sokolov</w:t>
      </w:r>
    </w:p>
    <w:p w14:paraId="5570566A" w14:textId="7506282C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7A298A">
        <w:rPr>
          <w:rFonts w:ascii="Times New Roman" w:hAnsi="Times New Roman"/>
          <w:sz w:val="24"/>
          <w:szCs w:val="26"/>
        </w:rPr>
        <w:t>Jiřina Regietová</w:t>
      </w:r>
      <w:r w:rsidR="00C628D4">
        <w:rPr>
          <w:rFonts w:ascii="Times New Roman" w:hAnsi="Times New Roman"/>
          <w:sz w:val="24"/>
          <w:szCs w:val="26"/>
        </w:rPr>
        <w:br/>
      </w: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7A298A">
        <w:rPr>
          <w:rFonts w:ascii="Times New Roman" w:hAnsi="Times New Roman"/>
          <w:sz w:val="24"/>
          <w:szCs w:val="26"/>
        </w:rPr>
        <w:t>03328295</w:t>
      </w:r>
    </w:p>
    <w:p w14:paraId="601A4E61" w14:textId="5AE546F5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7A298A">
        <w:rPr>
          <w:rFonts w:ascii="Times New Roman" w:hAnsi="Times New Roman"/>
          <w:sz w:val="24"/>
          <w:szCs w:val="24"/>
        </w:rPr>
        <w:t>Raiffeisenbank</w:t>
      </w:r>
      <w:r w:rsidR="00FE38C0" w:rsidRPr="00FE38C0">
        <w:rPr>
          <w:rFonts w:ascii="Times New Roman" w:hAnsi="Times New Roman"/>
          <w:sz w:val="24"/>
          <w:szCs w:val="24"/>
        </w:rPr>
        <w:t>, a. s.</w:t>
      </w:r>
    </w:p>
    <w:p w14:paraId="51AFF9E6" w14:textId="366E4ABD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7A298A">
        <w:rPr>
          <w:rFonts w:ascii="Times New Roman" w:hAnsi="Times New Roman"/>
          <w:sz w:val="24"/>
          <w:szCs w:val="26"/>
        </w:rPr>
        <w:t>2412201473/5500</w:t>
      </w:r>
    </w:p>
    <w:p w14:paraId="12872842" w14:textId="5BC49789" w:rsidR="003B79DE" w:rsidRPr="00E64203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7A298A">
        <w:rPr>
          <w:rFonts w:ascii="Times New Roman" w:hAnsi="Times New Roman"/>
          <w:sz w:val="24"/>
          <w:szCs w:val="26"/>
        </w:rPr>
        <w:t>Artur Regieta</w:t>
      </w:r>
    </w:p>
    <w:p w14:paraId="6712BAC7" w14:textId="583AC8BB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7B203ADA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637960">
        <w:rPr>
          <w:rFonts w:ascii="Times New Roman" w:hAnsi="Times New Roman"/>
          <w:b/>
          <w:sz w:val="24"/>
          <w:szCs w:val="24"/>
        </w:rPr>
        <w:t>3</w:t>
      </w:r>
      <w:r w:rsidR="007A298A">
        <w:rPr>
          <w:rFonts w:ascii="Times New Roman" w:hAnsi="Times New Roman"/>
          <w:b/>
          <w:sz w:val="24"/>
          <w:szCs w:val="24"/>
        </w:rPr>
        <w:t>1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7A298A">
        <w:rPr>
          <w:rFonts w:ascii="Times New Roman" w:hAnsi="Times New Roman"/>
          <w:b/>
          <w:sz w:val="24"/>
          <w:szCs w:val="24"/>
        </w:rPr>
        <w:t>12</w:t>
      </w:r>
      <w:r w:rsidR="00283690" w:rsidRPr="00283690">
        <w:rPr>
          <w:rFonts w:ascii="Times New Roman" w:hAnsi="Times New Roman"/>
          <w:b/>
          <w:sz w:val="24"/>
          <w:szCs w:val="24"/>
        </w:rPr>
        <w:t>.2022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21D5D86A" w14:textId="33D44D43" w:rsidR="009629F2" w:rsidRDefault="0095717D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>
        <w:rPr>
          <w:rFonts w:ascii="Times New Roman" w:hAnsi="Times New Roman"/>
          <w:b/>
          <w:bCs/>
          <w:sz w:val="24"/>
          <w:szCs w:val="26"/>
        </w:rPr>
        <w:br/>
      </w:r>
    </w:p>
    <w:p w14:paraId="0D8C65F6" w14:textId="1FB5D016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2C00A56E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FD2069">
        <w:rPr>
          <w:rFonts w:ascii="Times New Roman" w:hAnsi="Times New Roman"/>
          <w:sz w:val="24"/>
          <w:szCs w:val="26"/>
        </w:rPr>
        <w:t>………………….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4720A3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2BF3B" w14:textId="77777777" w:rsidR="00F25F4E" w:rsidRDefault="00F25F4E">
      <w:pPr>
        <w:spacing w:after="0" w:line="240" w:lineRule="auto"/>
      </w:pPr>
      <w:r>
        <w:separator/>
      </w:r>
    </w:p>
  </w:endnote>
  <w:endnote w:type="continuationSeparator" w:id="0">
    <w:p w14:paraId="0AFDBE81" w14:textId="77777777" w:rsidR="00F25F4E" w:rsidRDefault="00F2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147D83A8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F1061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0F1061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0F1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30CFB" w14:textId="77777777" w:rsidR="00F25F4E" w:rsidRDefault="00F25F4E">
      <w:pPr>
        <w:spacing w:after="0" w:line="240" w:lineRule="auto"/>
      </w:pPr>
      <w:r>
        <w:separator/>
      </w:r>
    </w:p>
  </w:footnote>
  <w:footnote w:type="continuationSeparator" w:id="0">
    <w:p w14:paraId="0D2F2F57" w14:textId="77777777" w:rsidR="00F25F4E" w:rsidRDefault="00F2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0F1061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460DAC" w:rsidRDefault="000F1061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266698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653D4C1D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0F1061">
      <w:rPr>
        <w:rFonts w:ascii="Times New Roman" w:hAnsi="Times New Roman"/>
        <w:b/>
        <w:bCs/>
        <w:color w:val="595959" w:themeColor="text1" w:themeTint="A6"/>
        <w:sz w:val="20"/>
        <w:szCs w:val="20"/>
      </w:rPr>
      <w:t>KK01717/2022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0F1061"/>
    <w:rsid w:val="00101996"/>
    <w:rsid w:val="00106EE0"/>
    <w:rsid w:val="001270F3"/>
    <w:rsid w:val="00152A45"/>
    <w:rsid w:val="001B435B"/>
    <w:rsid w:val="002333D9"/>
    <w:rsid w:val="002539C0"/>
    <w:rsid w:val="00283690"/>
    <w:rsid w:val="002837ED"/>
    <w:rsid w:val="00285CCA"/>
    <w:rsid w:val="00293A2D"/>
    <w:rsid w:val="002C1083"/>
    <w:rsid w:val="00313763"/>
    <w:rsid w:val="0031560C"/>
    <w:rsid w:val="003B79DE"/>
    <w:rsid w:val="003D3F79"/>
    <w:rsid w:val="003F3851"/>
    <w:rsid w:val="003F5D1B"/>
    <w:rsid w:val="004148C2"/>
    <w:rsid w:val="00422E96"/>
    <w:rsid w:val="00472552"/>
    <w:rsid w:val="004A2113"/>
    <w:rsid w:val="004A4D60"/>
    <w:rsid w:val="004B7848"/>
    <w:rsid w:val="004C1236"/>
    <w:rsid w:val="004C3DD0"/>
    <w:rsid w:val="004D2C7F"/>
    <w:rsid w:val="0051033C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D3C5E"/>
    <w:rsid w:val="00705980"/>
    <w:rsid w:val="00711ABB"/>
    <w:rsid w:val="00717D0A"/>
    <w:rsid w:val="00730AB7"/>
    <w:rsid w:val="007502B4"/>
    <w:rsid w:val="00761E31"/>
    <w:rsid w:val="00780831"/>
    <w:rsid w:val="007A298A"/>
    <w:rsid w:val="007B26D4"/>
    <w:rsid w:val="007C0824"/>
    <w:rsid w:val="007C194F"/>
    <w:rsid w:val="007D2AD1"/>
    <w:rsid w:val="008C4A52"/>
    <w:rsid w:val="008D2310"/>
    <w:rsid w:val="008E62DB"/>
    <w:rsid w:val="00907C60"/>
    <w:rsid w:val="00946C6A"/>
    <w:rsid w:val="00947D49"/>
    <w:rsid w:val="0095717D"/>
    <w:rsid w:val="009629F2"/>
    <w:rsid w:val="0097488E"/>
    <w:rsid w:val="0099496D"/>
    <w:rsid w:val="009950C5"/>
    <w:rsid w:val="009C49BB"/>
    <w:rsid w:val="00A642E6"/>
    <w:rsid w:val="00AB5DB2"/>
    <w:rsid w:val="00AF789A"/>
    <w:rsid w:val="00B31716"/>
    <w:rsid w:val="00B44BF6"/>
    <w:rsid w:val="00B5155A"/>
    <w:rsid w:val="00B51B01"/>
    <w:rsid w:val="00BC3265"/>
    <w:rsid w:val="00C14D0B"/>
    <w:rsid w:val="00C61457"/>
    <w:rsid w:val="00C628D4"/>
    <w:rsid w:val="00C65DFF"/>
    <w:rsid w:val="00C70C72"/>
    <w:rsid w:val="00C90477"/>
    <w:rsid w:val="00CC4B33"/>
    <w:rsid w:val="00CD4A9A"/>
    <w:rsid w:val="00CF7AAE"/>
    <w:rsid w:val="00D31287"/>
    <w:rsid w:val="00D32BA4"/>
    <w:rsid w:val="00DD394C"/>
    <w:rsid w:val="00E24AEE"/>
    <w:rsid w:val="00E776D5"/>
    <w:rsid w:val="00EA55FC"/>
    <w:rsid w:val="00F21D84"/>
    <w:rsid w:val="00F25F4E"/>
    <w:rsid w:val="00F70BBB"/>
    <w:rsid w:val="00F75FD0"/>
    <w:rsid w:val="00FD2069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2022-03-26T14:22:00Z</cp:lastPrinted>
  <dcterms:created xsi:type="dcterms:W3CDTF">2022-03-26T12:17:00Z</dcterms:created>
  <dcterms:modified xsi:type="dcterms:W3CDTF">2022-03-26T14:22:00Z</dcterms:modified>
</cp:coreProperties>
</file>