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5A0A" w14:textId="77777777" w:rsidR="00AC5C5F" w:rsidRPr="00AC5C5F" w:rsidRDefault="00AC5C5F" w:rsidP="00AC5C5F">
      <w:pPr>
        <w:spacing w:after="62" w:line="237" w:lineRule="auto"/>
        <w:ind w:left="2690" w:hanging="1274"/>
        <w:jc w:val="right"/>
        <w:rPr>
          <w:b/>
          <w:color w:val="auto"/>
        </w:rPr>
      </w:pPr>
      <w:bookmarkStart w:id="0" w:name="_GoBack"/>
      <w:bookmarkEnd w:id="0"/>
      <w:r w:rsidRPr="00AC5C5F">
        <w:rPr>
          <w:b/>
          <w:color w:val="auto"/>
        </w:rPr>
        <w:t>Příloha č. 2</w:t>
      </w:r>
    </w:p>
    <w:p w14:paraId="38440A46" w14:textId="77777777" w:rsidR="00AC5C5F" w:rsidRDefault="00AC5C5F" w:rsidP="00AC5C5F">
      <w:pPr>
        <w:spacing w:after="62" w:line="237" w:lineRule="auto"/>
        <w:ind w:left="2690" w:hanging="1274"/>
        <w:jc w:val="both"/>
        <w:rPr>
          <w:b/>
          <w:color w:val="auto"/>
          <w:sz w:val="28"/>
          <w:szCs w:val="28"/>
        </w:rPr>
      </w:pPr>
    </w:p>
    <w:p w14:paraId="254AF4B3" w14:textId="77777777" w:rsidR="00AC5C5F" w:rsidRPr="00AC5C5F" w:rsidRDefault="00AC5C5F" w:rsidP="00AC5C5F">
      <w:pPr>
        <w:spacing w:after="62" w:line="237" w:lineRule="auto"/>
        <w:jc w:val="center"/>
        <w:rPr>
          <w:color w:val="auto"/>
        </w:rPr>
      </w:pPr>
      <w:r w:rsidRPr="00AC5C5F">
        <w:rPr>
          <w:b/>
          <w:color w:val="auto"/>
          <w:sz w:val="28"/>
          <w:szCs w:val="28"/>
        </w:rPr>
        <w:t>Podmínky interní soutěže Národního centra biotechnologií ve veterinární medicíně</w:t>
      </w:r>
      <w:r>
        <w:rPr>
          <w:b/>
          <w:color w:val="auto"/>
          <w:sz w:val="28"/>
          <w:szCs w:val="28"/>
        </w:rPr>
        <w:t xml:space="preserve"> (NaCeBiVet), </w:t>
      </w:r>
      <w:r w:rsidRPr="00AC5C5F">
        <w:rPr>
          <w:color w:val="auto"/>
        </w:rPr>
        <w:t>dále též jako „Centrum“</w:t>
      </w:r>
    </w:p>
    <w:p w14:paraId="479A45A1" w14:textId="77777777" w:rsidR="00AC5C5F" w:rsidRDefault="00AC5C5F" w:rsidP="00AC5C5F">
      <w:pPr>
        <w:spacing w:after="87"/>
        <w:ind w:left="31" w:hanging="10"/>
        <w:jc w:val="center"/>
        <w:rPr>
          <w:color w:val="0A0A0A"/>
          <w:sz w:val="23"/>
        </w:rPr>
      </w:pPr>
    </w:p>
    <w:p w14:paraId="046DF9B9" w14:textId="77777777" w:rsidR="00AC5C5F" w:rsidRDefault="00AC5C5F" w:rsidP="00AC5C5F">
      <w:pPr>
        <w:spacing w:after="87"/>
        <w:ind w:left="31" w:hanging="10"/>
        <w:jc w:val="center"/>
      </w:pPr>
      <w:r>
        <w:rPr>
          <w:color w:val="0A0A0A"/>
          <w:sz w:val="23"/>
        </w:rPr>
        <w:t xml:space="preserve">Článek 1 </w:t>
      </w:r>
    </w:p>
    <w:p w14:paraId="0A11E595" w14:textId="77777777" w:rsidR="00AC5C5F" w:rsidRPr="00AC5C5F" w:rsidRDefault="00AC5C5F" w:rsidP="00AC5C5F">
      <w:pPr>
        <w:spacing w:after="102"/>
        <w:ind w:left="40" w:hanging="10"/>
        <w:jc w:val="center"/>
        <w:rPr>
          <w:b/>
          <w:color w:val="080808"/>
        </w:rPr>
      </w:pPr>
      <w:r w:rsidRPr="00AC5C5F">
        <w:rPr>
          <w:b/>
          <w:color w:val="080808"/>
        </w:rPr>
        <w:t xml:space="preserve">Úvodní ustanovení </w:t>
      </w:r>
    </w:p>
    <w:p w14:paraId="6BA14185" w14:textId="77777777" w:rsidR="00AC5C5F" w:rsidRDefault="00AC5C5F" w:rsidP="00AC5C5F">
      <w:pPr>
        <w:numPr>
          <w:ilvl w:val="0"/>
          <w:numId w:val="7"/>
        </w:numPr>
        <w:spacing w:after="2" w:line="254" w:lineRule="auto"/>
        <w:jc w:val="both"/>
      </w:pPr>
      <w:r>
        <w:rPr>
          <w:color w:val="050505"/>
          <w:sz w:val="23"/>
        </w:rPr>
        <w:t xml:space="preserve">Tyto Podmínky interní soutěže </w:t>
      </w:r>
      <w:r w:rsidRPr="00AC5C5F">
        <w:rPr>
          <w:color w:val="050505"/>
          <w:sz w:val="23"/>
        </w:rPr>
        <w:t xml:space="preserve">Národního centra biotechnologií ve veterinární medicíně </w:t>
      </w:r>
      <w:r>
        <w:rPr>
          <w:color w:val="050505"/>
          <w:sz w:val="23"/>
        </w:rPr>
        <w:t>upravují podmínky pro hodnocení, výběr a schvalování dílčích projektů, podpořených v rámci Centra.</w:t>
      </w:r>
    </w:p>
    <w:p w14:paraId="245B7498" w14:textId="62EB461E" w:rsidR="00AC5C5F" w:rsidRDefault="00AC5C5F" w:rsidP="00B016CF">
      <w:pPr>
        <w:numPr>
          <w:ilvl w:val="0"/>
          <w:numId w:val="7"/>
        </w:numPr>
        <w:spacing w:after="2" w:line="254" w:lineRule="auto"/>
        <w:jc w:val="both"/>
      </w:pPr>
      <w:r>
        <w:rPr>
          <w:color w:val="050505"/>
          <w:sz w:val="23"/>
        </w:rPr>
        <w:t xml:space="preserve">Řešiteli dílčích projektů v rámci Projektu </w:t>
      </w:r>
      <w:r w:rsidRPr="00AC5C5F">
        <w:rPr>
          <w:color w:val="050505"/>
          <w:sz w:val="23"/>
        </w:rPr>
        <w:t>NaCeBiVet</w:t>
      </w:r>
      <w:r>
        <w:rPr>
          <w:color w:val="050505"/>
          <w:sz w:val="23"/>
        </w:rPr>
        <w:t xml:space="preserve"> podpořené z jednotlivých výzev mohou být pouze osoby </w:t>
      </w:r>
      <w:r w:rsidR="00B016CF" w:rsidRPr="00B016CF">
        <w:t xml:space="preserve"> </w:t>
      </w:r>
      <w:r w:rsidR="00B016CF" w:rsidRPr="00B016CF">
        <w:rPr>
          <w:color w:val="050505"/>
          <w:sz w:val="23"/>
        </w:rPr>
        <w:t>v zaměstnaneckém poměru</w:t>
      </w:r>
      <w:r w:rsidR="00B016CF" w:rsidRPr="00B016CF">
        <w:rPr>
          <w:rStyle w:val="Odkaznakoment"/>
          <w:color w:val="050505"/>
          <w:sz w:val="23"/>
          <w:szCs w:val="22"/>
        </w:rPr>
        <w:t xml:space="preserve"> </w:t>
      </w:r>
      <w:r w:rsidR="00B016CF">
        <w:rPr>
          <w:rStyle w:val="Odkaznakoment"/>
          <w:color w:val="050505"/>
          <w:sz w:val="23"/>
          <w:szCs w:val="22"/>
        </w:rPr>
        <w:t xml:space="preserve">se </w:t>
      </w:r>
      <w:r>
        <w:rPr>
          <w:color w:val="050505"/>
          <w:sz w:val="23"/>
        </w:rPr>
        <w:t>subjekty zapojené do Centra.</w:t>
      </w:r>
    </w:p>
    <w:p w14:paraId="6394A6A3" w14:textId="77777777" w:rsidR="00AC5C5F" w:rsidRDefault="00AC5C5F" w:rsidP="00AC5C5F">
      <w:pPr>
        <w:pStyle w:val="Odstavecseseznamem"/>
        <w:numPr>
          <w:ilvl w:val="0"/>
          <w:numId w:val="7"/>
        </w:numPr>
        <w:spacing w:after="3" w:line="253" w:lineRule="auto"/>
        <w:jc w:val="both"/>
      </w:pPr>
      <w:r w:rsidRPr="00AC5C5F">
        <w:rPr>
          <w:color w:val="060606"/>
          <w:sz w:val="23"/>
        </w:rPr>
        <w:t>Dílčí projekty se předkládají k hodnocení v jednotlivých výzvách. Jednotlivé výzvy definují termíny pro předložení projektů, podrobné formální i materiální požadavky na předkládané projekty a podrobné podmínky hodnocení projektů. Znění výzvy schvaluje Rada.</w:t>
      </w:r>
    </w:p>
    <w:p w14:paraId="58C996A0" w14:textId="77777777" w:rsidR="00AC5C5F" w:rsidRDefault="00AC5C5F" w:rsidP="00AC5C5F">
      <w:pPr>
        <w:numPr>
          <w:ilvl w:val="0"/>
          <w:numId w:val="7"/>
        </w:numPr>
        <w:spacing w:after="2" w:line="254" w:lineRule="auto"/>
        <w:jc w:val="both"/>
      </w:pPr>
      <w:r>
        <w:rPr>
          <w:color w:val="050505"/>
          <w:sz w:val="23"/>
        </w:rPr>
        <w:t xml:space="preserve">Hodnocení dílčích projektů provádí Rada </w:t>
      </w:r>
      <w:r>
        <w:rPr>
          <w:color w:val="060606"/>
          <w:sz w:val="23"/>
        </w:rPr>
        <w:t>NaCeBiVet</w:t>
      </w:r>
      <w:r>
        <w:rPr>
          <w:color w:val="050505"/>
          <w:sz w:val="23"/>
        </w:rPr>
        <w:t xml:space="preserve"> na svém zasedání.</w:t>
      </w:r>
    </w:p>
    <w:p w14:paraId="48A4690B" w14:textId="0B413AC9" w:rsidR="00AC5C5F" w:rsidRDefault="00AC5C5F" w:rsidP="003C1045">
      <w:pPr>
        <w:pStyle w:val="Odstavecseseznamem"/>
        <w:numPr>
          <w:ilvl w:val="0"/>
          <w:numId w:val="7"/>
        </w:numPr>
        <w:spacing w:after="551" w:line="253" w:lineRule="auto"/>
        <w:jc w:val="both"/>
      </w:pPr>
      <w:r w:rsidRPr="003C1045">
        <w:rPr>
          <w:color w:val="060606"/>
          <w:sz w:val="23"/>
        </w:rPr>
        <w:t>Rada NaCeBiVet na základě hodnocení schvaluje dílčí projekty, přičemž může jednotlivé dílčí projekty schválit, neschválit, nebo vrátit přepracování.</w:t>
      </w:r>
      <w:r w:rsidR="003C1045" w:rsidRPr="003C1045">
        <w:rPr>
          <w:color w:val="060606"/>
          <w:sz w:val="23"/>
        </w:rPr>
        <w:t xml:space="preserve"> Rada </w:t>
      </w:r>
      <w:r w:rsidR="003C1045">
        <w:rPr>
          <w:color w:val="060606"/>
          <w:sz w:val="23"/>
        </w:rPr>
        <w:t>NaCeBiVet</w:t>
      </w:r>
      <w:r w:rsidR="003C1045" w:rsidRPr="003C1045">
        <w:rPr>
          <w:color w:val="060606"/>
          <w:sz w:val="23"/>
        </w:rPr>
        <w:t xml:space="preserve"> v rámci schvalování dílčího projektu vypracuje hodnocení, které bude součástí předávaných informací k dílčímu projektu</w:t>
      </w:r>
      <w:r w:rsidR="003C1045">
        <w:rPr>
          <w:color w:val="060606"/>
          <w:sz w:val="23"/>
        </w:rPr>
        <w:t xml:space="preserve"> pro</w:t>
      </w:r>
      <w:r w:rsidR="003C1045" w:rsidRPr="003C1045">
        <w:rPr>
          <w:color w:val="060606"/>
          <w:sz w:val="23"/>
        </w:rPr>
        <w:t xml:space="preserve"> TAČR.</w:t>
      </w:r>
    </w:p>
    <w:p w14:paraId="665E9A91" w14:textId="77777777" w:rsidR="00AC5C5F" w:rsidRDefault="00AC5C5F" w:rsidP="00AC5C5F">
      <w:pPr>
        <w:spacing w:after="85"/>
        <w:ind w:right="16"/>
        <w:jc w:val="center"/>
      </w:pPr>
      <w:r>
        <w:rPr>
          <w:color w:val="090909"/>
          <w:sz w:val="23"/>
        </w:rPr>
        <w:t xml:space="preserve">Článek 2 </w:t>
      </w:r>
    </w:p>
    <w:p w14:paraId="565CA921" w14:textId="77777777" w:rsidR="00AC5C5F" w:rsidRPr="00AC5C5F" w:rsidRDefault="00AC5C5F" w:rsidP="00AC5C5F">
      <w:pPr>
        <w:spacing w:after="102"/>
        <w:ind w:left="40" w:hanging="10"/>
        <w:jc w:val="center"/>
        <w:rPr>
          <w:b/>
          <w:color w:val="080808"/>
        </w:rPr>
      </w:pPr>
      <w:r w:rsidRPr="00AC5C5F">
        <w:rPr>
          <w:b/>
          <w:color w:val="080808"/>
        </w:rPr>
        <w:t xml:space="preserve">Formální požadavky </w:t>
      </w:r>
    </w:p>
    <w:p w14:paraId="3BD14BE1" w14:textId="77777777" w:rsidR="00AC5C5F" w:rsidRDefault="00AC5C5F" w:rsidP="00AC5C5F">
      <w:pPr>
        <w:pStyle w:val="Odstavecseseznamem"/>
        <w:numPr>
          <w:ilvl w:val="0"/>
          <w:numId w:val="8"/>
        </w:numPr>
        <w:spacing w:after="3" w:line="253" w:lineRule="auto"/>
        <w:ind w:left="709" w:hanging="425"/>
      </w:pPr>
      <w:r>
        <w:rPr>
          <w:color w:val="060606"/>
          <w:sz w:val="23"/>
        </w:rPr>
        <w:t>D</w:t>
      </w:r>
      <w:r w:rsidRPr="00AC5C5F">
        <w:rPr>
          <w:color w:val="060606"/>
          <w:sz w:val="23"/>
        </w:rPr>
        <w:t>ílčí</w:t>
      </w:r>
      <w:r>
        <w:rPr>
          <w:color w:val="060606"/>
          <w:sz w:val="23"/>
        </w:rPr>
        <w:t xml:space="preserve"> projekty se předkládají prostřednictví formuláře „Návrh dílčího projektu“</w:t>
      </w:r>
      <w:r w:rsidRPr="00AC5C5F">
        <w:rPr>
          <w:color w:val="060606"/>
          <w:sz w:val="23"/>
        </w:rPr>
        <w:t xml:space="preserve"> </w:t>
      </w:r>
      <w:r>
        <w:rPr>
          <w:color w:val="060606"/>
          <w:sz w:val="23"/>
        </w:rPr>
        <w:t>a splňují</w:t>
      </w:r>
      <w:r w:rsidRPr="00AC5C5F">
        <w:rPr>
          <w:color w:val="060606"/>
          <w:sz w:val="23"/>
        </w:rPr>
        <w:t xml:space="preserve"> nejméně následující formální náležitosti:</w:t>
      </w:r>
    </w:p>
    <w:p w14:paraId="6758B800" w14:textId="77777777" w:rsidR="00AC5C5F" w:rsidRDefault="00AC5C5F" w:rsidP="0018427B">
      <w:pPr>
        <w:numPr>
          <w:ilvl w:val="0"/>
          <w:numId w:val="15"/>
        </w:numPr>
        <w:spacing w:after="0"/>
        <w:ind w:hanging="373"/>
      </w:pPr>
      <w:r>
        <w:rPr>
          <w:color w:val="040404"/>
          <w:sz w:val="23"/>
        </w:rPr>
        <w:t>Název projektu a zkratka Dílčího projektu</w:t>
      </w:r>
    </w:p>
    <w:p w14:paraId="5197B9DB" w14:textId="77777777" w:rsidR="00AC5C5F" w:rsidRDefault="00AC5C5F" w:rsidP="0018427B">
      <w:pPr>
        <w:numPr>
          <w:ilvl w:val="0"/>
          <w:numId w:val="15"/>
        </w:numPr>
        <w:spacing w:after="3" w:line="253" w:lineRule="auto"/>
        <w:ind w:hanging="373"/>
      </w:pPr>
      <w:r>
        <w:rPr>
          <w:color w:val="060606"/>
          <w:sz w:val="23"/>
        </w:rPr>
        <w:t>Název předkládajícího člena NaCeBiVet a názvy dalších subjektů zapojených do řešení dílčího projektu</w:t>
      </w:r>
    </w:p>
    <w:p w14:paraId="44C1E8F1" w14:textId="77777777" w:rsidR="00AC5C5F" w:rsidRDefault="00AC5C5F" w:rsidP="0018427B">
      <w:pPr>
        <w:numPr>
          <w:ilvl w:val="0"/>
          <w:numId w:val="15"/>
        </w:numPr>
        <w:spacing w:after="3" w:line="253" w:lineRule="auto"/>
        <w:ind w:hanging="373"/>
      </w:pPr>
      <w:r>
        <w:rPr>
          <w:color w:val="060606"/>
          <w:sz w:val="23"/>
        </w:rPr>
        <w:t>Řešitelský tým</w:t>
      </w:r>
    </w:p>
    <w:p w14:paraId="5E122BFB" w14:textId="77777777" w:rsidR="00AC5C5F" w:rsidRDefault="00AC5C5F" w:rsidP="0018427B">
      <w:pPr>
        <w:numPr>
          <w:ilvl w:val="0"/>
          <w:numId w:val="15"/>
        </w:numPr>
        <w:spacing w:after="2" w:line="254" w:lineRule="auto"/>
        <w:ind w:hanging="373"/>
      </w:pPr>
      <w:r>
        <w:rPr>
          <w:color w:val="050505"/>
          <w:sz w:val="23"/>
        </w:rPr>
        <w:t>Položkový rozpočet</w:t>
      </w:r>
    </w:p>
    <w:p w14:paraId="7A2E327E" w14:textId="77777777" w:rsidR="00AC5C5F" w:rsidRDefault="00AC5C5F" w:rsidP="0018427B">
      <w:pPr>
        <w:numPr>
          <w:ilvl w:val="0"/>
          <w:numId w:val="15"/>
        </w:numPr>
        <w:spacing w:after="3" w:line="253" w:lineRule="auto"/>
        <w:ind w:hanging="373"/>
      </w:pPr>
      <w:r>
        <w:rPr>
          <w:color w:val="060606"/>
          <w:sz w:val="23"/>
        </w:rPr>
        <w:t>Zdůvodnění a cíle projektu</w:t>
      </w:r>
    </w:p>
    <w:p w14:paraId="595404B5" w14:textId="77777777" w:rsidR="00AC5C5F" w:rsidRDefault="00AC5C5F" w:rsidP="0018427B">
      <w:pPr>
        <w:numPr>
          <w:ilvl w:val="0"/>
          <w:numId w:val="15"/>
        </w:numPr>
        <w:spacing w:after="3" w:line="253" w:lineRule="auto"/>
        <w:ind w:hanging="373"/>
      </w:pPr>
      <w:r>
        <w:rPr>
          <w:color w:val="060606"/>
          <w:sz w:val="23"/>
        </w:rPr>
        <w:t>Stručný popis komerčního uplatnění výsledků projektu a jednotlivých milníků, včetně časového plánu řešení projektu</w:t>
      </w:r>
    </w:p>
    <w:p w14:paraId="07457431" w14:textId="77777777" w:rsidR="00AC5C5F" w:rsidRDefault="00AC5C5F" w:rsidP="0018427B">
      <w:pPr>
        <w:numPr>
          <w:ilvl w:val="0"/>
          <w:numId w:val="15"/>
        </w:numPr>
        <w:spacing w:after="3" w:line="253" w:lineRule="auto"/>
        <w:ind w:hanging="373"/>
      </w:pPr>
      <w:r>
        <w:rPr>
          <w:color w:val="060606"/>
          <w:sz w:val="23"/>
        </w:rPr>
        <w:t>Popis předpokládaných výsledků projektu</w:t>
      </w:r>
    </w:p>
    <w:p w14:paraId="0E872683" w14:textId="77777777" w:rsidR="00AC5C5F" w:rsidRDefault="00AC5C5F" w:rsidP="0018427B">
      <w:pPr>
        <w:numPr>
          <w:ilvl w:val="0"/>
          <w:numId w:val="15"/>
        </w:numPr>
        <w:spacing w:after="530" w:line="265" w:lineRule="auto"/>
        <w:ind w:hanging="373"/>
      </w:pPr>
      <w:r>
        <w:rPr>
          <w:color w:val="070707"/>
          <w:sz w:val="23"/>
        </w:rPr>
        <w:t>Návrh smlouvy o účasti na řešení Dílčího projektu</w:t>
      </w:r>
    </w:p>
    <w:p w14:paraId="71DD3798" w14:textId="77777777" w:rsidR="00AC5C5F" w:rsidRDefault="00AC5C5F" w:rsidP="00AC5C5F">
      <w:pPr>
        <w:spacing w:after="87"/>
        <w:ind w:left="31" w:right="81" w:hanging="10"/>
        <w:jc w:val="center"/>
      </w:pPr>
      <w:r>
        <w:rPr>
          <w:color w:val="0A0A0A"/>
          <w:sz w:val="23"/>
        </w:rPr>
        <w:t xml:space="preserve">Článek 3 </w:t>
      </w:r>
    </w:p>
    <w:p w14:paraId="4EAAB169" w14:textId="77777777" w:rsidR="00AC5C5F" w:rsidRDefault="00AC5C5F" w:rsidP="00AC5C5F">
      <w:pPr>
        <w:spacing w:after="102"/>
        <w:ind w:left="40" w:right="98" w:hanging="10"/>
        <w:jc w:val="center"/>
      </w:pPr>
      <w:r>
        <w:rPr>
          <w:b/>
          <w:color w:val="0A0A0A"/>
        </w:rPr>
        <w:t xml:space="preserve">Materiální požadavky </w:t>
      </w:r>
    </w:p>
    <w:p w14:paraId="0564F844" w14:textId="77777777" w:rsidR="00AC5C5F" w:rsidRDefault="00AC5C5F" w:rsidP="00AC5C5F">
      <w:pPr>
        <w:pStyle w:val="Odstavecseseznamem"/>
        <w:numPr>
          <w:ilvl w:val="0"/>
          <w:numId w:val="9"/>
        </w:numPr>
        <w:spacing w:after="0" w:line="265" w:lineRule="auto"/>
      </w:pPr>
      <w:r w:rsidRPr="00AC5C5F">
        <w:rPr>
          <w:color w:val="070707"/>
          <w:sz w:val="23"/>
        </w:rPr>
        <w:t>Dílčí projekty splňují nejméně následující materiální náležitosti:</w:t>
      </w:r>
    </w:p>
    <w:p w14:paraId="0D950A7E" w14:textId="77777777" w:rsidR="00AC5C5F" w:rsidRDefault="00AC5C5F" w:rsidP="0018427B">
      <w:pPr>
        <w:numPr>
          <w:ilvl w:val="0"/>
          <w:numId w:val="16"/>
        </w:numPr>
        <w:spacing w:after="3" w:line="253" w:lineRule="auto"/>
        <w:ind w:hanging="378"/>
      </w:pPr>
      <w:r>
        <w:rPr>
          <w:color w:val="060606"/>
          <w:sz w:val="23"/>
        </w:rPr>
        <w:t>Jsou projektem aplikovaného výzkumu, experimentálního vývoje či inovací.</w:t>
      </w:r>
    </w:p>
    <w:p w14:paraId="29C049AF" w14:textId="77777777" w:rsidR="00AC5C5F" w:rsidRDefault="00AC5C5F" w:rsidP="0018427B">
      <w:pPr>
        <w:numPr>
          <w:ilvl w:val="0"/>
          <w:numId w:val="16"/>
        </w:numPr>
        <w:spacing w:after="2" w:line="254" w:lineRule="auto"/>
        <w:ind w:hanging="378"/>
      </w:pPr>
      <w:r>
        <w:rPr>
          <w:color w:val="050505"/>
          <w:sz w:val="23"/>
        </w:rPr>
        <w:t>Jsou v souladu s cíli Centra a podmínkami stanovenými Poskytovatelem dotace.</w:t>
      </w:r>
    </w:p>
    <w:p w14:paraId="50D7841B" w14:textId="77777777" w:rsidR="00AC5C5F" w:rsidRDefault="00AC5C5F" w:rsidP="0018427B">
      <w:pPr>
        <w:numPr>
          <w:ilvl w:val="0"/>
          <w:numId w:val="16"/>
        </w:numPr>
        <w:spacing w:after="3" w:line="253" w:lineRule="auto"/>
        <w:ind w:hanging="378"/>
      </w:pPr>
      <w:r>
        <w:rPr>
          <w:color w:val="060606"/>
          <w:sz w:val="23"/>
        </w:rPr>
        <w:lastRenderedPageBreak/>
        <w:t>Podstata dílčího projektu nebo jeho části nebyla řešena v rámci jiného projektu</w:t>
      </w:r>
    </w:p>
    <w:p w14:paraId="76F3EF39" w14:textId="77777777" w:rsidR="00AC5C5F" w:rsidRDefault="00AC5C5F" w:rsidP="0018427B">
      <w:pPr>
        <w:numPr>
          <w:ilvl w:val="0"/>
          <w:numId w:val="16"/>
        </w:numPr>
        <w:spacing w:after="0"/>
        <w:ind w:hanging="378"/>
      </w:pPr>
      <w:r>
        <w:rPr>
          <w:color w:val="080808"/>
          <w:sz w:val="23"/>
        </w:rPr>
        <w:t>Předpokládané výsledky jsou nové</w:t>
      </w:r>
    </w:p>
    <w:p w14:paraId="072D61BC" w14:textId="77777777" w:rsidR="00AC5C5F" w:rsidRDefault="00AC5C5F" w:rsidP="0018427B">
      <w:pPr>
        <w:numPr>
          <w:ilvl w:val="0"/>
          <w:numId w:val="16"/>
        </w:numPr>
        <w:spacing w:after="3" w:line="253" w:lineRule="auto"/>
        <w:ind w:hanging="378"/>
      </w:pPr>
      <w:r>
        <w:rPr>
          <w:color w:val="060606"/>
          <w:sz w:val="23"/>
        </w:rPr>
        <w:t>Předpokládané výsledky jsou aplikovatelné a je pravděpodobné jejich komerční využití</w:t>
      </w:r>
    </w:p>
    <w:p w14:paraId="730B1EDE" w14:textId="77777777" w:rsidR="00AC5C5F" w:rsidRDefault="00AC5C5F" w:rsidP="0018427B">
      <w:pPr>
        <w:numPr>
          <w:ilvl w:val="0"/>
          <w:numId w:val="16"/>
        </w:numPr>
        <w:spacing w:after="3" w:line="253" w:lineRule="auto"/>
        <w:ind w:hanging="378"/>
      </w:pPr>
      <w:r>
        <w:rPr>
          <w:color w:val="060606"/>
          <w:sz w:val="23"/>
        </w:rPr>
        <w:t>Odpovídající kapacita a složení řešitelského kolektivu</w:t>
      </w:r>
    </w:p>
    <w:p w14:paraId="0CAC25FC" w14:textId="77777777" w:rsidR="00AC5C5F" w:rsidRDefault="00AC5C5F" w:rsidP="0018427B">
      <w:pPr>
        <w:numPr>
          <w:ilvl w:val="0"/>
          <w:numId w:val="16"/>
        </w:numPr>
        <w:spacing w:after="4" w:line="252" w:lineRule="auto"/>
        <w:ind w:hanging="378"/>
      </w:pPr>
      <w:r>
        <w:rPr>
          <w:color w:val="070707"/>
          <w:sz w:val="23"/>
        </w:rPr>
        <w:t xml:space="preserve">Navrhovaná výše finančních prostředků bude odpovídající pro úspěšné řešení dílčího </w:t>
      </w:r>
      <w:r>
        <w:rPr>
          <w:color w:val="040404"/>
          <w:sz w:val="23"/>
        </w:rPr>
        <w:t>projektu</w:t>
      </w:r>
    </w:p>
    <w:p w14:paraId="4339E76C" w14:textId="77777777" w:rsidR="00AC5C5F" w:rsidRDefault="00AC5C5F" w:rsidP="0018427B">
      <w:pPr>
        <w:numPr>
          <w:ilvl w:val="0"/>
          <w:numId w:val="16"/>
        </w:numPr>
        <w:spacing w:after="3" w:line="254" w:lineRule="auto"/>
        <w:ind w:hanging="378"/>
      </w:pPr>
      <w:r>
        <w:rPr>
          <w:color w:val="060606"/>
          <w:sz w:val="23"/>
        </w:rPr>
        <w:t>Navrhovaný rozpočet Dílčího projektu splňuje pravidla pro maximální míru podpory</w:t>
      </w:r>
    </w:p>
    <w:p w14:paraId="1F7000E3" w14:textId="5F1674D5" w:rsidR="00AC5C5F" w:rsidRDefault="00AC5C5F" w:rsidP="0018427B">
      <w:pPr>
        <w:numPr>
          <w:ilvl w:val="0"/>
          <w:numId w:val="16"/>
        </w:numPr>
        <w:spacing w:after="4" w:line="252" w:lineRule="auto"/>
        <w:ind w:hanging="378"/>
      </w:pPr>
      <w:r>
        <w:rPr>
          <w:color w:val="070707"/>
          <w:sz w:val="23"/>
        </w:rPr>
        <w:t xml:space="preserve">Dílčí projekt vytváří předpoklady pro dosažení kritéria příjmů </w:t>
      </w:r>
      <w:r>
        <w:rPr>
          <w:color w:val="060606"/>
          <w:sz w:val="23"/>
        </w:rPr>
        <w:t>NaCeBiVet</w:t>
      </w:r>
      <w:r w:rsidR="00B016CF">
        <w:rPr>
          <w:color w:val="060606"/>
          <w:sz w:val="23"/>
        </w:rPr>
        <w:t xml:space="preserve"> z komercializačních aktivit</w:t>
      </w:r>
      <w:r w:rsidR="00BF20A7">
        <w:rPr>
          <w:color w:val="060606"/>
          <w:sz w:val="23"/>
        </w:rPr>
        <w:t>.</w:t>
      </w:r>
    </w:p>
    <w:p w14:paraId="26DED876" w14:textId="77777777" w:rsidR="00AC5C5F" w:rsidRDefault="00AC5C5F" w:rsidP="0018427B">
      <w:pPr>
        <w:numPr>
          <w:ilvl w:val="0"/>
          <w:numId w:val="16"/>
        </w:numPr>
        <w:spacing w:after="548" w:line="252" w:lineRule="auto"/>
        <w:ind w:hanging="378"/>
      </w:pPr>
      <w:r>
        <w:rPr>
          <w:color w:val="070707"/>
          <w:sz w:val="23"/>
        </w:rPr>
        <w:t>Dílčí projekt splňuje další podmínky stanovené ve výzvě.</w:t>
      </w:r>
    </w:p>
    <w:p w14:paraId="4E22F218" w14:textId="77777777" w:rsidR="00AC5C5F" w:rsidRDefault="00AC5C5F" w:rsidP="00AC5C5F">
      <w:pPr>
        <w:spacing w:after="87"/>
        <w:ind w:right="301"/>
        <w:jc w:val="center"/>
      </w:pPr>
      <w:r>
        <w:rPr>
          <w:color w:val="0B0B0B"/>
          <w:sz w:val="23"/>
        </w:rPr>
        <w:t xml:space="preserve">Článek4 </w:t>
      </w:r>
    </w:p>
    <w:p w14:paraId="2DAE6AA5" w14:textId="77777777" w:rsidR="00AC5C5F" w:rsidRDefault="00AC5C5F" w:rsidP="00AC5C5F">
      <w:pPr>
        <w:pStyle w:val="Nadpis2"/>
        <w:spacing w:after="103" w:line="259" w:lineRule="auto"/>
        <w:ind w:left="0" w:right="321" w:firstLine="0"/>
        <w:jc w:val="center"/>
      </w:pPr>
      <w:r>
        <w:rPr>
          <w:color w:val="0B0B0B"/>
          <w:sz w:val="22"/>
        </w:rPr>
        <w:t xml:space="preserve">Hodnocení dílčích projektů </w:t>
      </w:r>
    </w:p>
    <w:p w14:paraId="173E1350" w14:textId="77777777" w:rsidR="00AC5C5F" w:rsidRDefault="00AC5C5F" w:rsidP="00AC5C5F">
      <w:pPr>
        <w:numPr>
          <w:ilvl w:val="0"/>
          <w:numId w:val="10"/>
        </w:numPr>
        <w:spacing w:after="3" w:line="254" w:lineRule="auto"/>
        <w:ind w:right="26" w:hanging="347"/>
        <w:jc w:val="both"/>
      </w:pPr>
      <w:r>
        <w:rPr>
          <w:color w:val="060606"/>
          <w:sz w:val="23"/>
        </w:rPr>
        <w:t>Rada NaCeBiVet zhodnotí splnění formálních a materiálních požadavků, přičemž Dílčí projekt, který tyto požadavky nesplňuje, nemůže být vybrán a schválen. Výsledek hodnocení včetně dalších podkladů k dílčím projektům Rada NaCeBiVet zasílá TAČR k posouzení. Připomínky k dílčím projektům TAČR jsou závazné.</w:t>
      </w:r>
    </w:p>
    <w:p w14:paraId="43778F99" w14:textId="6078F308" w:rsidR="00AC5C5F" w:rsidRDefault="00AC5C5F" w:rsidP="00AC5C5F">
      <w:pPr>
        <w:numPr>
          <w:ilvl w:val="0"/>
          <w:numId w:val="10"/>
        </w:numPr>
        <w:spacing w:after="3" w:line="254" w:lineRule="auto"/>
        <w:ind w:right="26" w:hanging="347"/>
        <w:jc w:val="both"/>
      </w:pPr>
      <w:r>
        <w:rPr>
          <w:color w:val="060606"/>
          <w:sz w:val="23"/>
        </w:rPr>
        <w:t xml:space="preserve">Rada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 xml:space="preserve">na základě míry naplnění formálních a materiálních požadavků vybere a schválí dílčí projekt. O naplnění míry materiálních požadavků rozhoduje Rada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>na základě jednotlivých materiálních požadavků samostatně a v jejich vzájemných souvislostech.</w:t>
      </w:r>
    </w:p>
    <w:p w14:paraId="5CCCA883" w14:textId="77777777" w:rsidR="00AC5C5F" w:rsidRDefault="00AC5C5F" w:rsidP="00AC5C5F">
      <w:pPr>
        <w:numPr>
          <w:ilvl w:val="0"/>
          <w:numId w:val="10"/>
        </w:numPr>
        <w:spacing w:after="3" w:line="254" w:lineRule="auto"/>
        <w:ind w:right="26" w:hanging="347"/>
        <w:jc w:val="both"/>
      </w:pPr>
      <w:r>
        <w:rPr>
          <w:color w:val="060606"/>
          <w:sz w:val="23"/>
        </w:rPr>
        <w:t xml:space="preserve">Rozhodnutí Rady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 xml:space="preserve">se přijímá na zasedání v souladu s </w:t>
      </w:r>
      <w:r w:rsidRPr="003F5B21">
        <w:rPr>
          <w:color w:val="060606"/>
          <w:sz w:val="23"/>
        </w:rPr>
        <w:t>Jednacím řádem</w:t>
      </w:r>
      <w:r w:rsidR="00460277">
        <w:rPr>
          <w:color w:val="060606"/>
          <w:sz w:val="23"/>
        </w:rPr>
        <w:t xml:space="preserve"> Rady NaCeBiVet</w:t>
      </w:r>
      <w:r w:rsidRPr="003F5B21">
        <w:rPr>
          <w:color w:val="060606"/>
          <w:sz w:val="23"/>
        </w:rPr>
        <w:t>.</w:t>
      </w:r>
    </w:p>
    <w:p w14:paraId="326991D1" w14:textId="77777777" w:rsidR="00AC5C5F" w:rsidRDefault="00AC5C5F" w:rsidP="00AC5C5F">
      <w:pPr>
        <w:numPr>
          <w:ilvl w:val="0"/>
          <w:numId w:val="10"/>
        </w:numPr>
        <w:spacing w:after="553" w:line="248" w:lineRule="auto"/>
        <w:ind w:right="26" w:hanging="347"/>
        <w:jc w:val="both"/>
      </w:pPr>
      <w:r>
        <w:rPr>
          <w:color w:val="050505"/>
          <w:sz w:val="23"/>
        </w:rPr>
        <w:t xml:space="preserve">Rada o výsledcích schvalování dílčích projektů informuje všechny členy </w:t>
      </w:r>
      <w:r w:rsidR="0018427B">
        <w:rPr>
          <w:color w:val="050505"/>
          <w:sz w:val="23"/>
        </w:rPr>
        <w:t>Centra</w:t>
      </w:r>
      <w:r>
        <w:rPr>
          <w:color w:val="050505"/>
          <w:sz w:val="23"/>
        </w:rPr>
        <w:t xml:space="preserve"> bez zbytečného odkladu.</w:t>
      </w:r>
    </w:p>
    <w:p w14:paraId="170BCBCE" w14:textId="77777777" w:rsidR="00AC5C5F" w:rsidRDefault="00AC5C5F" w:rsidP="00AC5C5F">
      <w:pPr>
        <w:spacing w:after="86"/>
        <w:ind w:right="349"/>
        <w:jc w:val="center"/>
      </w:pPr>
      <w:r>
        <w:rPr>
          <w:color w:val="050505"/>
          <w:sz w:val="23"/>
        </w:rPr>
        <w:t xml:space="preserve">Článek 5 </w:t>
      </w:r>
    </w:p>
    <w:p w14:paraId="3A965F40" w14:textId="77777777" w:rsidR="00AC5C5F" w:rsidRDefault="00AC5C5F" w:rsidP="00AC5C5F">
      <w:pPr>
        <w:spacing w:after="94"/>
        <w:jc w:val="center"/>
      </w:pPr>
      <w:r>
        <w:rPr>
          <w:b/>
          <w:color w:val="0D0D0D"/>
        </w:rPr>
        <w:t>Kontrola dílčích projektů a jejich změny</w:t>
      </w:r>
    </w:p>
    <w:p w14:paraId="35D0E3AE" w14:textId="77777777" w:rsidR="00AC5C5F" w:rsidRDefault="00AC5C5F" w:rsidP="0018427B">
      <w:pPr>
        <w:numPr>
          <w:ilvl w:val="0"/>
          <w:numId w:val="11"/>
        </w:numPr>
        <w:spacing w:after="4" w:line="248" w:lineRule="auto"/>
        <w:ind w:right="26" w:hanging="372"/>
        <w:jc w:val="both"/>
      </w:pPr>
      <w:r>
        <w:rPr>
          <w:color w:val="050505"/>
          <w:sz w:val="23"/>
        </w:rPr>
        <w:t xml:space="preserve">Řešitel </w:t>
      </w:r>
      <w:r w:rsidR="0018427B">
        <w:rPr>
          <w:color w:val="050505"/>
          <w:sz w:val="23"/>
        </w:rPr>
        <w:t>D</w:t>
      </w:r>
      <w:r>
        <w:rPr>
          <w:color w:val="050505"/>
          <w:sz w:val="23"/>
        </w:rPr>
        <w:t xml:space="preserve">ílčího projektu předkládá Radě </w:t>
      </w:r>
      <w:r w:rsidR="0018427B">
        <w:rPr>
          <w:color w:val="060606"/>
          <w:sz w:val="23"/>
        </w:rPr>
        <w:t>NaCeBiVet</w:t>
      </w:r>
      <w:r w:rsidR="0018427B">
        <w:rPr>
          <w:color w:val="050505"/>
          <w:sz w:val="23"/>
        </w:rPr>
        <w:t xml:space="preserve"> </w:t>
      </w:r>
      <w:r>
        <w:rPr>
          <w:color w:val="050505"/>
          <w:sz w:val="23"/>
        </w:rPr>
        <w:t>prostřednictvím tajemníka dílčí a závěrečnou zprávu dle požadavků dané výzvy.</w:t>
      </w:r>
    </w:p>
    <w:p w14:paraId="29BB645A" w14:textId="77777777" w:rsidR="00AC5C5F" w:rsidRDefault="00AC5C5F" w:rsidP="0018427B">
      <w:pPr>
        <w:numPr>
          <w:ilvl w:val="0"/>
          <w:numId w:val="11"/>
        </w:numPr>
        <w:spacing w:after="3" w:line="254" w:lineRule="auto"/>
        <w:ind w:right="26" w:hanging="372"/>
        <w:jc w:val="both"/>
      </w:pPr>
      <w:r>
        <w:rPr>
          <w:color w:val="060606"/>
          <w:sz w:val="23"/>
        </w:rPr>
        <w:t>Průběžná zpráva je podávána nejméně jednou za 6 měsíců řešení projektu.</w:t>
      </w:r>
    </w:p>
    <w:p w14:paraId="150597E1" w14:textId="77777777" w:rsidR="00AC5C5F" w:rsidRDefault="00AC5C5F" w:rsidP="0018427B">
      <w:pPr>
        <w:numPr>
          <w:ilvl w:val="0"/>
          <w:numId w:val="11"/>
        </w:numPr>
        <w:spacing w:after="3" w:line="254" w:lineRule="auto"/>
        <w:ind w:right="26" w:hanging="372"/>
        <w:jc w:val="both"/>
      </w:pPr>
      <w:r>
        <w:rPr>
          <w:color w:val="060606"/>
          <w:sz w:val="23"/>
        </w:rPr>
        <w:t xml:space="preserve">Rada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 xml:space="preserve">projedná průběžnou i závěrečnou zprávu. </w:t>
      </w:r>
      <w:r>
        <w:rPr>
          <w:i/>
          <w:color w:val="060606"/>
          <w:sz w:val="20"/>
        </w:rPr>
        <w:t xml:space="preserve">V </w:t>
      </w:r>
      <w:r>
        <w:rPr>
          <w:color w:val="060606"/>
          <w:sz w:val="23"/>
        </w:rPr>
        <w:t xml:space="preserve">případě, že Rada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 xml:space="preserve">shledá nedostatky v řešení dílčího projektu, přijme přiměřená opatření k odstranění těchto nedostatků. Řešitelé </w:t>
      </w:r>
      <w:r w:rsidR="0018427B">
        <w:rPr>
          <w:color w:val="060606"/>
          <w:sz w:val="23"/>
        </w:rPr>
        <w:t>D</w:t>
      </w:r>
      <w:r>
        <w:rPr>
          <w:color w:val="060606"/>
          <w:sz w:val="23"/>
        </w:rPr>
        <w:t>ílčího projektu jsou povinni tato opatření realizovat.</w:t>
      </w:r>
    </w:p>
    <w:p w14:paraId="12A05BA6" w14:textId="77777777" w:rsidR="00AC5C5F" w:rsidRDefault="00AC5C5F" w:rsidP="0018427B">
      <w:pPr>
        <w:numPr>
          <w:ilvl w:val="0"/>
          <w:numId w:val="11"/>
        </w:numPr>
        <w:spacing w:after="3" w:line="254" w:lineRule="auto"/>
        <w:ind w:right="26" w:hanging="372"/>
        <w:jc w:val="both"/>
      </w:pPr>
      <w:r>
        <w:rPr>
          <w:color w:val="060606"/>
          <w:sz w:val="23"/>
        </w:rPr>
        <w:t xml:space="preserve">V případě, že Rada </w:t>
      </w:r>
      <w:r w:rsidR="0018427B">
        <w:rPr>
          <w:color w:val="060606"/>
          <w:sz w:val="23"/>
        </w:rPr>
        <w:t xml:space="preserve">NaCeBiVet </w:t>
      </w:r>
      <w:r>
        <w:rPr>
          <w:color w:val="060606"/>
          <w:sz w:val="23"/>
        </w:rPr>
        <w:t>shledá při řešení projektu zásadní nedostatky, které nelze napravit bez vynaložení nadměrných prostředků, může Rada rozhodnout o ukončení řešení dílčího projektu.</w:t>
      </w:r>
    </w:p>
    <w:p w14:paraId="2CE898AB" w14:textId="77777777" w:rsidR="0018427B" w:rsidRPr="0018427B" w:rsidRDefault="00AC5C5F" w:rsidP="0018427B">
      <w:pPr>
        <w:pStyle w:val="Odstavecseseznamem"/>
        <w:numPr>
          <w:ilvl w:val="0"/>
          <w:numId w:val="11"/>
        </w:numPr>
        <w:spacing w:after="4" w:line="252" w:lineRule="auto"/>
        <w:ind w:left="426" w:right="26" w:hanging="426"/>
      </w:pPr>
      <w:r w:rsidRPr="0018427B">
        <w:rPr>
          <w:color w:val="050505"/>
          <w:sz w:val="23"/>
        </w:rPr>
        <w:t xml:space="preserve">Rada zejména rozhodne o ukončení projektu, pokud </w:t>
      </w:r>
    </w:p>
    <w:p w14:paraId="723595C9" w14:textId="77777777" w:rsidR="00AC5C5F" w:rsidRPr="0018427B" w:rsidRDefault="0018427B" w:rsidP="0018427B">
      <w:pPr>
        <w:numPr>
          <w:ilvl w:val="1"/>
          <w:numId w:val="17"/>
        </w:numPr>
        <w:spacing w:after="3" w:line="254" w:lineRule="auto"/>
        <w:ind w:right="13"/>
        <w:rPr>
          <w:color w:val="060606"/>
          <w:sz w:val="23"/>
        </w:rPr>
      </w:pPr>
      <w:r>
        <w:rPr>
          <w:color w:val="060606"/>
          <w:sz w:val="23"/>
        </w:rPr>
        <w:t>V</w:t>
      </w:r>
      <w:r w:rsidR="00AC5C5F" w:rsidRPr="0018427B">
        <w:rPr>
          <w:color w:val="060606"/>
          <w:sz w:val="23"/>
        </w:rPr>
        <w:t xml:space="preserve"> řešitelském týmu došlo ke změnám, které znemožňují dosažení cíle </w:t>
      </w:r>
      <w:r>
        <w:rPr>
          <w:color w:val="060606"/>
          <w:sz w:val="23"/>
        </w:rPr>
        <w:t>D</w:t>
      </w:r>
      <w:r w:rsidR="00AC5C5F" w:rsidRPr="0018427B">
        <w:rPr>
          <w:color w:val="060606"/>
          <w:sz w:val="23"/>
        </w:rPr>
        <w:t>ílčího projektu</w:t>
      </w:r>
    </w:p>
    <w:p w14:paraId="0CC02CAB" w14:textId="77777777" w:rsidR="0018427B" w:rsidRDefault="0018427B" w:rsidP="0018427B">
      <w:pPr>
        <w:numPr>
          <w:ilvl w:val="1"/>
          <w:numId w:val="17"/>
        </w:numPr>
        <w:spacing w:after="3" w:line="254" w:lineRule="auto"/>
        <w:ind w:right="13"/>
        <w:rPr>
          <w:color w:val="060606"/>
          <w:sz w:val="23"/>
        </w:rPr>
      </w:pPr>
      <w:r>
        <w:rPr>
          <w:color w:val="060606"/>
          <w:sz w:val="23"/>
        </w:rPr>
        <w:t>V</w:t>
      </w:r>
      <w:r w:rsidR="00AC5C5F" w:rsidRPr="0018427B">
        <w:rPr>
          <w:color w:val="060606"/>
          <w:sz w:val="23"/>
        </w:rPr>
        <w:t xml:space="preserve"> řízení projektu dochází k závažným nedostatkům, které znemožňují dosažení cíle </w:t>
      </w:r>
      <w:r>
        <w:rPr>
          <w:color w:val="060606"/>
          <w:sz w:val="23"/>
        </w:rPr>
        <w:t>D</w:t>
      </w:r>
      <w:r w:rsidR="00AC5C5F" w:rsidRPr="0018427B">
        <w:rPr>
          <w:color w:val="060606"/>
          <w:sz w:val="23"/>
        </w:rPr>
        <w:t xml:space="preserve">ílčího projektu, a tyto nedostatky nebyly odstraněny ani v dodatečné přiměřené lhůtě </w:t>
      </w:r>
    </w:p>
    <w:p w14:paraId="437E5E48" w14:textId="77777777" w:rsidR="00AC5C5F" w:rsidRPr="0018427B" w:rsidRDefault="00AC5C5F" w:rsidP="0018427B">
      <w:pPr>
        <w:numPr>
          <w:ilvl w:val="1"/>
          <w:numId w:val="17"/>
        </w:numPr>
        <w:spacing w:after="3" w:line="254" w:lineRule="auto"/>
        <w:ind w:right="13"/>
        <w:rPr>
          <w:color w:val="060606"/>
          <w:sz w:val="23"/>
        </w:rPr>
      </w:pPr>
      <w:r w:rsidRPr="0018427B">
        <w:rPr>
          <w:color w:val="060606"/>
          <w:sz w:val="23"/>
        </w:rPr>
        <w:lastRenderedPageBreak/>
        <w:t xml:space="preserve">výše přidělených finančních prostředků není dostatečná pro dosažení cílů </w:t>
      </w:r>
      <w:r w:rsidR="0018427B">
        <w:rPr>
          <w:color w:val="060606"/>
          <w:sz w:val="23"/>
        </w:rPr>
        <w:t>D</w:t>
      </w:r>
      <w:r w:rsidRPr="0018427B">
        <w:rPr>
          <w:color w:val="060606"/>
          <w:sz w:val="23"/>
        </w:rPr>
        <w:t>ílčího projektu</w:t>
      </w:r>
    </w:p>
    <w:p w14:paraId="61F3D8E7" w14:textId="77777777" w:rsidR="00AC5C5F" w:rsidRPr="0018427B" w:rsidRDefault="00AC5C5F" w:rsidP="0018427B">
      <w:pPr>
        <w:numPr>
          <w:ilvl w:val="1"/>
          <w:numId w:val="17"/>
        </w:numPr>
        <w:spacing w:after="3" w:line="254" w:lineRule="auto"/>
        <w:ind w:right="13"/>
        <w:rPr>
          <w:color w:val="060606"/>
          <w:sz w:val="23"/>
        </w:rPr>
      </w:pPr>
      <w:r>
        <w:rPr>
          <w:color w:val="060606"/>
          <w:sz w:val="23"/>
        </w:rPr>
        <w:t xml:space="preserve">nejsou dodržována pravidla pro financování </w:t>
      </w:r>
      <w:r w:rsidR="0018427B">
        <w:rPr>
          <w:color w:val="060606"/>
          <w:sz w:val="23"/>
        </w:rPr>
        <w:t>D</w:t>
      </w:r>
      <w:r>
        <w:rPr>
          <w:color w:val="060606"/>
          <w:sz w:val="23"/>
        </w:rPr>
        <w:t>ílčího projektu</w:t>
      </w:r>
    </w:p>
    <w:p w14:paraId="62D51392" w14:textId="77777777" w:rsidR="00AC5C5F" w:rsidRDefault="00AC5C5F" w:rsidP="0018427B">
      <w:pPr>
        <w:numPr>
          <w:ilvl w:val="1"/>
          <w:numId w:val="17"/>
        </w:numPr>
        <w:spacing w:after="4" w:line="252" w:lineRule="auto"/>
        <w:ind w:right="13"/>
      </w:pPr>
      <w:r>
        <w:rPr>
          <w:color w:val="070707"/>
          <w:sz w:val="23"/>
        </w:rPr>
        <w:t>zjevně již nebude dosaženo plánovaných výsledků projektu a nelze navrhnout jiné vyhovující výsledky.</w:t>
      </w:r>
    </w:p>
    <w:p w14:paraId="235CB955" w14:textId="77777777" w:rsidR="00AC5C5F" w:rsidRDefault="00AC5C5F" w:rsidP="0018427B">
      <w:pPr>
        <w:numPr>
          <w:ilvl w:val="0"/>
          <w:numId w:val="11"/>
        </w:numPr>
        <w:spacing w:after="4" w:line="252" w:lineRule="auto"/>
        <w:ind w:left="411" w:right="26" w:hanging="372"/>
      </w:pPr>
      <w:r>
        <w:rPr>
          <w:color w:val="070707"/>
          <w:sz w:val="23"/>
        </w:rPr>
        <w:t xml:space="preserve">Nastanou li objektivní okolnosti, které založí důvodné pochybnosti o možném dalším úspěšném pokračování a dokončení </w:t>
      </w:r>
      <w:r w:rsidR="0018427B">
        <w:rPr>
          <w:color w:val="070707"/>
          <w:sz w:val="23"/>
        </w:rPr>
        <w:t>D</w:t>
      </w:r>
      <w:r>
        <w:rPr>
          <w:color w:val="070707"/>
          <w:sz w:val="23"/>
        </w:rPr>
        <w:t xml:space="preserve">ílčího projektu, navrhne řešitel </w:t>
      </w:r>
      <w:r w:rsidR="0018427B">
        <w:rPr>
          <w:color w:val="070707"/>
          <w:sz w:val="23"/>
        </w:rPr>
        <w:t>D</w:t>
      </w:r>
      <w:r>
        <w:rPr>
          <w:color w:val="070707"/>
          <w:sz w:val="23"/>
        </w:rPr>
        <w:t>ílčího projektu Radě</w:t>
      </w:r>
    </w:p>
    <w:p w14:paraId="373EBDEF" w14:textId="77777777" w:rsidR="00AC5C5F" w:rsidRDefault="0018427B" w:rsidP="00AC5C5F">
      <w:pPr>
        <w:spacing w:after="4" w:line="252" w:lineRule="auto"/>
        <w:ind w:left="362"/>
      </w:pPr>
      <w:r>
        <w:rPr>
          <w:color w:val="070707"/>
          <w:sz w:val="23"/>
        </w:rPr>
        <w:t xml:space="preserve">NaCeBiVet </w:t>
      </w:r>
      <w:r w:rsidR="00AC5C5F">
        <w:rPr>
          <w:color w:val="070707"/>
          <w:sz w:val="23"/>
        </w:rPr>
        <w:t>jeho změnu.</w:t>
      </w:r>
    </w:p>
    <w:p w14:paraId="7D093B4F" w14:textId="77777777" w:rsidR="00AC5C5F" w:rsidRDefault="00AC5C5F" w:rsidP="0018427B">
      <w:pPr>
        <w:numPr>
          <w:ilvl w:val="0"/>
          <w:numId w:val="11"/>
        </w:numPr>
        <w:spacing w:after="785" w:line="252" w:lineRule="auto"/>
        <w:ind w:left="411" w:right="26" w:hanging="372"/>
      </w:pPr>
      <w:r>
        <w:rPr>
          <w:color w:val="070707"/>
          <w:sz w:val="23"/>
        </w:rPr>
        <w:t xml:space="preserve">Rada </w:t>
      </w:r>
      <w:r w:rsidR="0018427B">
        <w:rPr>
          <w:color w:val="070707"/>
          <w:sz w:val="23"/>
        </w:rPr>
        <w:t xml:space="preserve">NaCeBiVet </w:t>
      </w:r>
      <w:r>
        <w:rPr>
          <w:color w:val="070707"/>
          <w:sz w:val="23"/>
        </w:rPr>
        <w:t xml:space="preserve">může sama na základě informací v průběžných zprávách doporučit řešiteli provedení specifikovaných změn v </w:t>
      </w:r>
      <w:r w:rsidR="0018427B">
        <w:rPr>
          <w:color w:val="070707"/>
          <w:sz w:val="23"/>
        </w:rPr>
        <w:t>D</w:t>
      </w:r>
      <w:r>
        <w:rPr>
          <w:color w:val="070707"/>
          <w:sz w:val="23"/>
        </w:rPr>
        <w:t>ílčím projektu.</w:t>
      </w:r>
    </w:p>
    <w:p w14:paraId="66353C75" w14:textId="77777777" w:rsidR="00AC5C5F" w:rsidRDefault="00AC5C5F" w:rsidP="00AC5C5F">
      <w:pPr>
        <w:tabs>
          <w:tab w:val="center" w:pos="3606"/>
          <w:tab w:val="center" w:pos="4532"/>
        </w:tabs>
        <w:spacing w:after="0"/>
      </w:pPr>
      <w:r>
        <w:tab/>
      </w:r>
      <w:r>
        <w:rPr>
          <w:color w:val="0F0F0F"/>
          <w:sz w:val="19"/>
        </w:rPr>
        <w:t xml:space="preserve"> </w:t>
      </w:r>
    </w:p>
    <w:p w14:paraId="235D50F6" w14:textId="77777777" w:rsidR="00816E83" w:rsidRDefault="00816E83"/>
    <w:sectPr w:rsidR="00816E83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00174" w16cid:durableId="25E42CC5"/>
  <w16cid:commentId w16cid:paraId="1974A100" w16cid:durableId="25E42D1B"/>
  <w16cid:commentId w16cid:paraId="2A513905" w16cid:durableId="25E42D70"/>
  <w16cid:commentId w16cid:paraId="09053B41" w16cid:durableId="25E42D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CA75" w14:textId="77777777" w:rsidR="00BA4A6E" w:rsidRDefault="00BA4A6E" w:rsidP="00AC5C5F">
      <w:pPr>
        <w:spacing w:after="0" w:line="240" w:lineRule="auto"/>
      </w:pPr>
      <w:r>
        <w:separator/>
      </w:r>
    </w:p>
  </w:endnote>
  <w:endnote w:type="continuationSeparator" w:id="0">
    <w:p w14:paraId="5E462A42" w14:textId="77777777" w:rsidR="00BA4A6E" w:rsidRDefault="00BA4A6E" w:rsidP="00A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998F" w14:textId="77777777" w:rsidR="006E18FC" w:rsidRDefault="00460277">
    <w:pPr>
      <w:spacing w:after="0"/>
      <w:ind w:right="125"/>
      <w:jc w:val="center"/>
    </w:pPr>
    <w:r>
      <w:rPr>
        <w:color w:val="0F0F0F"/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94134C">
      <w:rPr>
        <w:noProof/>
        <w:color w:val="0F0F0F"/>
        <w:sz w:val="18"/>
      </w:rPr>
      <w:t>28</w:t>
    </w:r>
    <w:r>
      <w:rPr>
        <w:color w:val="0F0F0F"/>
        <w:sz w:val="18"/>
      </w:rPr>
      <w:fldChar w:fldCharType="end"/>
    </w:r>
    <w:r>
      <w:rPr>
        <w:color w:val="0F0F0F"/>
        <w:sz w:val="18"/>
      </w:rPr>
      <w:t xml:space="preserve"> (celkem </w:t>
    </w:r>
    <w:fldSimple w:instr=" NUMPAGES   \* MERGEFORMAT ">
      <w:r w:rsidRPr="0094134C">
        <w:rPr>
          <w:noProof/>
          <w:color w:val="0F0F0F"/>
          <w:sz w:val="18"/>
        </w:rPr>
        <w:t>32</w:t>
      </w:r>
    </w:fldSimple>
    <w:r>
      <w:rPr>
        <w:color w:val="0F0F0F"/>
        <w:sz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D139C" w14:textId="77777777" w:rsidR="006E18FC" w:rsidRDefault="00460277">
    <w:pPr>
      <w:spacing w:after="0"/>
      <w:ind w:right="125"/>
      <w:jc w:val="center"/>
    </w:pPr>
    <w:r>
      <w:rPr>
        <w:color w:val="0F0F0F"/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F0F0F"/>
        <w:sz w:val="18"/>
      </w:rPr>
      <w:t>7</w:t>
    </w:r>
    <w:r>
      <w:rPr>
        <w:color w:val="0F0F0F"/>
        <w:sz w:val="18"/>
      </w:rPr>
      <w:fldChar w:fldCharType="end"/>
    </w:r>
    <w:r>
      <w:rPr>
        <w:color w:val="0F0F0F"/>
        <w:sz w:val="18"/>
      </w:rPr>
      <w:t xml:space="preserve"> (celkem </w:t>
    </w:r>
    <w:fldSimple w:instr=" NUMPAGES   \* MERGEFORMAT ">
      <w:r>
        <w:rPr>
          <w:color w:val="0F0F0F"/>
          <w:sz w:val="18"/>
        </w:rPr>
        <w:t>27</w:t>
      </w:r>
    </w:fldSimple>
    <w:r>
      <w:rPr>
        <w:color w:val="0F0F0F"/>
        <w:sz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56ED" w14:textId="77777777" w:rsidR="00BA4A6E" w:rsidRDefault="00BA4A6E" w:rsidP="00AC5C5F">
      <w:pPr>
        <w:spacing w:after="0" w:line="240" w:lineRule="auto"/>
      </w:pPr>
      <w:r>
        <w:separator/>
      </w:r>
    </w:p>
  </w:footnote>
  <w:footnote w:type="continuationSeparator" w:id="0">
    <w:p w14:paraId="0DD8BEA9" w14:textId="77777777" w:rsidR="00BA4A6E" w:rsidRDefault="00BA4A6E" w:rsidP="00AC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05B"/>
    <w:multiLevelType w:val="hybridMultilevel"/>
    <w:tmpl w:val="28BAB842"/>
    <w:lvl w:ilvl="0" w:tplc="75D84292">
      <w:start w:val="1"/>
      <w:numFmt w:val="decimal"/>
      <w:lvlText w:val="(%1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A47DAE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9C4504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868F0A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00F90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9E0E60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346BBA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3A3604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9442B2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14DE6"/>
    <w:multiLevelType w:val="hybridMultilevel"/>
    <w:tmpl w:val="88107116"/>
    <w:lvl w:ilvl="0" w:tplc="CAE65938">
      <w:start w:val="1"/>
      <w:numFmt w:val="decimal"/>
      <w:lvlText w:val="(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CC106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E25D1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247AB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70614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F0A06E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9A4DE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2B278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C4114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61A07"/>
    <w:multiLevelType w:val="hybridMultilevel"/>
    <w:tmpl w:val="48180D36"/>
    <w:lvl w:ilvl="0" w:tplc="17A69A04">
      <w:start w:val="1"/>
      <w:numFmt w:val="lowerLetter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5CDA5C">
      <w:start w:val="1"/>
      <w:numFmt w:val="lowerLetter"/>
      <w:lvlText w:val="%2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400BB0">
      <w:start w:val="1"/>
      <w:numFmt w:val="lowerRoman"/>
      <w:lvlText w:val="%3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B4BA28">
      <w:start w:val="1"/>
      <w:numFmt w:val="decimal"/>
      <w:lvlText w:val="%4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C811A2">
      <w:start w:val="1"/>
      <w:numFmt w:val="lowerLetter"/>
      <w:lvlText w:val="%5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4408F0">
      <w:start w:val="1"/>
      <w:numFmt w:val="lowerRoman"/>
      <w:lvlText w:val="%6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B8B50C">
      <w:start w:val="1"/>
      <w:numFmt w:val="decimal"/>
      <w:lvlText w:val="%7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A25B7A">
      <w:start w:val="1"/>
      <w:numFmt w:val="lowerLetter"/>
      <w:lvlText w:val="%8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7CB7B0">
      <w:start w:val="1"/>
      <w:numFmt w:val="lowerRoman"/>
      <w:lvlText w:val="%9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E03C3"/>
    <w:multiLevelType w:val="hybridMultilevel"/>
    <w:tmpl w:val="458A4EBC"/>
    <w:lvl w:ilvl="0" w:tplc="0405000F">
      <w:start w:val="1"/>
      <w:numFmt w:val="decimal"/>
      <w:lvlText w:val="%1."/>
      <w:lvlJc w:val="left"/>
      <w:pPr>
        <w:ind w:left="1095" w:hanging="360"/>
      </w:p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F0E5B31"/>
    <w:multiLevelType w:val="hybridMultilevel"/>
    <w:tmpl w:val="5DFC01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71F4"/>
    <w:multiLevelType w:val="hybridMultilevel"/>
    <w:tmpl w:val="F9D40252"/>
    <w:lvl w:ilvl="0" w:tplc="6EE0154E">
      <w:start w:val="1"/>
      <w:numFmt w:val="lowerLetter"/>
      <w:lvlText w:val="%1.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F2EC9A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A8DDA4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DE68FC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25146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7E66C4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041EBA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920836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6464C8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B5D4A"/>
    <w:multiLevelType w:val="hybridMultilevel"/>
    <w:tmpl w:val="718203C6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B8068FE"/>
    <w:multiLevelType w:val="hybridMultilevel"/>
    <w:tmpl w:val="6A7C6FFE"/>
    <w:lvl w:ilvl="0" w:tplc="0405000F">
      <w:start w:val="1"/>
      <w:numFmt w:val="decimal"/>
      <w:lvlText w:val="%1."/>
      <w:lvlJc w:val="left"/>
      <w:pPr>
        <w:ind w:left="386"/>
      </w:pPr>
      <w:rPr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8AEE90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D6AA7C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984056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6C0F3C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7CC9E4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ACCF5E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F41CB6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8CDA7A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5A4A99"/>
    <w:multiLevelType w:val="hybridMultilevel"/>
    <w:tmpl w:val="458A4EBC"/>
    <w:lvl w:ilvl="0" w:tplc="0405000F">
      <w:start w:val="1"/>
      <w:numFmt w:val="decimal"/>
      <w:lvlText w:val="%1."/>
      <w:lvlJc w:val="left"/>
      <w:pPr>
        <w:ind w:left="1095" w:hanging="360"/>
      </w:p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21657BC"/>
    <w:multiLevelType w:val="hybridMultilevel"/>
    <w:tmpl w:val="12827526"/>
    <w:lvl w:ilvl="0" w:tplc="04050017">
      <w:start w:val="1"/>
      <w:numFmt w:val="lowerLetter"/>
      <w:lvlText w:val="%1)"/>
      <w:lvlJc w:val="left"/>
      <w:pPr>
        <w:ind w:left="1435"/>
      </w:pPr>
      <w:rPr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5CDA5C">
      <w:start w:val="1"/>
      <w:numFmt w:val="lowerLetter"/>
      <w:lvlText w:val="%2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400BB0">
      <w:start w:val="1"/>
      <w:numFmt w:val="lowerRoman"/>
      <w:lvlText w:val="%3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B4BA28">
      <w:start w:val="1"/>
      <w:numFmt w:val="decimal"/>
      <w:lvlText w:val="%4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C811A2">
      <w:start w:val="1"/>
      <w:numFmt w:val="lowerLetter"/>
      <w:lvlText w:val="%5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4408F0">
      <w:start w:val="1"/>
      <w:numFmt w:val="lowerRoman"/>
      <w:lvlText w:val="%6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B8B50C">
      <w:start w:val="1"/>
      <w:numFmt w:val="decimal"/>
      <w:lvlText w:val="%7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A25B7A">
      <w:start w:val="1"/>
      <w:numFmt w:val="lowerLetter"/>
      <w:lvlText w:val="%8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7CB7B0">
      <w:start w:val="1"/>
      <w:numFmt w:val="lowerRoman"/>
      <w:lvlText w:val="%9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4040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8C03C0"/>
    <w:multiLevelType w:val="hybridMultilevel"/>
    <w:tmpl w:val="1150A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C1B02"/>
    <w:multiLevelType w:val="hybridMultilevel"/>
    <w:tmpl w:val="AFDE7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559B"/>
    <w:multiLevelType w:val="hybridMultilevel"/>
    <w:tmpl w:val="E1983724"/>
    <w:lvl w:ilvl="0" w:tplc="D2C8C7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446A7C">
      <w:start w:val="4"/>
      <w:numFmt w:val="lowerLetter"/>
      <w:lvlText w:val="%2)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84438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42844E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C69FB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B0D26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02335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42D59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F2518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4E306E"/>
    <w:multiLevelType w:val="hybridMultilevel"/>
    <w:tmpl w:val="4EF21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81755"/>
    <w:multiLevelType w:val="hybridMultilevel"/>
    <w:tmpl w:val="8280DEF2"/>
    <w:lvl w:ilvl="0" w:tplc="0405000F">
      <w:start w:val="1"/>
      <w:numFmt w:val="decimal"/>
      <w:lvlText w:val="%1."/>
      <w:lvlJc w:val="left"/>
      <w:pPr>
        <w:ind w:left="410"/>
      </w:pPr>
      <w:rPr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CC106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E25D1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247AB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70614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F0A06E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9A4DE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2B278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C4114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43307B"/>
    <w:multiLevelType w:val="hybridMultilevel"/>
    <w:tmpl w:val="10CE1658"/>
    <w:lvl w:ilvl="0" w:tplc="A844BC3C">
      <w:start w:val="1"/>
      <w:numFmt w:val="decimal"/>
      <w:lvlText w:val="(%1)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8AEE90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D6AA7C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984056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6C0F3C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7CC9E4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ACCF5E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F41CB6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8CDA7A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601B51"/>
    <w:multiLevelType w:val="hybridMultilevel"/>
    <w:tmpl w:val="5F98D47A"/>
    <w:lvl w:ilvl="0" w:tplc="04050017">
      <w:start w:val="1"/>
      <w:numFmt w:val="lowerLetter"/>
      <w:lvlText w:val="%1)"/>
      <w:lvlJc w:val="left"/>
      <w:pPr>
        <w:ind w:left="1432"/>
      </w:pPr>
      <w:rPr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F2EC9A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A8DDA4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DE68FC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25146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7E66C4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041EBA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920836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6464C8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6060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5F"/>
    <w:rsid w:val="00060106"/>
    <w:rsid w:val="000E2A5D"/>
    <w:rsid w:val="000F4F8D"/>
    <w:rsid w:val="0018427B"/>
    <w:rsid w:val="00361F76"/>
    <w:rsid w:val="003C1045"/>
    <w:rsid w:val="003F5B21"/>
    <w:rsid w:val="00460277"/>
    <w:rsid w:val="00771994"/>
    <w:rsid w:val="00816E83"/>
    <w:rsid w:val="00A90406"/>
    <w:rsid w:val="00AC5C5F"/>
    <w:rsid w:val="00B016CF"/>
    <w:rsid w:val="00BA4A6E"/>
    <w:rsid w:val="00BD748E"/>
    <w:rsid w:val="00BF20A7"/>
    <w:rsid w:val="00E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3FFD"/>
  <w15:chartTrackingRefBased/>
  <w15:docId w15:val="{2042BD28-BFBF-4344-B3D4-25E7869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C5F"/>
    <w:pPr>
      <w:spacing w:after="160" w:line="259" w:lineRule="auto"/>
    </w:pPr>
    <w:rPr>
      <w:rFonts w:ascii="Calibri" w:eastAsia="Calibri" w:hAnsi="Calibri" w:cs="Calibri"/>
      <w:color w:val="000000"/>
      <w:sz w:val="22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C5C5F"/>
    <w:pPr>
      <w:keepNext/>
      <w:keepLines/>
      <w:spacing w:after="21" w:line="261" w:lineRule="auto"/>
      <w:ind w:left="1409" w:right="789" w:hanging="2"/>
      <w:outlineLvl w:val="1"/>
    </w:pPr>
    <w:rPr>
      <w:rFonts w:ascii="Calibri" w:eastAsia="Calibri" w:hAnsi="Calibri" w:cs="Calibri"/>
      <w:b/>
      <w:color w:val="020002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5C5F"/>
    <w:rPr>
      <w:rFonts w:ascii="Calibri" w:eastAsia="Calibri" w:hAnsi="Calibri" w:cs="Calibri"/>
      <w:b/>
      <w:color w:val="020002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C5F"/>
    <w:rPr>
      <w:rFonts w:ascii="Calibri" w:eastAsia="Calibri" w:hAnsi="Calibri" w:cs="Calibri"/>
      <w:color w:val="000000"/>
      <w:sz w:val="22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C5F"/>
    <w:rPr>
      <w:rFonts w:ascii="Calibri" w:eastAsia="Calibri" w:hAnsi="Calibri" w:cs="Calibri"/>
      <w:color w:val="000000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AC5C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01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1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106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10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106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Csölle Putzová</dc:creator>
  <cp:keywords/>
  <dc:description/>
  <cp:lastModifiedBy>Jan Rázek</cp:lastModifiedBy>
  <cp:revision>2</cp:revision>
  <dcterms:created xsi:type="dcterms:W3CDTF">2022-04-05T05:48:00Z</dcterms:created>
  <dcterms:modified xsi:type="dcterms:W3CDTF">2022-04-05T05:48:00Z</dcterms:modified>
</cp:coreProperties>
</file>