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96DC" w14:textId="77777777" w:rsidR="00F409B1" w:rsidRPr="00C32586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4"/>
        </w:rPr>
      </w:pPr>
      <w:r w:rsidRPr="00C32586">
        <w:rPr>
          <w:rFonts w:asciiTheme="minorHAnsi" w:hAnsiTheme="minorHAnsi" w:cstheme="minorHAnsi"/>
          <w:b/>
          <w:sz w:val="28"/>
          <w:szCs w:val="24"/>
        </w:rPr>
        <w:t>Smlouva o poskytnutí obratového bonusu</w:t>
      </w:r>
    </w:p>
    <w:p w14:paraId="6283A478" w14:textId="77777777"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5388EF8A" w:rsidR="00F409B1" w:rsidRPr="00B154C2" w:rsidRDefault="00CF4D9A" w:rsidP="00CF4D9A">
      <w:pPr>
        <w:rPr>
          <w:rFonts w:asciiTheme="minorHAnsi" w:hAnsiTheme="minorHAnsi" w:cstheme="minorHAnsi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A.M</w:t>
      </w:r>
      <w:r w:rsidR="00E233B7" w:rsidRPr="00B154C2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B154C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Fonts w:asciiTheme="minorHAnsi" w:hAnsiTheme="minorHAnsi" w:cstheme="minorHAnsi"/>
          <w:b/>
          <w:sz w:val="22"/>
        </w:rPr>
        <w:t xml:space="preserve">  republika s.r.o</w:t>
      </w:r>
      <w:r w:rsidR="00C32586">
        <w:rPr>
          <w:rFonts w:asciiTheme="minorHAnsi" w:hAnsiTheme="minorHAnsi" w:cstheme="minorHAnsi"/>
          <w:b/>
          <w:sz w:val="22"/>
        </w:rPr>
        <w:t>.</w:t>
      </w:r>
      <w:r w:rsidRPr="00B154C2">
        <w:rPr>
          <w:rFonts w:asciiTheme="minorHAnsi" w:hAnsiTheme="minorHAnsi" w:cstheme="minorHAnsi"/>
        </w:rPr>
        <w:t xml:space="preserve"> </w:t>
      </w:r>
    </w:p>
    <w:p w14:paraId="6FF106E3" w14:textId="1C17D0D1"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</w:p>
    <w:p w14:paraId="0CA230DF" w14:textId="58B2ADAD"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7C5E84">
        <w:rPr>
          <w:rFonts w:asciiTheme="minorHAnsi" w:hAnsiTheme="minorHAnsi" w:cstheme="minorHAnsi"/>
          <w:sz w:val="22"/>
        </w:rPr>
        <w:t>O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14:paraId="45399EF9" w14:textId="59BDB830"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14:paraId="4E9486A1" w14:textId="5E4FEA51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14:paraId="4A3A98A6" w14:textId="3ADD204F"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14:paraId="54B5B538" w14:textId="77777777" w:rsidR="007C5E84" w:rsidRPr="00B154C2" w:rsidRDefault="007C5E84" w:rsidP="007C5E84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Pr="00B154C2">
        <w:rPr>
          <w:rFonts w:asciiTheme="minorHAnsi" w:hAnsiTheme="minorHAnsi" w:cstheme="minorHAnsi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 xml:space="preserve">Městský soudem v Praze, </w:t>
      </w:r>
      <w:proofErr w:type="spellStart"/>
      <w:r w:rsidRPr="00B154C2">
        <w:rPr>
          <w:rFonts w:asciiTheme="minorHAnsi" w:hAnsiTheme="minorHAnsi" w:cstheme="minorHAnsi"/>
          <w:sz w:val="22"/>
        </w:rPr>
        <w:t>sp</w:t>
      </w:r>
      <w:proofErr w:type="spellEnd"/>
      <w:r w:rsidRPr="00B154C2">
        <w:rPr>
          <w:rFonts w:asciiTheme="minorHAnsi" w:hAnsiTheme="minorHAnsi" w:cstheme="minorHAnsi"/>
          <w:sz w:val="22"/>
        </w:rPr>
        <w:t xml:space="preserve">. zn. C123101 </w:t>
      </w:r>
    </w:p>
    <w:p w14:paraId="44FF02ED" w14:textId="2B0C4C54" w:rsidR="007B577A" w:rsidRPr="00B154C2" w:rsidRDefault="00630ABD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B154C2">
        <w:rPr>
          <w:rFonts w:asciiTheme="minorHAnsi" w:hAnsiTheme="minorHAnsi" w:cstheme="minorHAnsi"/>
          <w:sz w:val="22"/>
        </w:rPr>
        <w:t>dále jen „</w:t>
      </w:r>
      <w:r w:rsidR="000A73C0" w:rsidRPr="00B154C2">
        <w:rPr>
          <w:rFonts w:asciiTheme="minorHAnsi" w:hAnsiTheme="minorHAnsi" w:cstheme="minorHAnsi"/>
          <w:b/>
          <w:sz w:val="22"/>
        </w:rPr>
        <w:t>Společnost</w:t>
      </w:r>
      <w:r w:rsidR="000A73C0" w:rsidRPr="00B154C2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14:paraId="06202A26" w14:textId="77777777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12D944D6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14:paraId="34327B04" w14:textId="7455FF37"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5B0C4129" w14:textId="77777777" w:rsidR="008015DE" w:rsidRPr="004B3477" w:rsidRDefault="008015DE" w:rsidP="008015DE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sz w:val="22"/>
        </w:rPr>
      </w:pPr>
      <w:r w:rsidRPr="004B3477">
        <w:rPr>
          <w:rFonts w:asciiTheme="minorHAnsi" w:hAnsiTheme="minorHAnsi" w:cstheme="minorHAnsi"/>
          <w:b/>
          <w:sz w:val="22"/>
        </w:rPr>
        <w:t>Nemocnice Na Homolce</w:t>
      </w:r>
    </w:p>
    <w:p w14:paraId="002CBA02" w14:textId="502D4C57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sídlo: </w:t>
      </w:r>
      <w:r w:rsidRPr="004B3477">
        <w:rPr>
          <w:rFonts w:asciiTheme="minorHAnsi" w:hAnsiTheme="minorHAnsi" w:cstheme="minorHAnsi"/>
          <w:sz w:val="22"/>
        </w:rPr>
        <w:tab/>
      </w:r>
    </w:p>
    <w:p w14:paraId="4EE898B8" w14:textId="74D6970B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IČO: </w:t>
      </w:r>
      <w:r w:rsidRPr="004B3477">
        <w:rPr>
          <w:rFonts w:asciiTheme="minorHAnsi" w:hAnsiTheme="minorHAnsi" w:cstheme="minorHAnsi"/>
          <w:sz w:val="22"/>
        </w:rPr>
        <w:tab/>
      </w:r>
      <w:r w:rsidRPr="004B3477">
        <w:rPr>
          <w:rFonts w:asciiTheme="minorHAnsi" w:hAnsiTheme="minorHAnsi" w:cstheme="minorHAnsi"/>
          <w:sz w:val="22"/>
        </w:rPr>
        <w:tab/>
      </w:r>
    </w:p>
    <w:p w14:paraId="4C37BB50" w14:textId="676D8159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>DIČ:</w:t>
      </w:r>
      <w:r w:rsidRPr="004B3477">
        <w:rPr>
          <w:rFonts w:asciiTheme="minorHAnsi" w:hAnsiTheme="minorHAnsi" w:cstheme="minorHAnsi"/>
          <w:sz w:val="22"/>
        </w:rPr>
        <w:tab/>
      </w:r>
      <w:r w:rsidRPr="004B3477">
        <w:rPr>
          <w:rFonts w:asciiTheme="minorHAnsi" w:hAnsiTheme="minorHAnsi" w:cstheme="minorHAnsi"/>
          <w:sz w:val="22"/>
        </w:rPr>
        <w:tab/>
      </w:r>
    </w:p>
    <w:p w14:paraId="1119C694" w14:textId="6F081303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číslo účtu: </w:t>
      </w:r>
      <w:r w:rsidRPr="004B3477">
        <w:rPr>
          <w:rFonts w:asciiTheme="minorHAnsi" w:hAnsiTheme="minorHAnsi" w:cstheme="minorHAnsi"/>
          <w:sz w:val="22"/>
        </w:rPr>
        <w:tab/>
      </w:r>
    </w:p>
    <w:p w14:paraId="24E3DF6E" w14:textId="23CE5892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zastoupená: </w:t>
      </w:r>
      <w:r w:rsidRPr="004B3477">
        <w:rPr>
          <w:rFonts w:asciiTheme="minorHAnsi" w:hAnsiTheme="minorHAnsi" w:cstheme="minorHAnsi"/>
          <w:sz w:val="22"/>
        </w:rPr>
        <w:tab/>
      </w:r>
    </w:p>
    <w:p w14:paraId="54FF3343" w14:textId="77777777" w:rsidR="008015DE" w:rsidRPr="004B3477" w:rsidRDefault="008015DE" w:rsidP="008015D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>státní příspěvková organizace zřízená Ministerstvem zdravotnictví České republiky</w:t>
      </w:r>
    </w:p>
    <w:p w14:paraId="1021907A" w14:textId="77777777" w:rsidR="00630ABD" w:rsidRDefault="00630ABD" w:rsidP="001C43F6">
      <w:pPr>
        <w:spacing w:after="12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8015DE" w:rsidRPr="004B3477">
        <w:rPr>
          <w:rFonts w:asciiTheme="minorHAnsi" w:hAnsiTheme="minorHAnsi" w:cstheme="minorHAnsi"/>
          <w:sz w:val="22"/>
        </w:rPr>
        <w:t>dále jen „</w:t>
      </w:r>
      <w:r w:rsidR="008015DE" w:rsidRPr="004B3477">
        <w:rPr>
          <w:rFonts w:asciiTheme="minorHAnsi" w:hAnsiTheme="minorHAnsi" w:cstheme="minorHAnsi"/>
          <w:b/>
          <w:sz w:val="22"/>
        </w:rPr>
        <w:t>Odběratel</w:t>
      </w:r>
      <w:r w:rsidR="008015DE" w:rsidRPr="004B3477">
        <w:rPr>
          <w:rFonts w:asciiTheme="minorHAnsi" w:hAnsiTheme="minorHAnsi" w:cstheme="minorHAnsi"/>
          <w:sz w:val="22"/>
        </w:rPr>
        <w:t>“</w:t>
      </w:r>
      <w:r>
        <w:rPr>
          <w:rFonts w:asciiTheme="minorHAnsi" w:hAnsiTheme="minorHAnsi" w:cstheme="minorHAnsi"/>
          <w:sz w:val="22"/>
        </w:rPr>
        <w:t>)</w:t>
      </w:r>
    </w:p>
    <w:p w14:paraId="2EF39C64" w14:textId="7CE2BFC4" w:rsidR="007F04CC" w:rsidRDefault="00630ABD" w:rsidP="001C43F6">
      <w:pPr>
        <w:spacing w:after="12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(společně dále jen „</w:t>
      </w:r>
      <w:r w:rsidRPr="001C43F6">
        <w:rPr>
          <w:rFonts w:asciiTheme="minorHAnsi" w:hAnsiTheme="minorHAnsi" w:cstheme="minorHAnsi"/>
          <w:b/>
          <w:sz w:val="22"/>
        </w:rPr>
        <w:t>smluvní strany</w:t>
      </w:r>
      <w:r>
        <w:rPr>
          <w:rFonts w:asciiTheme="minorHAnsi" w:hAnsiTheme="minorHAnsi" w:cstheme="minorHAnsi"/>
          <w:sz w:val="22"/>
        </w:rPr>
        <w:t>“ nebo jednotlivě „</w:t>
      </w:r>
      <w:r w:rsidRPr="001C43F6">
        <w:rPr>
          <w:rFonts w:asciiTheme="minorHAnsi" w:hAnsiTheme="minorHAnsi" w:cstheme="minorHAnsi"/>
          <w:b/>
          <w:sz w:val="22"/>
        </w:rPr>
        <w:t>smluvní strana</w:t>
      </w:r>
      <w:r>
        <w:rPr>
          <w:rFonts w:asciiTheme="minorHAnsi" w:hAnsiTheme="minorHAnsi" w:cstheme="minorHAnsi"/>
          <w:sz w:val="22"/>
        </w:rPr>
        <w:t>“)</w:t>
      </w:r>
      <w:r w:rsidR="00383C5D" w:rsidRPr="00B154C2">
        <w:rPr>
          <w:rFonts w:asciiTheme="minorHAnsi" w:hAnsiTheme="minorHAnsi" w:cstheme="minorHAnsi"/>
          <w:sz w:val="22"/>
        </w:rPr>
        <w:t xml:space="preserve"> </w:t>
      </w:r>
    </w:p>
    <w:p w14:paraId="2D970923" w14:textId="4BA21DE4" w:rsidR="00F409B1" w:rsidRDefault="000A73C0" w:rsidP="001C43F6">
      <w:pPr>
        <w:spacing w:after="12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</w:t>
      </w:r>
      <w:r w:rsidR="00971327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 xml:space="preserve">občanského zákoníku </w:t>
      </w:r>
      <w:r w:rsidR="00971327">
        <w:rPr>
          <w:rFonts w:asciiTheme="minorHAnsi" w:hAnsiTheme="minorHAnsi" w:cstheme="minorHAnsi"/>
          <w:sz w:val="22"/>
        </w:rPr>
        <w:t xml:space="preserve">(dále jen „občanský zákoník“), ve znění pozdějších předpisů </w:t>
      </w:r>
      <w:r w:rsidRPr="00B154C2">
        <w:rPr>
          <w:rFonts w:asciiTheme="minorHAnsi" w:hAnsiTheme="minorHAnsi" w:cstheme="minorHAnsi"/>
          <w:sz w:val="22"/>
        </w:rPr>
        <w:t>tuto</w:t>
      </w:r>
    </w:p>
    <w:p w14:paraId="164646B4" w14:textId="77777777" w:rsidR="00F409B1" w:rsidRPr="00C32586" w:rsidRDefault="000A73C0" w:rsidP="001C43F6">
      <w:pPr>
        <w:spacing w:after="12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</w:rPr>
      </w:pPr>
      <w:r w:rsidRPr="00C32586">
        <w:rPr>
          <w:rFonts w:asciiTheme="minorHAnsi" w:hAnsiTheme="minorHAnsi" w:cstheme="minorHAnsi"/>
          <w:b/>
          <w:sz w:val="24"/>
        </w:rPr>
        <w:t>Smlouvu o poskytnutí obratového bonusu</w:t>
      </w:r>
    </w:p>
    <w:p w14:paraId="7733AEB6" w14:textId="77777777" w:rsidR="00FF32EB" w:rsidRPr="00B154C2" w:rsidRDefault="00BA3045" w:rsidP="001C43F6">
      <w:pPr>
        <w:spacing w:after="12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Preambule </w:t>
      </w:r>
    </w:p>
    <w:p w14:paraId="14C27188" w14:textId="25618AD2" w:rsidR="009638A4" w:rsidRDefault="000A73C0" w:rsidP="001C43F6">
      <w:pPr>
        <w:spacing w:after="12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4C2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B154C2">
        <w:rPr>
          <w:rFonts w:asciiTheme="minorHAnsi" w:hAnsiTheme="minorHAnsi" w:cstheme="minorHAnsi"/>
          <w:b/>
          <w:sz w:val="22"/>
        </w:rPr>
        <w:t>Distribuční síť</w:t>
      </w:r>
      <w:r w:rsidRPr="00B154C2">
        <w:rPr>
          <w:rFonts w:asciiTheme="minorHAnsi" w:hAnsiTheme="minorHAnsi" w:cstheme="minorHAnsi"/>
          <w:sz w:val="22"/>
        </w:rPr>
        <w:t xml:space="preserve">') </w:t>
      </w:r>
      <w:r w:rsidR="00340158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uvedené v Přílo</w:t>
      </w:r>
      <w:r w:rsidR="006478AB" w:rsidRPr="00B154C2">
        <w:rPr>
          <w:rFonts w:asciiTheme="minorHAnsi" w:hAnsiTheme="minorHAnsi" w:cstheme="minorHAnsi"/>
          <w:sz w:val="22"/>
        </w:rPr>
        <w:t>ze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780B09" w:rsidRPr="00B154C2">
        <w:rPr>
          <w:rFonts w:asciiTheme="minorHAnsi" w:hAnsiTheme="minorHAnsi" w:cstheme="minorHAnsi"/>
          <w:sz w:val="22"/>
        </w:rPr>
        <w:t xml:space="preserve">č. </w:t>
      </w:r>
      <w:r w:rsidRPr="00B154C2">
        <w:rPr>
          <w:rFonts w:asciiTheme="minorHAnsi" w:hAnsiTheme="minorHAnsi" w:cstheme="minorHAnsi"/>
          <w:sz w:val="22"/>
        </w:rPr>
        <w:t>2 této smlouvy</w:t>
      </w:r>
      <w:r w:rsidR="00780B09" w:rsidRPr="00B154C2">
        <w:rPr>
          <w:rFonts w:asciiTheme="minorHAnsi" w:hAnsiTheme="minorHAnsi" w:cstheme="minorHAnsi"/>
          <w:sz w:val="22"/>
        </w:rPr>
        <w:t xml:space="preserve"> (dále jen „</w:t>
      </w:r>
      <w:r w:rsidR="00780B09" w:rsidRPr="00B154C2">
        <w:rPr>
          <w:rFonts w:asciiTheme="minorHAnsi" w:hAnsiTheme="minorHAnsi" w:cstheme="minorHAnsi"/>
          <w:b/>
          <w:sz w:val="22"/>
        </w:rPr>
        <w:t>Zboží</w:t>
      </w:r>
      <w:r w:rsidR="00780B09" w:rsidRPr="00B154C2">
        <w:rPr>
          <w:rFonts w:asciiTheme="minorHAnsi" w:hAnsiTheme="minorHAnsi" w:cstheme="minorHAnsi"/>
          <w:sz w:val="22"/>
        </w:rPr>
        <w:t>“)</w:t>
      </w:r>
      <w:r w:rsidRPr="00B154C2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B154C2">
        <w:rPr>
          <w:rFonts w:asciiTheme="minorHAnsi" w:hAnsiTheme="minorHAnsi" w:cstheme="minorHAnsi"/>
          <w:sz w:val="22"/>
        </w:rPr>
        <w:t>Jednotlivé k</w:t>
      </w:r>
      <w:r w:rsidRPr="00B154C2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E41E51" w:rsidRPr="00B154C2">
        <w:rPr>
          <w:rFonts w:asciiTheme="minorHAnsi" w:hAnsiTheme="minorHAnsi" w:cstheme="minorHAnsi"/>
          <w:sz w:val="22"/>
        </w:rPr>
        <w:t>uzavřené mezi příslušným distributorem a</w:t>
      </w:r>
      <w:r w:rsidR="00BC5D2A">
        <w:rPr>
          <w:rFonts w:asciiTheme="minorHAnsi" w:hAnsiTheme="minorHAnsi" w:cstheme="minorHAnsi"/>
          <w:sz w:val="22"/>
        </w:rPr>
        <w:t> </w:t>
      </w:r>
      <w:r w:rsidR="00E41E51" w:rsidRPr="00B154C2">
        <w:rPr>
          <w:rFonts w:asciiTheme="minorHAnsi" w:hAnsiTheme="minorHAnsi" w:cstheme="minorHAnsi"/>
          <w:sz w:val="22"/>
        </w:rPr>
        <w:t xml:space="preserve">Odběratelem </w:t>
      </w:r>
      <w:r w:rsidRPr="00B154C2">
        <w:rPr>
          <w:rFonts w:asciiTheme="minorHAnsi" w:hAnsiTheme="minorHAnsi" w:cstheme="minorHAnsi"/>
          <w:sz w:val="22"/>
        </w:rPr>
        <w:t xml:space="preserve">nejsou </w:t>
      </w:r>
      <w:r w:rsidR="001A280F" w:rsidRPr="00B154C2">
        <w:rPr>
          <w:rFonts w:asciiTheme="minorHAnsi" w:hAnsiTheme="minorHAnsi" w:cstheme="minorHAnsi"/>
          <w:sz w:val="22"/>
        </w:rPr>
        <w:t>t</w:t>
      </w:r>
      <w:r w:rsidR="00E41E51" w:rsidRPr="00B154C2">
        <w:rPr>
          <w:rFonts w:asciiTheme="minorHAnsi" w:hAnsiTheme="minorHAnsi" w:cstheme="minorHAnsi"/>
          <w:sz w:val="22"/>
        </w:rPr>
        <w:t>outo</w:t>
      </w:r>
      <w:r w:rsidR="001A280F" w:rsidRPr="00B154C2">
        <w:rPr>
          <w:rFonts w:asciiTheme="minorHAnsi" w:hAnsiTheme="minorHAnsi" w:cstheme="minorHAnsi"/>
          <w:sz w:val="22"/>
        </w:rPr>
        <w:t xml:space="preserve"> smlouv</w:t>
      </w:r>
      <w:r w:rsidR="00E41E51" w:rsidRPr="00B154C2">
        <w:rPr>
          <w:rFonts w:asciiTheme="minorHAnsi" w:hAnsiTheme="minorHAnsi" w:cstheme="minorHAnsi"/>
          <w:sz w:val="22"/>
        </w:rPr>
        <w:t>ou</w:t>
      </w:r>
      <w:r w:rsidR="004817E1" w:rsidRPr="00B154C2">
        <w:rPr>
          <w:rFonts w:asciiTheme="minorHAnsi" w:hAnsiTheme="minorHAnsi" w:cstheme="minorHAnsi"/>
          <w:sz w:val="22"/>
        </w:rPr>
        <w:t xml:space="preserve"> </w:t>
      </w:r>
      <w:r w:rsidR="006540A2" w:rsidRPr="00B154C2">
        <w:rPr>
          <w:rFonts w:asciiTheme="minorHAnsi" w:hAnsiTheme="minorHAnsi" w:cstheme="minorHAnsi"/>
          <w:sz w:val="22"/>
        </w:rPr>
        <w:t xml:space="preserve">nijak </w:t>
      </w:r>
      <w:r w:rsidR="00A67214" w:rsidRPr="00B154C2">
        <w:rPr>
          <w:rFonts w:asciiTheme="minorHAnsi" w:hAnsiTheme="minorHAnsi" w:cstheme="minorHAnsi"/>
          <w:sz w:val="22"/>
        </w:rPr>
        <w:t>dotčeny</w:t>
      </w:r>
      <w:r w:rsidR="00D71E0A" w:rsidRPr="00B154C2">
        <w:rPr>
          <w:rFonts w:asciiTheme="minorHAnsi" w:hAnsiTheme="minorHAnsi" w:cstheme="minorHAnsi"/>
          <w:sz w:val="22"/>
        </w:rPr>
        <w:t>.</w:t>
      </w:r>
    </w:p>
    <w:p w14:paraId="0BE602E0" w14:textId="77777777" w:rsidR="00F409B1" w:rsidRPr="00B154C2" w:rsidRDefault="00FF32EB" w:rsidP="001C43F6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Pr="00B154C2" w:rsidRDefault="000A73C0" w:rsidP="001C43F6">
      <w:pPr>
        <w:spacing w:after="12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14:paraId="7435F721" w14:textId="4271238A" w:rsidR="00D07BE0" w:rsidRPr="00B154C2" w:rsidRDefault="00D07BE0" w:rsidP="001C43F6">
      <w:pPr>
        <w:numPr>
          <w:ilvl w:val="0"/>
          <w:numId w:val="1"/>
        </w:numPr>
        <w:spacing w:after="12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Společnost se zavazuje prostřednictvím distributora poskytnout Odběrateli obratový bonus (dále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br/>
        <w:t>jen „</w:t>
      </w:r>
      <w:r w:rsidRPr="00B154C2">
        <w:rPr>
          <w:rFonts w:asciiTheme="minorHAnsi" w:hAnsiTheme="minorHAnsi" w:cs="Arial"/>
          <w:b/>
          <w:bCs/>
          <w:iCs/>
          <w:color w:val="222222"/>
          <w:sz w:val="22"/>
          <w:shd w:val="clear" w:color="auto" w:fill="FFFFFF"/>
        </w:rPr>
        <w:t>Bonus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”) za odběr Zboží za podmínek uvedených v Příloze č. 1 této smlouvy a v tam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br/>
        <w:t>uvedené výši</w:t>
      </w:r>
      <w:r w:rsidR="006D3EB3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, pokud budou splněny všechny potřebné podmínky pro jeho posky</w:t>
      </w:r>
      <w:r w:rsidR="002D6E7A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tnutí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. Bonus bude vypočten podle Přílohy č. 1 této smlouvy samostatně pro v Příloze č. 2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br/>
        <w:t>této smlouvy uvedené Zboží </w:t>
      </w:r>
      <w:r w:rsidR="00F17E26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 odebrané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na zákaznických číslech uvedených v Příloze č. 3 </w:t>
      </w:r>
      <w:r w:rsidR="007A3B7F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této smlouvy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a pro každé</w:t>
      </w:r>
      <w:r w:rsidR="00A67E78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 referenční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období </w:t>
      </w:r>
      <w:r w:rsidR="0033342C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specifikované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v Příloze č. 1 </w:t>
      </w:r>
      <w:r w:rsidR="0033342C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této smlouvy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za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br/>
        <w:t xml:space="preserve">předpokladu, </w:t>
      </w:r>
      <w:r w:rsidR="00A67E78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že odběr Zboží v takovém období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dosáhne minimálně obratu uvedeného v Příloze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br/>
        <w:t xml:space="preserve">č. 1 </w:t>
      </w:r>
      <w:r w:rsidR="0033342C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této smlouvy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pro jednotlivá pásma</w:t>
      </w:r>
      <w:r w:rsidR="00BC5D2A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,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 resp. </w:t>
      </w:r>
      <w:r w:rsidR="00A67E78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j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ej</w:t>
      </w:r>
      <w:r w:rsidR="00A67E78"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 xml:space="preserve"> </w:t>
      </w:r>
      <w:r w:rsidRPr="00B154C2">
        <w:rPr>
          <w:rFonts w:asciiTheme="minorHAnsi" w:hAnsiTheme="minorHAnsi" w:cs="Arial"/>
          <w:iCs/>
          <w:color w:val="222222"/>
          <w:sz w:val="22"/>
          <w:shd w:val="clear" w:color="auto" w:fill="FFFFFF"/>
        </w:rPr>
        <w:t>přesáhne.</w:t>
      </w:r>
    </w:p>
    <w:p w14:paraId="63D08436" w14:textId="79BFC9BD" w:rsidR="00F409B1" w:rsidRPr="00B154C2" w:rsidRDefault="000A73C0" w:rsidP="001C43F6">
      <w:pPr>
        <w:numPr>
          <w:ilvl w:val="0"/>
          <w:numId w:val="1"/>
        </w:numPr>
        <w:spacing w:after="12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B154C2">
        <w:rPr>
          <w:rFonts w:asciiTheme="minorHAnsi" w:hAnsiTheme="minorHAnsi" w:cstheme="minorHAnsi"/>
          <w:sz w:val="22"/>
        </w:rPr>
        <w:t>čet cen všech balení příslušného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1AE1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kter</w:t>
      </w:r>
      <w:r w:rsidR="00E41E51" w:rsidRPr="00B154C2">
        <w:rPr>
          <w:rFonts w:asciiTheme="minorHAnsi" w:hAnsiTheme="minorHAnsi" w:cstheme="minorHAnsi"/>
          <w:sz w:val="22"/>
        </w:rPr>
        <w:t>é</w:t>
      </w:r>
      <w:r w:rsidRPr="00B154C2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 w:rsidRPr="00B154C2">
        <w:rPr>
          <w:rFonts w:asciiTheme="minorHAnsi" w:hAnsiTheme="minorHAnsi" w:cstheme="minorHAnsi"/>
          <w:sz w:val="22"/>
        </w:rPr>
        <w:t>d</w:t>
      </w:r>
      <w:r w:rsidRPr="00B154C2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B154C2">
        <w:rPr>
          <w:rFonts w:asciiTheme="minorHAnsi" w:hAnsiTheme="minorHAnsi" w:cstheme="minorHAnsi"/>
          <w:sz w:val="22"/>
        </w:rPr>
        <w:t>v</w:t>
      </w:r>
      <w:r w:rsidR="001949ED" w:rsidRPr="00B154C2">
        <w:rPr>
          <w:rFonts w:asciiTheme="minorHAnsi" w:hAnsiTheme="minorHAnsi" w:cstheme="minorHAnsi"/>
          <w:sz w:val="22"/>
        </w:rPr>
        <w:t>ýrobce</w:t>
      </w:r>
      <w:r w:rsidR="00851526" w:rsidRPr="00B154C2">
        <w:rPr>
          <w:rFonts w:asciiTheme="minorHAnsi" w:hAnsiTheme="minorHAnsi" w:cstheme="minorHAnsi"/>
          <w:sz w:val="22"/>
        </w:rPr>
        <w:t xml:space="preserve"> S</w:t>
      </w:r>
      <w:r w:rsidR="001949ED" w:rsidRPr="00B154C2">
        <w:rPr>
          <w:rFonts w:asciiTheme="minorHAnsi" w:hAnsiTheme="minorHAnsi" w:cstheme="minorHAnsi"/>
          <w:sz w:val="22"/>
        </w:rPr>
        <w:t>polečnosti</w:t>
      </w:r>
      <w:r w:rsidR="00326948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bez DPH</w:t>
      </w:r>
      <w:r w:rsidR="008547AA" w:rsidRPr="00B154C2">
        <w:rPr>
          <w:rFonts w:asciiTheme="minorHAnsi" w:hAnsiTheme="minorHAnsi" w:cstheme="minorHAnsi"/>
          <w:sz w:val="22"/>
        </w:rPr>
        <w:t> </w:t>
      </w:r>
      <w:r w:rsidR="00E41E51" w:rsidRPr="00B154C2">
        <w:rPr>
          <w:rFonts w:asciiTheme="minorHAnsi" w:hAnsiTheme="minorHAnsi" w:cstheme="minorHAnsi"/>
          <w:sz w:val="22"/>
        </w:rPr>
        <w:t xml:space="preserve">platná </w:t>
      </w:r>
      <w:r w:rsidR="008547AA" w:rsidRPr="00B154C2">
        <w:rPr>
          <w:rFonts w:asciiTheme="minorHAnsi" w:hAnsiTheme="minorHAnsi" w:cstheme="minorHAnsi"/>
          <w:sz w:val="22"/>
        </w:rPr>
        <w:t>v příslušném</w:t>
      </w:r>
      <w:r w:rsidRPr="00B154C2">
        <w:rPr>
          <w:rFonts w:asciiTheme="minorHAnsi" w:hAnsiTheme="minorHAnsi" w:cstheme="minorHAnsi"/>
          <w:sz w:val="22"/>
        </w:rPr>
        <w:t xml:space="preserve"> referenčním období.</w:t>
      </w:r>
    </w:p>
    <w:p w14:paraId="5A71E240" w14:textId="2A176FB5" w:rsidR="00D64E49" w:rsidRPr="00B154C2" w:rsidRDefault="00D64E49" w:rsidP="001C43F6">
      <w:pPr>
        <w:numPr>
          <w:ilvl w:val="0"/>
          <w:numId w:val="1"/>
        </w:numPr>
        <w:spacing w:after="12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14:paraId="7F91BCDF" w14:textId="038ED2DC" w:rsidR="00F409B1" w:rsidRPr="00B154C2" w:rsidRDefault="00BA5DEB" w:rsidP="001C43F6">
      <w:pPr>
        <w:numPr>
          <w:ilvl w:val="0"/>
          <w:numId w:val="1"/>
        </w:numPr>
        <w:spacing w:after="12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Dojde-</w:t>
      </w:r>
      <w:r w:rsidR="000A73C0"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="000A73C0"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="000A73C0"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="000A73C0"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="000A73C0" w:rsidRPr="00B154C2">
        <w:rPr>
          <w:rFonts w:asciiTheme="minorHAnsi" w:hAnsiTheme="minorHAnsi" w:cstheme="minorHAnsi"/>
          <w:sz w:val="22"/>
        </w:rPr>
        <w:t>říloh této smlouvy.</w:t>
      </w:r>
    </w:p>
    <w:p w14:paraId="65C456DD" w14:textId="2E374814" w:rsidR="00F409B1" w:rsidRPr="00B154C2" w:rsidRDefault="0071233F" w:rsidP="001C43F6">
      <w:pPr>
        <w:numPr>
          <w:ilvl w:val="0"/>
          <w:numId w:val="1"/>
        </w:numPr>
        <w:spacing w:after="12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</w:t>
      </w:r>
      <w:r w:rsidR="004274F3" w:rsidRPr="00B154C2">
        <w:rPr>
          <w:rFonts w:asciiTheme="minorHAnsi" w:hAnsiTheme="minorHAnsi" w:cstheme="minorHAnsi"/>
          <w:sz w:val="22"/>
        </w:rPr>
        <w:lastRenderedPageBreak/>
        <w:t xml:space="preserve">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 xml:space="preserve">Údaje o </w:t>
      </w:r>
      <w:r w:rsidR="00BA5DEB">
        <w:rPr>
          <w:rFonts w:asciiTheme="minorHAnsi" w:hAnsiTheme="minorHAnsi" w:cstheme="minorHAnsi"/>
          <w:sz w:val="22"/>
        </w:rPr>
        <w:t>nákupu</w:t>
      </w:r>
      <w:r w:rsidR="00BA5DEB" w:rsidRPr="00B154C2">
        <w:rPr>
          <w:rFonts w:asciiTheme="minorHAnsi" w:hAnsiTheme="minorHAnsi" w:cstheme="minorHAnsi"/>
          <w:sz w:val="22"/>
        </w:rPr>
        <w:t xml:space="preserve"> </w:t>
      </w:r>
      <w:r w:rsidR="00BA5DEB">
        <w:rPr>
          <w:rFonts w:asciiTheme="minorHAnsi" w:hAnsiTheme="minorHAnsi" w:cstheme="minorHAnsi"/>
          <w:sz w:val="22"/>
        </w:rPr>
        <w:t>Z</w:t>
      </w:r>
      <w:r w:rsidR="00C400CE" w:rsidRPr="00B154C2">
        <w:rPr>
          <w:rFonts w:asciiTheme="minorHAnsi" w:hAnsiTheme="minorHAnsi" w:cstheme="minorHAnsi"/>
          <w:sz w:val="22"/>
        </w:rPr>
        <w:t>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14:paraId="5567B6B2" w14:textId="19D4E65C" w:rsidR="002001E5" w:rsidRDefault="00AA1748" w:rsidP="001C43F6">
      <w:pPr>
        <w:numPr>
          <w:ilvl w:val="0"/>
          <w:numId w:val="1"/>
        </w:numPr>
        <w:spacing w:after="12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75F2">
        <w:rPr>
          <w:rFonts w:asciiTheme="minorHAnsi" w:hAnsiTheme="minorHAnsi" w:cstheme="minorHAnsi"/>
          <w:sz w:val="22"/>
        </w:rPr>
        <w:t>5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 xml:space="preserve">ohoto článku. </w:t>
      </w:r>
    </w:p>
    <w:p w14:paraId="438CF39C" w14:textId="77777777" w:rsidR="004C5AD4" w:rsidRPr="00B154C2" w:rsidRDefault="004C5AD4" w:rsidP="001C43F6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1C43F6">
      <w:pPr>
        <w:spacing w:after="12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14:paraId="3BFA8727" w14:textId="179608A7" w:rsidR="00F409B1" w:rsidRPr="00B154C2" w:rsidRDefault="000A73C0" w:rsidP="001C43F6">
      <w:pPr>
        <w:pStyle w:val="Odstavecseseznamem"/>
        <w:numPr>
          <w:ilvl w:val="0"/>
          <w:numId w:val="5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</w:t>
      </w:r>
      <w:r w:rsidR="001419D8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 xml:space="preserve">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="001419D8">
        <w:rPr>
          <w:rFonts w:asciiTheme="minorHAnsi" w:hAnsiTheme="minorHAnsi" w:cstheme="minorHAnsi"/>
          <w:sz w:val="22"/>
        </w:rPr>
        <w:t xml:space="preserve"> a dodavatele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7DA5A744" w14:textId="77777777" w:rsidR="00F409B1" w:rsidRPr="00B154C2" w:rsidRDefault="000A73C0" w:rsidP="001C43F6">
      <w:pPr>
        <w:pStyle w:val="Odstavecseseznamem"/>
        <w:numPr>
          <w:ilvl w:val="0"/>
          <w:numId w:val="5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6F67CCFD" w14:textId="77777777" w:rsidR="00D6044D" w:rsidRDefault="00EE1104" w:rsidP="001C43F6">
      <w:pPr>
        <w:numPr>
          <w:ilvl w:val="0"/>
          <w:numId w:val="5"/>
        </w:numPr>
        <w:spacing w:after="12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413EC820" w14:textId="77777777" w:rsidR="00EE0100" w:rsidRPr="001419D8" w:rsidRDefault="00EE0100" w:rsidP="001C43F6">
      <w:pPr>
        <w:pStyle w:val="Odstavecseseznamem"/>
        <w:numPr>
          <w:ilvl w:val="0"/>
          <w:numId w:val="5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1419D8">
        <w:rPr>
          <w:rFonts w:asciiTheme="minorHAnsi" w:hAnsiTheme="minorHAnsi" w:cstheme="minorHAnsi"/>
          <w:sz w:val="22"/>
        </w:rPr>
        <w:t>Odběratel prohlašuje a zaručuje se, že všechny knihy, záznamy, faktury a další dokumenty týkající se plateb a výdajů specifikovaných v této smlouvě jsou a musí být úplné a přesné a v rozumné míře odrážejí povahu a množství transakcí a výdajů. Odběratel dále prohlašuje, zaručuje se a souhlasí s tím, že v souvislosti s touto smlouvou nebudou existovat ani nebudou používány žádné prostředky „mimo účetní knihy“ ani žádné jiné podobné prostředky.</w:t>
      </w:r>
    </w:p>
    <w:p w14:paraId="5B20DE17" w14:textId="71D6AF1B" w:rsidR="00EE0100" w:rsidRPr="001419D8" w:rsidRDefault="00EE0100" w:rsidP="001C43F6">
      <w:pPr>
        <w:pStyle w:val="Odstavecseseznamem"/>
        <w:numPr>
          <w:ilvl w:val="0"/>
          <w:numId w:val="5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1419D8">
        <w:rPr>
          <w:rFonts w:asciiTheme="minorHAnsi" w:hAnsiTheme="minorHAnsi" w:cstheme="minorHAnsi"/>
          <w:sz w:val="22"/>
        </w:rPr>
        <w:t>Společnost má právo</w:t>
      </w:r>
      <w:r w:rsidR="002475F2">
        <w:rPr>
          <w:rFonts w:asciiTheme="minorHAnsi" w:hAnsiTheme="minorHAnsi" w:cstheme="minorHAnsi"/>
          <w:sz w:val="22"/>
        </w:rPr>
        <w:t>, po předchozí domluvě a v pracovní době Odběratele,</w:t>
      </w:r>
      <w:r w:rsidRPr="001419D8">
        <w:rPr>
          <w:rFonts w:asciiTheme="minorHAnsi" w:hAnsiTheme="minorHAnsi" w:cstheme="minorHAnsi"/>
          <w:sz w:val="22"/>
        </w:rPr>
        <w:t xml:space="preserve"> provést audit dodacích listů a faktur, které se týkají odběrů, záznamů o příjmu a výdeji z lékárenského SW Odběratele, aby tak zajistila dodržování požadavků specifikovaných v této smlouvě, a to po dobu dvou let od ukončení platnosti této smlouvy.</w:t>
      </w:r>
      <w:r w:rsidR="001419D8">
        <w:rPr>
          <w:rFonts w:asciiTheme="minorHAnsi" w:hAnsiTheme="minorHAnsi" w:cstheme="minorHAnsi"/>
          <w:sz w:val="22"/>
        </w:rPr>
        <w:t xml:space="preserve"> </w:t>
      </w:r>
    </w:p>
    <w:p w14:paraId="7C300270" w14:textId="77777777" w:rsidR="00F409B1" w:rsidRPr="00B154C2" w:rsidRDefault="000A73C0" w:rsidP="001C43F6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14:paraId="58DA7EB1" w14:textId="77777777" w:rsidR="00F409B1" w:rsidRDefault="000A73C0" w:rsidP="001C43F6">
      <w:pPr>
        <w:spacing w:after="12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14:paraId="513B3DD1" w14:textId="39F6D367" w:rsidR="00F409B1" w:rsidRPr="00B154C2" w:rsidRDefault="000A73C0" w:rsidP="00C32586">
      <w:pPr>
        <w:pStyle w:val="Odstavecseseznamem"/>
        <w:numPr>
          <w:ilvl w:val="0"/>
          <w:numId w:val="9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1034C898" w14:textId="0A13E17F" w:rsidR="00F409B1" w:rsidRPr="00B154C2" w:rsidRDefault="000A73C0" w:rsidP="00C32586">
      <w:pPr>
        <w:pStyle w:val="Odstavecseseznamem"/>
        <w:numPr>
          <w:ilvl w:val="0"/>
          <w:numId w:val="9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  <w:r w:rsidR="001419D8" w:rsidRPr="00C32586">
        <w:rPr>
          <w:rFonts w:asciiTheme="minorHAnsi" w:hAnsiTheme="minorHAnsi" w:cstheme="minorHAnsi"/>
          <w:sz w:val="22"/>
        </w:rPr>
        <w:t xml:space="preserve"> </w:t>
      </w:r>
      <w:r w:rsidR="001419D8" w:rsidRPr="001419D8">
        <w:rPr>
          <w:rFonts w:asciiTheme="minorHAnsi" w:hAnsiTheme="minorHAnsi" w:cstheme="minorHAnsi"/>
          <w:sz w:val="22"/>
        </w:rPr>
        <w:t>Odběratel je pak dále oprávněn, aniž by se jednalo o porušení této smlouvy, poskytnout informace o existenci této smlouvy a jejích podmínkách, včetně výše obdrženého bonusu, svému zřizovateli a v případě, že se Zboží váže k technologiím s platným risk-</w:t>
      </w:r>
      <w:proofErr w:type="spellStart"/>
      <w:r w:rsidR="001419D8" w:rsidRPr="001419D8">
        <w:rPr>
          <w:rFonts w:asciiTheme="minorHAnsi" w:hAnsiTheme="minorHAnsi" w:cstheme="minorHAnsi"/>
          <w:sz w:val="22"/>
        </w:rPr>
        <w:t>sharingovým</w:t>
      </w:r>
      <w:proofErr w:type="spellEnd"/>
      <w:r w:rsidR="001419D8" w:rsidRPr="001419D8">
        <w:rPr>
          <w:rFonts w:asciiTheme="minorHAnsi" w:hAnsiTheme="minorHAnsi" w:cstheme="minorHAnsi"/>
          <w:sz w:val="22"/>
        </w:rPr>
        <w:t xml:space="preserve"> či </w:t>
      </w:r>
      <w:proofErr w:type="spellStart"/>
      <w:r w:rsidR="001419D8" w:rsidRPr="001419D8">
        <w:rPr>
          <w:rFonts w:asciiTheme="minorHAnsi" w:hAnsiTheme="minorHAnsi" w:cstheme="minorHAnsi"/>
          <w:sz w:val="22"/>
        </w:rPr>
        <w:t>cost-sharingovým</w:t>
      </w:r>
      <w:proofErr w:type="spellEnd"/>
      <w:r w:rsidR="001419D8" w:rsidRPr="001419D8">
        <w:rPr>
          <w:rFonts w:asciiTheme="minorHAnsi" w:hAnsiTheme="minorHAnsi" w:cstheme="minorHAnsi"/>
          <w:sz w:val="22"/>
        </w:rPr>
        <w:t xml:space="preserve"> schématem též zdravotním pojišťovnám.</w:t>
      </w:r>
    </w:p>
    <w:p w14:paraId="2300C6B1" w14:textId="77777777" w:rsidR="00F409B1" w:rsidRPr="00B154C2" w:rsidRDefault="000A73C0" w:rsidP="00C32586">
      <w:pPr>
        <w:pStyle w:val="Odstavecseseznamem"/>
        <w:numPr>
          <w:ilvl w:val="0"/>
          <w:numId w:val="9"/>
        </w:numPr>
        <w:spacing w:after="120" w:line="240" w:lineRule="auto"/>
        <w:ind w:right="1128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B154C2" w:rsidRDefault="000A73C0" w:rsidP="00C32586">
      <w:pPr>
        <w:numPr>
          <w:ilvl w:val="1"/>
          <w:numId w:val="8"/>
        </w:numPr>
        <w:spacing w:after="0" w:line="240" w:lineRule="auto"/>
        <w:ind w:left="993" w:right="1129" w:hanging="284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B154C2" w:rsidRDefault="00AF0EB1" w:rsidP="00C32586">
      <w:pPr>
        <w:numPr>
          <w:ilvl w:val="1"/>
          <w:numId w:val="8"/>
        </w:numPr>
        <w:spacing w:after="0" w:line="240" w:lineRule="auto"/>
        <w:ind w:left="993" w:right="1129" w:hanging="284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B154C2" w:rsidRDefault="000A73C0" w:rsidP="00C32586">
      <w:pPr>
        <w:numPr>
          <w:ilvl w:val="1"/>
          <w:numId w:val="8"/>
        </w:numPr>
        <w:spacing w:after="0" w:line="240" w:lineRule="auto"/>
        <w:ind w:left="993" w:right="1129" w:hanging="284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B154C2" w:rsidRDefault="000A73C0" w:rsidP="00C32586">
      <w:pPr>
        <w:numPr>
          <w:ilvl w:val="1"/>
          <w:numId w:val="8"/>
        </w:numPr>
        <w:spacing w:after="0" w:line="240" w:lineRule="auto"/>
        <w:ind w:left="993" w:right="1129" w:hanging="284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lastRenderedPageBreak/>
        <w:t>strana získá od třetí osoby, která není vázána povinností mlčenlivosti,</w:t>
      </w:r>
    </w:p>
    <w:p w14:paraId="6AC8245F" w14:textId="77777777" w:rsidR="00F409B1" w:rsidRPr="00B154C2" w:rsidRDefault="000A73C0" w:rsidP="00C32586">
      <w:pPr>
        <w:numPr>
          <w:ilvl w:val="1"/>
          <w:numId w:val="8"/>
        </w:numPr>
        <w:spacing w:after="120" w:line="240" w:lineRule="auto"/>
        <w:ind w:left="993" w:right="1129" w:hanging="284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73A1FA54" w14:textId="540880BD" w:rsidR="00957FC4" w:rsidRPr="00B154C2" w:rsidRDefault="00A61FD5" w:rsidP="001C43F6">
      <w:pPr>
        <w:spacing w:after="12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419D8">
        <w:rPr>
          <w:rFonts w:asciiTheme="minorHAnsi" w:hAnsiTheme="minorHAnsi" w:cstheme="minorHAnsi"/>
          <w:sz w:val="22"/>
        </w:rPr>
        <w:t xml:space="preserve">č. </w:t>
      </w:r>
      <w:r w:rsidR="001E6936" w:rsidRPr="00B154C2">
        <w:rPr>
          <w:rFonts w:asciiTheme="minorHAnsi" w:hAnsiTheme="minorHAnsi" w:cstheme="minorHAnsi"/>
          <w:sz w:val="22"/>
        </w:rPr>
        <w:t>1 a</w:t>
      </w:r>
      <w:r w:rsidR="001419D8">
        <w:rPr>
          <w:rFonts w:asciiTheme="minorHAnsi" w:hAnsiTheme="minorHAnsi" w:cstheme="minorHAnsi"/>
          <w:sz w:val="22"/>
        </w:rPr>
        <w:t xml:space="preserve"> č.</w:t>
      </w:r>
      <w:r w:rsidR="001E6936" w:rsidRPr="00B154C2">
        <w:rPr>
          <w:rFonts w:asciiTheme="minorHAnsi" w:hAnsiTheme="minorHAnsi" w:cstheme="minorHAnsi"/>
          <w:sz w:val="22"/>
        </w:rPr>
        <w:t xml:space="preserve">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1419D8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</w:p>
    <w:p w14:paraId="21AE7840" w14:textId="6AB0C446" w:rsidR="00661FA1" w:rsidRPr="00B154C2" w:rsidRDefault="00A61FD5" w:rsidP="001C43F6">
      <w:pPr>
        <w:spacing w:after="12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>Je</w:t>
      </w:r>
      <w:r w:rsidR="001419D8">
        <w:rPr>
          <w:rFonts w:asciiTheme="minorHAnsi" w:hAnsiTheme="minorHAnsi" w:cstheme="minorHAnsi"/>
          <w:sz w:val="22"/>
        </w:rPr>
        <w:t>-li</w:t>
      </w:r>
      <w:r w:rsidR="0033090B" w:rsidRPr="00B154C2">
        <w:rPr>
          <w:rFonts w:asciiTheme="minorHAnsi" w:hAnsiTheme="minorHAnsi" w:cstheme="minorHAnsi"/>
          <w:sz w:val="22"/>
        </w:rPr>
        <w:t xml:space="preserve">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050DF9" w:rsidRPr="00B154C2">
        <w:rPr>
          <w:rFonts w:asciiTheme="minorHAnsi" w:hAnsiTheme="minorHAnsi" w:cstheme="minorHAnsi"/>
          <w:sz w:val="22"/>
        </w:rPr>
        <w:t xml:space="preserve"> o </w:t>
      </w:r>
      <w:r w:rsidR="005A0189" w:rsidRPr="00B154C2">
        <w:rPr>
          <w:rFonts w:asciiTheme="minorHAnsi" w:hAnsiTheme="minorHAnsi" w:cstheme="minorHAnsi"/>
          <w:sz w:val="22"/>
        </w:rPr>
        <w:t>registru smluv,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>v souladu s ustanovením §</w:t>
      </w:r>
      <w:r w:rsidR="001419D8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5 odst. 2 zákona </w:t>
      </w:r>
      <w:r w:rsidR="001419D8">
        <w:rPr>
          <w:rFonts w:asciiTheme="minorHAnsi" w:hAnsiTheme="minorHAnsi" w:cstheme="minorHAnsi"/>
          <w:sz w:val="22"/>
        </w:rPr>
        <w:t xml:space="preserve">č. 340/2015 Sb., </w:t>
      </w:r>
      <w:r w:rsidR="00E82831" w:rsidRPr="00B154C2">
        <w:rPr>
          <w:rFonts w:asciiTheme="minorHAnsi" w:hAnsiTheme="minorHAnsi" w:cstheme="minorHAnsi"/>
          <w:sz w:val="22"/>
        </w:rPr>
        <w:t xml:space="preserve">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>,</w:t>
      </w:r>
      <w:r w:rsidR="001419D8">
        <w:rPr>
          <w:rFonts w:asciiTheme="minorHAnsi" w:hAnsiTheme="minorHAnsi" w:cstheme="minorHAnsi"/>
          <w:sz w:val="22"/>
        </w:rPr>
        <w:t xml:space="preserve"> ve znění pozdějších předpisů,</w:t>
      </w:r>
      <w:r w:rsidR="00D91178" w:rsidRPr="00B154C2">
        <w:rPr>
          <w:rFonts w:asciiTheme="minorHAnsi" w:hAnsiTheme="minorHAnsi" w:cstheme="minorHAnsi"/>
          <w:sz w:val="22"/>
        </w:rPr>
        <w:t xml:space="preserve"> a to po </w:t>
      </w:r>
      <w:r w:rsidR="001419D8">
        <w:rPr>
          <w:rFonts w:asciiTheme="minorHAnsi" w:hAnsiTheme="minorHAnsi" w:cstheme="minorHAnsi"/>
          <w:sz w:val="22"/>
        </w:rPr>
        <w:t>redigování</w:t>
      </w:r>
      <w:r w:rsidR="001419D8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údajů, které nepodléhají zveřejnění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 xml:space="preserve">říloh </w:t>
      </w:r>
      <w:r w:rsidR="001419D8">
        <w:rPr>
          <w:rFonts w:asciiTheme="minorHAnsi" w:hAnsiTheme="minorHAnsi" w:cstheme="minorHAnsi"/>
          <w:sz w:val="22"/>
        </w:rPr>
        <w:t xml:space="preserve">č. </w:t>
      </w:r>
      <w:r w:rsidR="00050DF9" w:rsidRPr="00B154C2">
        <w:rPr>
          <w:rFonts w:asciiTheme="minorHAnsi" w:hAnsiTheme="minorHAnsi" w:cstheme="minorHAnsi"/>
          <w:sz w:val="22"/>
        </w:rPr>
        <w:t xml:space="preserve">1 a </w:t>
      </w:r>
      <w:r w:rsidR="001419D8">
        <w:rPr>
          <w:rFonts w:asciiTheme="minorHAnsi" w:hAnsiTheme="minorHAnsi" w:cstheme="minorHAnsi"/>
          <w:sz w:val="22"/>
        </w:rPr>
        <w:t xml:space="preserve">č. </w:t>
      </w:r>
      <w:r w:rsidR="00050DF9" w:rsidRPr="00B154C2">
        <w:rPr>
          <w:rFonts w:asciiTheme="minorHAnsi" w:hAnsiTheme="minorHAnsi" w:cstheme="minorHAnsi"/>
          <w:sz w:val="22"/>
        </w:rPr>
        <w:t xml:space="preserve">2 obsahujících obchodní tajemství </w:t>
      </w:r>
      <w:r w:rsidR="00432C09">
        <w:rPr>
          <w:rFonts w:asciiTheme="minorHAnsi" w:hAnsiTheme="minorHAnsi" w:cstheme="minorHAnsi"/>
          <w:sz w:val="22"/>
        </w:rPr>
        <w:t xml:space="preserve">společnosti </w:t>
      </w:r>
      <w:r w:rsidR="00050DF9" w:rsidRPr="00B154C2">
        <w:rPr>
          <w:rFonts w:asciiTheme="minorHAnsi" w:hAnsiTheme="minorHAnsi" w:cstheme="minorHAnsi"/>
          <w:sz w:val="22"/>
        </w:rPr>
        <w:t>a</w:t>
      </w:r>
      <w:r w:rsidR="00432C09">
        <w:rPr>
          <w:rFonts w:asciiTheme="minorHAnsi" w:hAnsiTheme="minorHAnsi" w:cstheme="minorHAnsi"/>
          <w:sz w:val="22"/>
        </w:rPr>
        <w:t xml:space="preserve"> dále</w:t>
      </w:r>
      <w:r w:rsidR="00050DF9" w:rsidRPr="00B154C2">
        <w:rPr>
          <w:rFonts w:asciiTheme="minorHAnsi" w:hAnsiTheme="minorHAnsi" w:cstheme="minorHAnsi"/>
          <w:sz w:val="22"/>
        </w:rPr>
        <w:t xml:space="preserve"> osobní údaj</w:t>
      </w:r>
      <w:r w:rsidR="00432C09">
        <w:rPr>
          <w:rFonts w:asciiTheme="minorHAnsi" w:hAnsiTheme="minorHAnsi" w:cstheme="minorHAnsi"/>
          <w:sz w:val="22"/>
        </w:rPr>
        <w:t>e</w:t>
      </w:r>
      <w:r w:rsidR="00050DF9" w:rsidRPr="00B154C2">
        <w:rPr>
          <w:rFonts w:asciiTheme="minorHAnsi" w:hAnsiTheme="minorHAnsi" w:cstheme="minorHAnsi"/>
          <w:sz w:val="22"/>
        </w:rPr>
        <w:t xml:space="preserve">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B154C2">
        <w:rPr>
          <w:rFonts w:asciiTheme="minorHAnsi" w:hAnsiTheme="minorHAnsi" w:cstheme="minorHAnsi"/>
          <w:sz w:val="22"/>
        </w:rPr>
        <w:t xml:space="preserve">: </w:t>
      </w:r>
      <w:r w:rsidR="001419D8">
        <w:rPr>
          <w:rFonts w:asciiTheme="minorHAnsi" w:hAnsiTheme="minorHAnsi" w:cstheme="minorHAnsi"/>
          <w:sz w:val="22"/>
        </w:rPr>
        <w:t>dana.pohlova@homolka.cz.</w:t>
      </w:r>
    </w:p>
    <w:p w14:paraId="0CFF46A5" w14:textId="77777777" w:rsidR="00A61FD5" w:rsidRPr="00B154C2" w:rsidRDefault="00A61FD5" w:rsidP="001C43F6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6E60A29D" w14:textId="77777777" w:rsidR="00F75EFA" w:rsidRPr="00B154C2" w:rsidRDefault="00012748" w:rsidP="001C43F6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1C43F6">
      <w:pPr>
        <w:spacing w:after="12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0E169DF" w14:textId="200FC97D" w:rsidR="00430D1C" w:rsidRPr="00B154C2" w:rsidRDefault="00AA453A" w:rsidP="001C43F6">
      <w:pPr>
        <w:pStyle w:val="Odstavecseseznamem"/>
        <w:numPr>
          <w:ilvl w:val="0"/>
          <w:numId w:val="3"/>
        </w:numPr>
        <w:spacing w:after="120" w:line="240" w:lineRule="auto"/>
        <w:ind w:left="567" w:right="1129" w:hanging="283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Ve všech ostatních otázkách neupravených touto smlouvou se právní vztah založený touto smlouvou řídí ustanoveními občanského zákoníku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p w14:paraId="6D81F497" w14:textId="1D832CD2" w:rsidR="00E41E51" w:rsidRPr="00B154C2" w:rsidRDefault="008A0A11" w:rsidP="001C43F6">
      <w:pPr>
        <w:pStyle w:val="Zkladntext2"/>
        <w:numPr>
          <w:ilvl w:val="0"/>
          <w:numId w:val="3"/>
        </w:numPr>
        <w:spacing w:after="120"/>
        <w:ind w:left="567" w:right="1158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B154C2">
        <w:rPr>
          <w:rFonts w:asciiTheme="minorHAnsi" w:hAnsiTheme="minorHAnsi" w:cstheme="minorHAnsi"/>
          <w:sz w:val="22"/>
          <w:szCs w:val="22"/>
        </w:rPr>
        <w:t xml:space="preserve">určitou </w:t>
      </w:r>
      <w:r w:rsidR="001C43F6">
        <w:rPr>
          <w:rFonts w:asciiTheme="minorHAnsi" w:hAnsiTheme="minorHAnsi" w:cstheme="minorHAnsi"/>
          <w:sz w:val="22"/>
          <w:szCs w:val="22"/>
        </w:rPr>
        <w:t>ode dne účinnosti do</w:t>
      </w:r>
      <w:r w:rsidR="00AF705C"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B154C2">
        <w:rPr>
          <w:rFonts w:asciiTheme="minorHAnsi" w:hAnsiTheme="minorHAnsi" w:cstheme="minorHAnsi"/>
          <w:sz w:val="22"/>
          <w:szCs w:val="22"/>
        </w:rPr>
        <w:t>31. 12. 20</w:t>
      </w:r>
      <w:r w:rsidR="005C6B57" w:rsidRPr="00B154C2">
        <w:rPr>
          <w:rFonts w:asciiTheme="minorHAnsi" w:hAnsiTheme="minorHAnsi" w:cstheme="minorHAnsi"/>
          <w:sz w:val="22"/>
          <w:szCs w:val="22"/>
        </w:rPr>
        <w:t>2</w:t>
      </w:r>
      <w:r w:rsidR="00A67E78" w:rsidRPr="00B154C2">
        <w:rPr>
          <w:rFonts w:asciiTheme="minorHAnsi" w:hAnsiTheme="minorHAnsi" w:cstheme="minorHAnsi"/>
          <w:sz w:val="22"/>
          <w:szCs w:val="22"/>
        </w:rPr>
        <w:t>2</w:t>
      </w:r>
      <w:r w:rsidR="00E41E51" w:rsidRPr="00B154C2">
        <w:rPr>
          <w:rFonts w:asciiTheme="minorHAnsi" w:hAnsiTheme="minorHAnsi" w:cstheme="minorHAnsi"/>
          <w:sz w:val="22"/>
          <w:szCs w:val="22"/>
        </w:rPr>
        <w:t>.</w:t>
      </w:r>
      <w:r w:rsidRPr="00B154C2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B154C2">
        <w:rPr>
          <w:rFonts w:asciiTheme="minorHAnsi" w:hAnsiTheme="minorHAnsi" w:cstheme="minorHAnsi"/>
          <w:sz w:val="22"/>
          <w:szCs w:val="22"/>
        </w:rPr>
        <w:t>.</w:t>
      </w:r>
      <w:r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1C43F6">
        <w:rPr>
          <w:rFonts w:asciiTheme="minorHAnsi" w:hAnsiTheme="minorHAnsi" w:cstheme="minorHAnsi"/>
          <w:sz w:val="22"/>
          <w:szCs w:val="22"/>
        </w:rPr>
        <w:t>Smlouva se vztahuje na referenční období v souladu se smlouvou.</w:t>
      </w:r>
    </w:p>
    <w:p w14:paraId="2D9132C7" w14:textId="77777777" w:rsidR="008A0A11" w:rsidRPr="00B154C2" w:rsidRDefault="00572F11" w:rsidP="001C43F6">
      <w:pPr>
        <w:pStyle w:val="Odstavecseseznamem"/>
        <w:numPr>
          <w:ilvl w:val="0"/>
          <w:numId w:val="3"/>
        </w:numPr>
        <w:spacing w:after="120" w:line="240" w:lineRule="auto"/>
        <w:ind w:left="567" w:right="1129" w:hanging="283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14:paraId="1B145580" w14:textId="77777777" w:rsidR="001C43F6" w:rsidRDefault="001C43F6" w:rsidP="001C43F6">
      <w:pPr>
        <w:pStyle w:val="Odstavecseseznamem"/>
        <w:numPr>
          <w:ilvl w:val="0"/>
          <w:numId w:val="3"/>
        </w:numPr>
        <w:spacing w:after="120" w:line="240" w:lineRule="auto"/>
        <w:ind w:left="567" w:right="1129" w:hanging="283"/>
        <w:contextualSpacing w:val="0"/>
        <w:rPr>
          <w:rFonts w:asciiTheme="minorHAnsi" w:hAnsiTheme="minorHAnsi" w:cstheme="minorHAnsi"/>
          <w:sz w:val="22"/>
        </w:rPr>
      </w:pPr>
      <w:r w:rsidRPr="00DD15EF">
        <w:rPr>
          <w:rFonts w:asciiTheme="minorHAnsi" w:hAnsiTheme="minorHAnsi" w:cstheme="minorHAnsi"/>
          <w:sz w:val="22"/>
        </w:rPr>
        <w:t xml:space="preserve">V případě rozporů souvisejících s touto smlouvou, jejím </w:t>
      </w:r>
      <w:r>
        <w:rPr>
          <w:rFonts w:asciiTheme="minorHAnsi" w:hAnsiTheme="minorHAnsi" w:cstheme="minorHAnsi"/>
          <w:sz w:val="22"/>
        </w:rPr>
        <w:t>výkladem a plněním povinností a </w:t>
      </w:r>
      <w:r w:rsidRPr="00DD15EF">
        <w:rPr>
          <w:rFonts w:asciiTheme="minorHAnsi" w:hAnsiTheme="minorHAnsi" w:cstheme="minorHAnsi"/>
          <w:sz w:val="22"/>
        </w:rPr>
        <w:t xml:space="preserve">uplatňováním práv jí předpokládaných se smluvní strany zavazují vyvinout maximální úsilí proto, aby své spory urovnaly dohodou.  Smluvní strany se dále ve smyslu ustanovení § 89a zákona č. 99/1963 Sb., občanský soudní řád dohodly, že místně příslušným soudem je v případě, že je k projednání věci věcně příslušný krajský soud, Městský soud v Praze a v případě, že </w:t>
      </w:r>
      <w:proofErr w:type="gramStart"/>
      <w:r w:rsidRPr="00DD15EF">
        <w:rPr>
          <w:rFonts w:asciiTheme="minorHAnsi" w:hAnsiTheme="minorHAnsi" w:cstheme="minorHAnsi"/>
          <w:sz w:val="22"/>
        </w:rPr>
        <w:t>je  projednání</w:t>
      </w:r>
      <w:proofErr w:type="gramEnd"/>
      <w:r w:rsidRPr="00DD15EF">
        <w:rPr>
          <w:rFonts w:asciiTheme="minorHAnsi" w:hAnsiTheme="minorHAnsi" w:cstheme="minorHAnsi"/>
          <w:sz w:val="22"/>
        </w:rPr>
        <w:t xml:space="preserve"> věci věcně příslušný okresní soud, Obvodní soud pro Prahu 5. </w:t>
      </w:r>
    </w:p>
    <w:p w14:paraId="645E4580" w14:textId="77777777" w:rsidR="001C43F6" w:rsidRPr="00DD15EF" w:rsidRDefault="001C43F6" w:rsidP="001C43F6">
      <w:pPr>
        <w:pStyle w:val="Odstavecseseznamem"/>
        <w:numPr>
          <w:ilvl w:val="0"/>
          <w:numId w:val="3"/>
        </w:numPr>
        <w:spacing w:after="120" w:line="240" w:lineRule="auto"/>
        <w:ind w:left="567" w:right="1129" w:hanging="283"/>
        <w:contextualSpacing w:val="0"/>
        <w:rPr>
          <w:rFonts w:asciiTheme="minorHAnsi" w:hAnsiTheme="minorHAnsi" w:cstheme="minorHAnsi"/>
          <w:sz w:val="22"/>
        </w:rPr>
      </w:pPr>
      <w:r w:rsidRPr="00DD15EF">
        <w:rPr>
          <w:rFonts w:asciiTheme="minorHAnsi" w:hAnsiTheme="minorHAnsi" w:cstheme="minorHAnsi"/>
          <w:sz w:val="22"/>
        </w:rPr>
        <w:t>Žádná ze smluvních stran nepostoupí práva a povinnosti vyplývající z této smlouvy bez předchozího písemného souhlasu druhé smluvní strany. J</w:t>
      </w:r>
      <w:r>
        <w:rPr>
          <w:rFonts w:asciiTheme="minorHAnsi" w:hAnsiTheme="minorHAnsi" w:cstheme="minorHAnsi"/>
          <w:sz w:val="22"/>
        </w:rPr>
        <w:t>akékoliv postoupení v rozporu s </w:t>
      </w:r>
      <w:r w:rsidRPr="00DD15EF">
        <w:rPr>
          <w:rFonts w:asciiTheme="minorHAnsi" w:hAnsiTheme="minorHAnsi" w:cstheme="minorHAnsi"/>
          <w:sz w:val="22"/>
        </w:rPr>
        <w:t>podmínkami této smlouvy bude neplatné a neúčinné. Totéž platí pro postoupení smlouvy.</w:t>
      </w:r>
    </w:p>
    <w:p w14:paraId="12F6CB34" w14:textId="77777777" w:rsidR="00F409B1" w:rsidRPr="00B154C2" w:rsidRDefault="000A73C0" w:rsidP="001C43F6">
      <w:pPr>
        <w:numPr>
          <w:ilvl w:val="0"/>
          <w:numId w:val="3"/>
        </w:numPr>
        <w:spacing w:after="12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38F1EAE4" w14:textId="021743E3" w:rsidR="001C43F6" w:rsidRPr="0022661E" w:rsidRDefault="001C43F6" w:rsidP="001C43F6">
      <w:pPr>
        <w:numPr>
          <w:ilvl w:val="0"/>
          <w:numId w:val="3"/>
        </w:numPr>
        <w:spacing w:after="12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Smlouva je vyhotovena ve </w:t>
      </w:r>
      <w:r>
        <w:rPr>
          <w:rFonts w:asciiTheme="minorHAnsi" w:hAnsiTheme="minorHAnsi" w:cstheme="minorHAnsi"/>
          <w:sz w:val="22"/>
        </w:rPr>
        <w:t>třech</w:t>
      </w:r>
      <w:r w:rsidRPr="0022661E">
        <w:rPr>
          <w:rFonts w:asciiTheme="minorHAnsi" w:hAnsiTheme="minorHAnsi" w:cstheme="minorHAnsi"/>
          <w:sz w:val="22"/>
        </w:rPr>
        <w:t xml:space="preserve"> stejnopisech,</w:t>
      </w:r>
      <w:r>
        <w:rPr>
          <w:rFonts w:asciiTheme="minorHAnsi" w:hAnsiTheme="minorHAnsi" w:cstheme="minorHAnsi"/>
          <w:sz w:val="22"/>
        </w:rPr>
        <w:t xml:space="preserve"> z nichž Odb</w:t>
      </w:r>
      <w:r w:rsidR="00D0535B">
        <w:rPr>
          <w:rFonts w:asciiTheme="minorHAnsi" w:hAnsiTheme="minorHAnsi" w:cstheme="minorHAnsi"/>
          <w:sz w:val="22"/>
        </w:rPr>
        <w:t>ěratel obdrží dva stejnopisy a S</w:t>
      </w:r>
      <w:r>
        <w:rPr>
          <w:rFonts w:asciiTheme="minorHAnsi" w:hAnsiTheme="minorHAnsi" w:cstheme="minorHAnsi"/>
          <w:sz w:val="22"/>
        </w:rPr>
        <w:t>polečnost jeden stejnopis.</w:t>
      </w:r>
      <w:r w:rsidRPr="0022661E">
        <w:rPr>
          <w:rFonts w:asciiTheme="minorHAnsi" w:hAnsiTheme="minorHAnsi" w:cstheme="minorHAnsi"/>
          <w:sz w:val="22"/>
        </w:rPr>
        <w:t xml:space="preserve"> </w:t>
      </w:r>
    </w:p>
    <w:p w14:paraId="748913ED" w14:textId="77777777" w:rsidR="00B77B51" w:rsidRPr="00B154C2" w:rsidRDefault="00B77B51" w:rsidP="001C43F6">
      <w:pPr>
        <w:pStyle w:val="Odstavecseseznamem"/>
        <w:numPr>
          <w:ilvl w:val="0"/>
          <w:numId w:val="3"/>
        </w:numPr>
        <w:spacing w:after="120" w:line="240" w:lineRule="auto"/>
        <w:ind w:left="567" w:right="1129" w:hanging="283"/>
        <w:contextualSpacing w:val="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B154C2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B154C2">
        <w:rPr>
          <w:rFonts w:asciiTheme="minorHAnsi" w:hAnsiTheme="minorHAnsi" w:cstheme="minorHAnsi"/>
          <w:sz w:val="22"/>
        </w:rPr>
        <w:t xml:space="preserve"> jejich pravé, vážné a svobodné vůli, což stvrzují svými níže připojenými podpisy.</w:t>
      </w:r>
    </w:p>
    <w:p w14:paraId="0E6D40EE" w14:textId="77777777" w:rsidR="00FB6104" w:rsidRPr="00B154C2" w:rsidRDefault="00FB6104" w:rsidP="001C43F6">
      <w:pPr>
        <w:numPr>
          <w:ilvl w:val="0"/>
          <w:numId w:val="3"/>
        </w:numPr>
        <w:spacing w:after="12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lastRenderedPageBreak/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14:paraId="7C49D20C" w14:textId="77777777"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14:paraId="370C2327" w14:textId="55BA5CE1"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1482C456"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C32586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14:paraId="573A56FC" w14:textId="7427D4CA"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2650074" w14:textId="77777777" w:rsid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B9D9D88" w14:textId="77777777" w:rsidR="0076549D" w:rsidRPr="00B154C2" w:rsidRDefault="0076549D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C15385E" w14:textId="1928A0E5" w:rsidR="00C26C9B" w:rsidRPr="00B154C2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>V</w:t>
      </w:r>
      <w:r w:rsidR="00232004" w:rsidRPr="00B154C2">
        <w:rPr>
          <w:rFonts w:asciiTheme="minorHAnsi" w:eastAsia="Times New Roman" w:hAnsiTheme="minorHAnsi" w:cstheme="minorHAnsi"/>
          <w:sz w:val="22"/>
        </w:rPr>
        <w:t xml:space="preserve"> Praze</w:t>
      </w:r>
      <w:r w:rsidRPr="00B154C2">
        <w:rPr>
          <w:rFonts w:asciiTheme="minorHAnsi" w:eastAsia="Times New Roman" w:hAnsiTheme="minorHAnsi" w:cstheme="minorHAnsi"/>
          <w:sz w:val="22"/>
        </w:rPr>
        <w:t xml:space="preserve"> dne</w:t>
      </w:r>
      <w:r w:rsidR="0027063B">
        <w:rPr>
          <w:rFonts w:asciiTheme="minorHAnsi" w:eastAsia="Times New Roman" w:hAnsiTheme="minorHAnsi" w:cstheme="minorHAnsi"/>
          <w:sz w:val="22"/>
        </w:rPr>
        <w:tab/>
      </w:r>
      <w:r w:rsidR="009A3AEF">
        <w:rPr>
          <w:rFonts w:asciiTheme="minorHAnsi" w:eastAsia="Times New Roman" w:hAnsiTheme="minorHAnsi" w:cstheme="minorHAnsi"/>
          <w:sz w:val="22"/>
        </w:rPr>
        <w:t>16. 3</w:t>
      </w:r>
      <w:r w:rsidR="00257BE3">
        <w:rPr>
          <w:rFonts w:asciiTheme="minorHAnsi" w:eastAsia="Times New Roman" w:hAnsiTheme="minorHAnsi" w:cstheme="minorHAnsi"/>
          <w:sz w:val="22"/>
        </w:rPr>
        <w:t>.</w:t>
      </w:r>
      <w:bookmarkStart w:id="0" w:name="_GoBack"/>
      <w:bookmarkEnd w:id="0"/>
      <w:r w:rsidR="009A3AEF">
        <w:rPr>
          <w:rFonts w:asciiTheme="minorHAnsi" w:eastAsia="Times New Roman" w:hAnsiTheme="minorHAnsi" w:cstheme="minorHAnsi"/>
          <w:sz w:val="22"/>
        </w:rPr>
        <w:t xml:space="preserve"> 2022 </w:t>
      </w:r>
      <w:r w:rsidR="00636F84">
        <w:rPr>
          <w:rFonts w:asciiTheme="minorHAnsi" w:eastAsia="Times New Roman" w:hAnsiTheme="minorHAnsi" w:cstheme="minorHAnsi"/>
          <w:sz w:val="22"/>
        </w:rPr>
        <w:tab/>
      </w:r>
      <w:r w:rsidR="00636F84">
        <w:rPr>
          <w:rFonts w:asciiTheme="minorHAnsi" w:eastAsia="Times New Roman" w:hAnsiTheme="minorHAnsi" w:cstheme="minorHAnsi"/>
          <w:sz w:val="22"/>
        </w:rPr>
        <w:tab/>
      </w:r>
      <w:r w:rsidR="00636F84">
        <w:rPr>
          <w:rFonts w:asciiTheme="minorHAnsi" w:eastAsia="Times New Roman" w:hAnsiTheme="minorHAnsi" w:cstheme="minorHAnsi"/>
          <w:sz w:val="22"/>
        </w:rPr>
        <w:tab/>
      </w:r>
      <w:r w:rsidR="00636F84">
        <w:rPr>
          <w:rFonts w:asciiTheme="minorHAnsi" w:eastAsia="Times New Roman" w:hAnsiTheme="minorHAnsi" w:cstheme="minorHAnsi"/>
          <w:sz w:val="22"/>
        </w:rPr>
        <w:tab/>
      </w:r>
      <w:r w:rsidR="00C26C9B" w:rsidRPr="00B154C2">
        <w:rPr>
          <w:rFonts w:asciiTheme="minorHAnsi" w:eastAsia="Times New Roman" w:hAnsiTheme="minorHAnsi" w:cstheme="minorHAnsi"/>
          <w:sz w:val="22"/>
        </w:rPr>
        <w:t>V</w:t>
      </w:r>
      <w:r w:rsidR="008015DE">
        <w:rPr>
          <w:rFonts w:asciiTheme="minorHAnsi" w:eastAsia="Times New Roman" w:hAnsiTheme="minorHAnsi" w:cstheme="minorHAnsi"/>
          <w:sz w:val="22"/>
        </w:rPr>
        <w:t> Praze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dne </w:t>
      </w:r>
      <w:r w:rsidR="009A3AEF">
        <w:rPr>
          <w:rFonts w:asciiTheme="minorHAnsi" w:eastAsia="Times New Roman" w:hAnsiTheme="minorHAnsi" w:cstheme="minorHAnsi"/>
          <w:sz w:val="22"/>
        </w:rPr>
        <w:t>30. 3. 2022</w:t>
      </w:r>
    </w:p>
    <w:p w14:paraId="65205087" w14:textId="77777777" w:rsidR="00C26C9B" w:rsidRPr="00B154C2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FCF4DC8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106029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7CF44AD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58A4EDB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1308D2D" w14:textId="77777777" w:rsidR="006F23A7" w:rsidRDefault="006F23A7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F2B4FB4" w14:textId="77777777" w:rsidR="0076549D" w:rsidRDefault="0076549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5FFEF45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EE7E2F3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A666FDA" w14:textId="77777777" w:rsidR="00B154C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ab/>
      </w:r>
    </w:p>
    <w:p w14:paraId="5371030E" w14:textId="5A61BBF9" w:rsidR="00232004" w:rsidRPr="00B154C2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B154C2">
        <w:rPr>
          <w:rFonts w:asciiTheme="minorHAnsi" w:hAnsiTheme="minorHAnsi" w:cstheme="minorHAnsi"/>
          <w:sz w:val="20"/>
        </w:rPr>
        <w:t>_______________________________</w:t>
      </w:r>
      <w:r w:rsidR="008015DE">
        <w:rPr>
          <w:rFonts w:asciiTheme="minorHAnsi" w:hAnsiTheme="minorHAnsi" w:cstheme="minorHAnsi"/>
          <w:sz w:val="20"/>
        </w:rPr>
        <w:t>____</w:t>
      </w:r>
      <w:r w:rsidR="008015DE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="00C32586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>______________________________</w:t>
      </w:r>
    </w:p>
    <w:p w14:paraId="5665C750" w14:textId="55016702" w:rsidR="00232004" w:rsidRPr="008015DE" w:rsidRDefault="00E233B7" w:rsidP="008015DE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 w:rsidRPr="008015D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8015DE">
        <w:rPr>
          <w:rFonts w:asciiTheme="minorHAnsi" w:hAnsiTheme="minorHAnsi" w:cstheme="minorHAnsi"/>
          <w:b/>
          <w:sz w:val="22"/>
        </w:rPr>
        <w:t>-Chemie</w:t>
      </w:r>
      <w:r w:rsidRPr="008015D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8015D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8015D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8015D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8015DE">
        <w:rPr>
          <w:rStyle w:val="preformatted"/>
          <w:rFonts w:asciiTheme="minorHAnsi" w:hAnsiTheme="minorHAnsi" w:cstheme="minorHAnsi"/>
          <w:b/>
          <w:sz w:val="22"/>
        </w:rPr>
        <w:t xml:space="preserve"> republika s.r.o</w:t>
      </w:r>
      <w:r w:rsidR="00C32586">
        <w:rPr>
          <w:rStyle w:val="preformatted"/>
          <w:rFonts w:asciiTheme="minorHAnsi" w:hAnsiTheme="minorHAnsi" w:cstheme="minorHAnsi"/>
          <w:b/>
          <w:sz w:val="22"/>
        </w:rPr>
        <w:t>.</w:t>
      </w:r>
      <w:r w:rsidR="00C32586">
        <w:rPr>
          <w:rStyle w:val="preformatted"/>
          <w:rFonts w:asciiTheme="minorHAnsi" w:hAnsiTheme="minorHAnsi" w:cstheme="minorHAnsi"/>
          <w:b/>
          <w:sz w:val="22"/>
        </w:rPr>
        <w:tab/>
      </w:r>
      <w:r w:rsidR="00C32586">
        <w:rPr>
          <w:rStyle w:val="preformatted"/>
          <w:rFonts w:asciiTheme="minorHAnsi" w:hAnsiTheme="minorHAnsi" w:cstheme="minorHAnsi"/>
          <w:b/>
          <w:sz w:val="22"/>
        </w:rPr>
        <w:tab/>
      </w:r>
      <w:r w:rsidR="008015DE" w:rsidRPr="008015DE">
        <w:rPr>
          <w:rFonts w:asciiTheme="minorHAnsi" w:hAnsiTheme="minorHAnsi" w:cstheme="minorHAnsi"/>
          <w:b/>
          <w:sz w:val="22"/>
        </w:rPr>
        <w:t>Nemocnice Na Homolce</w:t>
      </w:r>
    </w:p>
    <w:p w14:paraId="199C3190" w14:textId="38244D47" w:rsidR="00D763A6" w:rsidRPr="008015DE" w:rsidRDefault="006B1E0B" w:rsidP="00313A70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015DE">
        <w:rPr>
          <w:rFonts w:asciiTheme="minorHAnsi" w:hAnsiTheme="minorHAnsi" w:cstheme="minorHAnsi"/>
          <w:sz w:val="22"/>
          <w:szCs w:val="22"/>
        </w:rPr>
        <w:tab/>
      </w:r>
      <w:r w:rsidRPr="008015DE">
        <w:rPr>
          <w:rFonts w:asciiTheme="minorHAnsi" w:hAnsiTheme="minorHAnsi" w:cstheme="minorHAnsi"/>
          <w:sz w:val="22"/>
          <w:szCs w:val="22"/>
        </w:rPr>
        <w:tab/>
      </w:r>
      <w:r w:rsidR="00C32586">
        <w:rPr>
          <w:rFonts w:asciiTheme="minorHAnsi" w:hAnsiTheme="minorHAnsi" w:cstheme="minorHAnsi"/>
          <w:sz w:val="22"/>
          <w:szCs w:val="22"/>
        </w:rPr>
        <w:tab/>
      </w:r>
      <w:r w:rsidR="007446FF" w:rsidRPr="008015D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763A6" w:rsidRPr="008015DE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9A58" w16cex:dateUtc="2021-10-27T07:28:00Z"/>
  <w16cex:commentExtensible w16cex:durableId="25239C5C" w16cex:dateUtc="2021-10-27T07:37:00Z"/>
  <w16cex:commentExtensible w16cex:durableId="25239E44" w16cex:dateUtc="2021-10-27T07:45:00Z"/>
  <w16cex:commentExtensible w16cex:durableId="25239F7F" w16cex:dateUtc="2021-10-27T07:50:00Z"/>
  <w16cex:commentExtensible w16cex:durableId="2523A170" w16cex:dateUtc="2021-10-27T07:59:00Z"/>
  <w16cex:commentExtensible w16cex:durableId="2523A214" w16cex:dateUtc="2021-10-27T08:01:00Z"/>
  <w16cex:commentExtensible w16cex:durableId="2523A249" w16cex:dateUtc="2021-10-2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9B9ED" w16cid:durableId="25239A58"/>
  <w16cid:commentId w16cid:paraId="1D80505D" w16cid:durableId="25239C5C"/>
  <w16cid:commentId w16cid:paraId="53AFB228" w16cid:durableId="25239E44"/>
  <w16cid:commentId w16cid:paraId="17C5F5C7" w16cid:durableId="25239F7F"/>
  <w16cid:commentId w16cid:paraId="3EFF6E26" w16cid:durableId="2523A170"/>
  <w16cid:commentId w16cid:paraId="2DF15F07" w16cid:durableId="2523A214"/>
  <w16cid:commentId w16cid:paraId="13493DA9" w16cid:durableId="2523A2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8837DBE"/>
    <w:multiLevelType w:val="hybridMultilevel"/>
    <w:tmpl w:val="4D3A3A4C"/>
    <w:lvl w:ilvl="0" w:tplc="9EBAD9D4">
      <w:start w:val="1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0CF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19D8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43F6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475F2"/>
    <w:rsid w:val="002513D9"/>
    <w:rsid w:val="002532A7"/>
    <w:rsid w:val="00257BE3"/>
    <w:rsid w:val="00260166"/>
    <w:rsid w:val="00260937"/>
    <w:rsid w:val="0026574F"/>
    <w:rsid w:val="0027063B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3251"/>
    <w:rsid w:val="003B53FC"/>
    <w:rsid w:val="003B5CFD"/>
    <w:rsid w:val="003B7551"/>
    <w:rsid w:val="003C2BF9"/>
    <w:rsid w:val="003D5CA1"/>
    <w:rsid w:val="003D5DCE"/>
    <w:rsid w:val="003E12B5"/>
    <w:rsid w:val="003F4616"/>
    <w:rsid w:val="003F5878"/>
    <w:rsid w:val="00403462"/>
    <w:rsid w:val="00410EB3"/>
    <w:rsid w:val="004130F5"/>
    <w:rsid w:val="00420826"/>
    <w:rsid w:val="0042611F"/>
    <w:rsid w:val="004274F3"/>
    <w:rsid w:val="00430D1C"/>
    <w:rsid w:val="004318B3"/>
    <w:rsid w:val="00432C09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A7628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D7E7D"/>
    <w:rsid w:val="005E24D2"/>
    <w:rsid w:val="005E2950"/>
    <w:rsid w:val="005E4E4D"/>
    <w:rsid w:val="005F08D6"/>
    <w:rsid w:val="005F74CF"/>
    <w:rsid w:val="006006D3"/>
    <w:rsid w:val="00600DF0"/>
    <w:rsid w:val="0060117C"/>
    <w:rsid w:val="006111AC"/>
    <w:rsid w:val="00613258"/>
    <w:rsid w:val="0061403A"/>
    <w:rsid w:val="0061510E"/>
    <w:rsid w:val="00630ABD"/>
    <w:rsid w:val="00632661"/>
    <w:rsid w:val="00632FA4"/>
    <w:rsid w:val="00636F8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D3EB3"/>
    <w:rsid w:val="006D432B"/>
    <w:rsid w:val="006D6203"/>
    <w:rsid w:val="006E3F7A"/>
    <w:rsid w:val="006E5E9E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6549D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C5E84"/>
    <w:rsid w:val="007E07D2"/>
    <w:rsid w:val="007E1915"/>
    <w:rsid w:val="007E336D"/>
    <w:rsid w:val="007F04CC"/>
    <w:rsid w:val="007F470E"/>
    <w:rsid w:val="008015DE"/>
    <w:rsid w:val="00804944"/>
    <w:rsid w:val="00805C5A"/>
    <w:rsid w:val="00811EDB"/>
    <w:rsid w:val="00816B16"/>
    <w:rsid w:val="00822AFE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5657"/>
    <w:rsid w:val="00897D87"/>
    <w:rsid w:val="008A0A11"/>
    <w:rsid w:val="008A2612"/>
    <w:rsid w:val="008A6684"/>
    <w:rsid w:val="008B071E"/>
    <w:rsid w:val="008B2F77"/>
    <w:rsid w:val="008B53EE"/>
    <w:rsid w:val="008B76BF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04C7"/>
    <w:rsid w:val="00951128"/>
    <w:rsid w:val="00954157"/>
    <w:rsid w:val="00956220"/>
    <w:rsid w:val="00957FC4"/>
    <w:rsid w:val="009638A4"/>
    <w:rsid w:val="00971327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A3AEF"/>
    <w:rsid w:val="009A44DB"/>
    <w:rsid w:val="009B1DF2"/>
    <w:rsid w:val="009B57C3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95F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A5DEB"/>
    <w:rsid w:val="00BB5701"/>
    <w:rsid w:val="00BC1CB4"/>
    <w:rsid w:val="00BC5D2A"/>
    <w:rsid w:val="00BC63BD"/>
    <w:rsid w:val="00BC63F4"/>
    <w:rsid w:val="00BC6E7C"/>
    <w:rsid w:val="00BC747A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2586"/>
    <w:rsid w:val="00C33927"/>
    <w:rsid w:val="00C400CE"/>
    <w:rsid w:val="00C43220"/>
    <w:rsid w:val="00C43809"/>
    <w:rsid w:val="00C5524B"/>
    <w:rsid w:val="00C61090"/>
    <w:rsid w:val="00C724E8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C00CC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535B"/>
    <w:rsid w:val="00D07BE0"/>
    <w:rsid w:val="00D108F1"/>
    <w:rsid w:val="00D118B7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B62F5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8C2D-74BE-4BC0-B500-2A746F42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Pohlová Dana</cp:lastModifiedBy>
  <cp:revision>3</cp:revision>
  <cp:lastPrinted>2022-03-14T15:42:00Z</cp:lastPrinted>
  <dcterms:created xsi:type="dcterms:W3CDTF">2022-04-01T06:17:00Z</dcterms:created>
  <dcterms:modified xsi:type="dcterms:W3CDTF">2022-04-01T06:17:00Z</dcterms:modified>
</cp:coreProperties>
</file>