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341B9781" w:rsidR="00C655CE" w:rsidRPr="000B5F26" w:rsidRDefault="00C655CE" w:rsidP="009266C8">
      <w:pPr>
        <w:spacing w:after="0" w:line="240" w:lineRule="auto"/>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zastoupená:      </w:t>
      </w:r>
      <w:r w:rsidRPr="000B5F26">
        <w:rPr>
          <w:rFonts w:ascii="Tahoma" w:eastAsia="Times New Roman" w:hAnsi="Tahoma" w:cs="Tahoma"/>
          <w:color w:val="000000"/>
          <w:sz w:val="16"/>
          <w:szCs w:val="16"/>
          <w:lang w:eastAsia="cs-CZ"/>
        </w:rPr>
        <w:tab/>
      </w:r>
      <w:r w:rsidR="006B6DA5">
        <w:rPr>
          <w:rFonts w:ascii="Tahoma" w:hAnsi="Tahoma" w:cs="Tahoma"/>
          <w:sz w:val="16"/>
          <w:szCs w:val="16"/>
        </w:rPr>
        <w:t>xxx</w:t>
      </w:r>
      <w:r w:rsidR="00214062" w:rsidRPr="000B5F26">
        <w:rPr>
          <w:rFonts w:ascii="Tahoma" w:hAnsi="Tahoma" w:cs="Tahoma"/>
          <w:sz w:val="16"/>
          <w:szCs w:val="16"/>
        </w:rPr>
        <w:t>,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6F223B" w:rsidRDefault="00C655CE"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6F223B">
        <w:rPr>
          <w:rFonts w:ascii="Tahoma" w:eastAsia="Times New Roman" w:hAnsi="Tahoma" w:cs="Tahoma"/>
          <w:bCs/>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38A8DEE4" w14:textId="4A2C429F" w:rsidR="00C655CE" w:rsidRPr="000B5F26" w:rsidRDefault="00F21206"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Pr>
          <w:rFonts w:ascii="Tahoma" w:eastAsia="Times New Roman" w:hAnsi="Tahoma" w:cs="Tahoma"/>
          <w:b/>
          <w:color w:val="000000"/>
          <w:sz w:val="16"/>
          <w:szCs w:val="16"/>
          <w:lang w:eastAsia="cs-CZ"/>
        </w:rPr>
        <w:t>Alliance Healthcare s.r.o.</w:t>
      </w:r>
    </w:p>
    <w:p w14:paraId="417B9084" w14:textId="6D686AC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zapsaná v obchodním rejstříku vedeném </w:t>
      </w:r>
      <w:r w:rsidR="00F21206">
        <w:rPr>
          <w:rFonts w:ascii="Tahoma" w:eastAsia="Times New Roman" w:hAnsi="Tahoma" w:cs="Tahoma"/>
          <w:color w:val="000000"/>
          <w:sz w:val="16"/>
          <w:szCs w:val="16"/>
          <w:lang w:eastAsia="cs-CZ"/>
        </w:rPr>
        <w:t>MS v Praze</w:t>
      </w:r>
      <w:r w:rsidRPr="000B5F26">
        <w:rPr>
          <w:rFonts w:ascii="Tahoma" w:eastAsia="Times New Roman" w:hAnsi="Tahoma" w:cs="Tahoma"/>
          <w:color w:val="000000"/>
          <w:sz w:val="16"/>
          <w:szCs w:val="16"/>
          <w:lang w:eastAsia="cs-CZ"/>
        </w:rPr>
        <w:t xml:space="preserve">, oddíl </w:t>
      </w:r>
      <w:r w:rsidR="00F21206">
        <w:rPr>
          <w:rFonts w:ascii="Tahoma" w:eastAsia="Times New Roman" w:hAnsi="Tahoma" w:cs="Tahoma"/>
          <w:color w:val="000000"/>
          <w:sz w:val="16"/>
          <w:szCs w:val="16"/>
          <w:lang w:eastAsia="cs-CZ"/>
        </w:rPr>
        <w:t>C</w:t>
      </w:r>
      <w:r w:rsidRPr="000B5F26">
        <w:rPr>
          <w:rFonts w:ascii="Tahoma" w:eastAsia="Times New Roman" w:hAnsi="Tahoma" w:cs="Tahoma"/>
          <w:color w:val="000000"/>
          <w:sz w:val="16"/>
          <w:szCs w:val="16"/>
          <w:lang w:eastAsia="cs-CZ"/>
        </w:rPr>
        <w:t xml:space="preserve">, vložka </w:t>
      </w:r>
      <w:r w:rsidR="00F21206">
        <w:rPr>
          <w:rFonts w:ascii="Tahoma" w:eastAsia="Times New Roman" w:hAnsi="Tahoma" w:cs="Tahoma"/>
          <w:color w:val="000000"/>
          <w:sz w:val="16"/>
          <w:szCs w:val="16"/>
          <w:lang w:eastAsia="cs-CZ"/>
        </w:rPr>
        <w:t>87837</w:t>
      </w:r>
    </w:p>
    <w:p w14:paraId="3C6400EE" w14:textId="153849D4"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00F21206">
        <w:rPr>
          <w:rFonts w:ascii="Tahoma" w:eastAsia="Times New Roman" w:hAnsi="Tahoma" w:cs="Tahoma"/>
          <w:color w:val="000000"/>
          <w:sz w:val="16"/>
          <w:szCs w:val="16"/>
          <w:lang w:eastAsia="cs-CZ"/>
        </w:rPr>
        <w:t>Podle Trati 624/7, 108 00, Praha 10 - Malešice</w:t>
      </w:r>
      <w:r w:rsidR="005965F3" w:rsidRPr="000B5F26">
        <w:rPr>
          <w:rFonts w:ascii="Tahoma" w:eastAsia="Times New Roman" w:hAnsi="Tahoma" w:cs="Tahoma"/>
          <w:color w:val="000000"/>
          <w:sz w:val="16"/>
          <w:szCs w:val="16"/>
          <w:lang w:eastAsia="cs-CZ"/>
        </w:rPr>
        <w:tab/>
      </w:r>
      <w:r w:rsidRPr="000B5F26">
        <w:rPr>
          <w:rFonts w:ascii="Tahoma" w:eastAsia="Times New Roman" w:hAnsi="Tahoma" w:cs="Tahoma"/>
          <w:color w:val="000000"/>
          <w:sz w:val="16"/>
          <w:szCs w:val="16"/>
          <w:lang w:eastAsia="cs-CZ"/>
        </w:rPr>
        <w:tab/>
        <w:t xml:space="preserve"> </w:t>
      </w:r>
    </w:p>
    <w:p w14:paraId="6384704B" w14:textId="1C5116F5"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IČ:</w:t>
      </w:r>
      <w:r w:rsidR="004805E5">
        <w:rPr>
          <w:rFonts w:ascii="Tahoma" w:eastAsia="Times New Roman" w:hAnsi="Tahoma" w:cs="Tahoma"/>
          <w:color w:val="000000"/>
          <w:sz w:val="16"/>
          <w:szCs w:val="16"/>
          <w:lang w:eastAsia="cs-CZ"/>
        </w:rPr>
        <w:t xml:space="preserve"> </w:t>
      </w:r>
      <w:r w:rsidR="00F21206">
        <w:rPr>
          <w:rFonts w:ascii="Tahoma" w:eastAsia="Times New Roman" w:hAnsi="Tahoma" w:cs="Tahoma"/>
          <w:color w:val="000000"/>
          <w:sz w:val="16"/>
          <w:szCs w:val="16"/>
          <w:lang w:eastAsia="cs-CZ"/>
        </w:rPr>
        <w:t>14707420</w:t>
      </w:r>
      <w:r w:rsidRPr="000B5F26">
        <w:rPr>
          <w:rFonts w:ascii="Tahoma" w:eastAsia="Times New Roman" w:hAnsi="Tahoma" w:cs="Tahoma"/>
          <w:color w:val="000000"/>
          <w:sz w:val="16"/>
          <w:szCs w:val="16"/>
          <w:lang w:eastAsia="cs-CZ"/>
        </w:rPr>
        <w:tab/>
        <w:t>DIČ:</w:t>
      </w:r>
      <w:r w:rsidR="005965F3" w:rsidRPr="000B5F26">
        <w:rPr>
          <w:rFonts w:ascii="Tahoma" w:eastAsia="Times New Roman" w:hAnsi="Tahoma" w:cs="Tahoma"/>
          <w:color w:val="000000"/>
          <w:sz w:val="16"/>
          <w:szCs w:val="16"/>
          <w:lang w:eastAsia="cs-CZ"/>
        </w:rPr>
        <w:t xml:space="preserve"> </w:t>
      </w:r>
      <w:r w:rsidR="00F21206">
        <w:rPr>
          <w:rFonts w:ascii="Tahoma" w:eastAsia="Times New Roman" w:hAnsi="Tahoma" w:cs="Tahoma"/>
          <w:color w:val="000000"/>
          <w:sz w:val="16"/>
          <w:szCs w:val="16"/>
          <w:lang w:eastAsia="cs-CZ"/>
        </w:rPr>
        <w:t>CZ14707420</w:t>
      </w:r>
    </w:p>
    <w:p w14:paraId="3CD9A273" w14:textId="3AC8E9A8" w:rsidR="005965F3"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2334ADB5">
        <w:rPr>
          <w:rFonts w:ascii="Tahoma" w:eastAsia="Times New Roman" w:hAnsi="Tahoma" w:cs="Tahoma"/>
          <w:color w:val="000000" w:themeColor="text1"/>
          <w:sz w:val="16"/>
          <w:szCs w:val="16"/>
          <w:lang w:eastAsia="cs-CZ"/>
        </w:rPr>
        <w:t xml:space="preserve">zastoupená: </w:t>
      </w:r>
      <w:r w:rsidR="006B6DA5">
        <w:rPr>
          <w:rFonts w:ascii="Tahoma" w:eastAsia="Times New Roman" w:hAnsi="Tahoma" w:cs="Tahoma"/>
          <w:color w:val="000000" w:themeColor="text1"/>
          <w:sz w:val="16"/>
          <w:szCs w:val="16"/>
          <w:lang w:eastAsia="cs-CZ"/>
        </w:rPr>
        <w:tab/>
      </w:r>
      <w:r w:rsidR="00D83D8A">
        <w:rPr>
          <w:rFonts w:ascii="Tahoma" w:eastAsia="Times New Roman" w:hAnsi="Tahoma" w:cs="Tahoma"/>
          <w:color w:val="000000" w:themeColor="text1"/>
          <w:sz w:val="16"/>
          <w:szCs w:val="16"/>
          <w:lang w:eastAsia="cs-CZ"/>
        </w:rPr>
        <w:t>xxx</w:t>
      </w:r>
      <w:r w:rsidR="00F21206" w:rsidRPr="2334ADB5">
        <w:rPr>
          <w:rFonts w:ascii="Tahoma" w:eastAsia="Times New Roman" w:hAnsi="Tahoma" w:cs="Tahoma"/>
          <w:color w:val="000000" w:themeColor="text1"/>
          <w:sz w:val="16"/>
          <w:szCs w:val="16"/>
          <w:lang w:eastAsia="cs-CZ"/>
        </w:rPr>
        <w:t>, jednatel</w:t>
      </w:r>
      <w:r w:rsidR="006B6DA5">
        <w:rPr>
          <w:rFonts w:ascii="Tahoma" w:eastAsia="Times New Roman" w:hAnsi="Tahoma" w:cs="Tahoma"/>
          <w:color w:val="000000" w:themeColor="text1"/>
          <w:sz w:val="16"/>
          <w:szCs w:val="16"/>
          <w:lang w:eastAsia="cs-CZ"/>
        </w:rPr>
        <w:t>i</w:t>
      </w:r>
      <w:r w:rsidR="00F21206" w:rsidRPr="2334ADB5">
        <w:rPr>
          <w:rFonts w:ascii="Tahoma" w:eastAsia="Times New Roman" w:hAnsi="Tahoma" w:cs="Tahoma"/>
          <w:color w:val="000000" w:themeColor="text1"/>
          <w:sz w:val="16"/>
          <w:szCs w:val="16"/>
          <w:lang w:eastAsia="cs-CZ"/>
        </w:rPr>
        <w:t xml:space="preserve"> </w:t>
      </w:r>
      <w:r>
        <w:tab/>
      </w:r>
    </w:p>
    <w:p w14:paraId="018FD587" w14:textId="1E7486EC"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bankovní spojení: </w:t>
      </w:r>
      <w:r w:rsidRPr="000B5F26">
        <w:rPr>
          <w:rFonts w:ascii="Tahoma" w:eastAsia="Times New Roman" w:hAnsi="Tahoma" w:cs="Tahoma"/>
          <w:color w:val="000000"/>
          <w:sz w:val="16"/>
          <w:szCs w:val="16"/>
          <w:lang w:eastAsia="cs-CZ"/>
        </w:rPr>
        <w:tab/>
      </w:r>
      <w:r w:rsidR="00F21206">
        <w:rPr>
          <w:rFonts w:ascii="Tahoma" w:eastAsia="Times New Roman" w:hAnsi="Tahoma" w:cs="Tahoma"/>
          <w:color w:val="000000"/>
          <w:sz w:val="16"/>
          <w:szCs w:val="16"/>
          <w:lang w:eastAsia="cs-CZ"/>
        </w:rPr>
        <w:t>ČSOB, a.s.</w:t>
      </w:r>
      <w:r w:rsidR="005965F3" w:rsidRPr="000B5F26">
        <w:rPr>
          <w:rFonts w:ascii="Tahoma" w:eastAsia="Times New Roman" w:hAnsi="Tahoma" w:cs="Tahoma"/>
          <w:color w:val="000000"/>
          <w:sz w:val="16"/>
          <w:szCs w:val="16"/>
          <w:lang w:eastAsia="cs-CZ"/>
        </w:rPr>
        <w:t xml:space="preserve"> </w:t>
      </w:r>
    </w:p>
    <w:p w14:paraId="05FF531E" w14:textId="1C6C235F"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číslo účtu: </w:t>
      </w:r>
      <w:r w:rsidR="005965F3" w:rsidRPr="000B5F26">
        <w:rPr>
          <w:rFonts w:ascii="Tahoma" w:eastAsia="Times New Roman" w:hAnsi="Tahoma" w:cs="Tahoma"/>
          <w:color w:val="000000"/>
          <w:sz w:val="16"/>
          <w:szCs w:val="16"/>
          <w:lang w:eastAsia="cs-CZ"/>
        </w:rPr>
        <w:tab/>
      </w:r>
      <w:r w:rsidR="00F21206">
        <w:rPr>
          <w:rFonts w:ascii="Tahoma" w:eastAsia="Times New Roman" w:hAnsi="Tahoma" w:cs="Tahoma"/>
          <w:color w:val="000000"/>
          <w:sz w:val="16"/>
          <w:szCs w:val="16"/>
          <w:lang w:eastAsia="cs-CZ"/>
        </w:rPr>
        <w:t>8010-0404243703/0300</w:t>
      </w:r>
    </w:p>
    <w:p w14:paraId="2F246CC8" w14:textId="77777777" w:rsidR="00C655CE" w:rsidRPr="000B5F26" w:rsidRDefault="00C655CE" w:rsidP="00C655CE">
      <w:pPr>
        <w:autoSpaceDE w:val="0"/>
        <w:autoSpaceDN w:val="0"/>
        <w:adjustRightInd w:val="0"/>
        <w:rPr>
          <w:rFonts w:ascii="Tahoma" w:hAnsi="Tahoma" w:cs="Tahoma"/>
          <w:sz w:val="16"/>
          <w:szCs w:val="16"/>
        </w:rPr>
      </w:pPr>
      <w:r w:rsidRPr="000B5F26">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52495196" w:rsidR="00C655CE" w:rsidRPr="001C486A" w:rsidRDefault="00C655CE" w:rsidP="00C655CE">
      <w:pPr>
        <w:spacing w:after="0" w:line="240" w:lineRule="auto"/>
        <w:jc w:val="both"/>
        <w:rPr>
          <w:rFonts w:ascii="Tahoma" w:hAnsi="Tahoma" w:cs="Tahoma"/>
          <w:b/>
          <w:sz w:val="16"/>
          <w:szCs w:val="16"/>
        </w:rPr>
      </w:pPr>
      <w:r w:rsidRPr="000B5F26">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výsledku </w:t>
      </w:r>
      <w:r w:rsidRPr="000B5F26">
        <w:rPr>
          <w:rFonts w:ascii="Tahoma" w:hAnsi="Tahoma" w:cs="Tahoma"/>
          <w:b/>
          <w:sz w:val="16"/>
          <w:szCs w:val="16"/>
        </w:rPr>
        <w:t xml:space="preserve">nadlimitní veřejné zakázky s názvem </w:t>
      </w:r>
      <w:r w:rsidR="007F3222">
        <w:rPr>
          <w:rFonts w:ascii="Tahoma" w:hAnsi="Tahoma" w:cs="Tahoma"/>
          <w:b/>
          <w:sz w:val="16"/>
          <w:szCs w:val="16"/>
        </w:rPr>
        <w:t>„</w:t>
      </w:r>
      <w:r w:rsidR="00733B74" w:rsidRPr="00C322BC">
        <w:rPr>
          <w:rFonts w:ascii="Tahoma" w:hAnsi="Tahoma" w:cs="Tahoma"/>
          <w:b/>
          <w:sz w:val="16"/>
          <w:szCs w:val="16"/>
        </w:rPr>
        <w:t xml:space="preserve">Dodávky </w:t>
      </w:r>
      <w:r w:rsidR="00FD41B9" w:rsidRPr="00C322BC">
        <w:rPr>
          <w:rFonts w:ascii="Tahoma" w:hAnsi="Tahoma" w:cs="Tahoma"/>
          <w:b/>
          <w:sz w:val="16"/>
          <w:szCs w:val="16"/>
        </w:rPr>
        <w:t>léčiv</w:t>
      </w:r>
      <w:r w:rsidR="00B25515">
        <w:rPr>
          <w:rFonts w:ascii="Tahoma" w:hAnsi="Tahoma" w:cs="Tahoma"/>
          <w:b/>
          <w:sz w:val="16"/>
          <w:szCs w:val="16"/>
        </w:rPr>
        <w:t>ého přípravku s účinnou látkou</w:t>
      </w:r>
      <w:r w:rsidR="00822399">
        <w:rPr>
          <w:rFonts w:ascii="Tahoma" w:hAnsi="Tahoma" w:cs="Tahoma"/>
          <w:b/>
          <w:sz w:val="16"/>
          <w:szCs w:val="16"/>
        </w:rPr>
        <w:t xml:space="preserve"> </w:t>
      </w:r>
      <w:r w:rsidR="00C47242" w:rsidRPr="00C47242">
        <w:rPr>
          <w:rFonts w:ascii="Tahoma" w:hAnsi="Tahoma" w:cs="Tahoma"/>
          <w:b/>
          <w:sz w:val="16"/>
          <w:szCs w:val="16"/>
        </w:rPr>
        <w:t>NERATINIB-MALEINÁT</w:t>
      </w:r>
      <w:r w:rsidRPr="000B5F26">
        <w:rPr>
          <w:rFonts w:ascii="Tahoma" w:hAnsi="Tahoma" w:cs="Tahoma"/>
          <w:b/>
          <w:sz w:val="16"/>
          <w:szCs w:val="16"/>
        </w:rPr>
        <w:t>“,</w:t>
      </w:r>
      <w:r w:rsidRPr="000B5F26">
        <w:rPr>
          <w:rFonts w:ascii="Tahoma" w:hAnsi="Tahoma" w:cs="Tahoma"/>
          <w:sz w:val="16"/>
          <w:szCs w:val="16"/>
        </w:rPr>
        <w:t xml:space="preserve"> vyhlášené otevřeným řízením dle záko</w:t>
      </w:r>
      <w:r w:rsidR="00F87B73" w:rsidRPr="000B5F26">
        <w:rPr>
          <w:rFonts w:ascii="Tahoma" w:hAnsi="Tahoma" w:cs="Tahoma"/>
          <w:sz w:val="16"/>
          <w:szCs w:val="16"/>
        </w:rPr>
        <w:t>n</w:t>
      </w:r>
      <w:r w:rsidRPr="000B5F26">
        <w:rPr>
          <w:rFonts w:ascii="Tahoma" w:hAnsi="Tahoma" w:cs="Tahoma"/>
          <w:sz w:val="16"/>
          <w:szCs w:val="16"/>
        </w:rPr>
        <w:t xml:space="preserve">a č. 134/2016 Sb., o zadávání veřejných zakázek (dále jen „z. č. 134/2016 Sb.“) a zveřejněné ve Věstníku veřejných zakázek. pod ev. č. </w:t>
      </w:r>
      <w:r w:rsidR="000511CB" w:rsidRPr="000511CB">
        <w:rPr>
          <w:rFonts w:ascii="Tahoma" w:hAnsi="Tahoma" w:cs="Tahoma"/>
          <w:sz w:val="16"/>
          <w:szCs w:val="16"/>
        </w:rPr>
        <w:t>Z2022-000371</w:t>
      </w:r>
      <w:r w:rsidRPr="000B5F26">
        <w:rPr>
          <w:rFonts w:ascii="Tahoma" w:hAnsi="Tahoma" w:cs="Tahoma"/>
          <w:sz w:val="16"/>
          <w:szCs w:val="16"/>
        </w:rPr>
        <w:t xml:space="preserve"> ze dne </w:t>
      </w:r>
      <w:r w:rsidR="000511CB">
        <w:rPr>
          <w:rFonts w:ascii="Tahoma" w:hAnsi="Tahoma" w:cs="Tahoma"/>
          <w:sz w:val="16"/>
          <w:szCs w:val="16"/>
        </w:rPr>
        <w:t>7.1.2022</w:t>
      </w:r>
      <w:r w:rsidRPr="000B5F26">
        <w:rPr>
          <w:rFonts w:ascii="Tahoma" w:hAnsi="Tahoma" w:cs="Tahoma"/>
          <w:sz w:val="16"/>
          <w:szCs w:val="16"/>
        </w:rPr>
        <w:t xml:space="preserve"> a v Úředním věstníku Evropské unie pod č. oznámení o zahájení zadávacího řízení </w:t>
      </w:r>
      <w:r w:rsidR="000511CB" w:rsidRPr="000511CB">
        <w:rPr>
          <w:rFonts w:ascii="Tahoma" w:hAnsi="Tahoma" w:cs="Tahoma"/>
          <w:sz w:val="16"/>
          <w:szCs w:val="16"/>
        </w:rPr>
        <w:t>2022/S 005-006188</w:t>
      </w:r>
      <w:r w:rsidRPr="000B5F26">
        <w:rPr>
          <w:rFonts w:ascii="Tahoma" w:hAnsi="Tahoma" w:cs="Tahoma"/>
          <w:sz w:val="16"/>
          <w:szCs w:val="16"/>
        </w:rPr>
        <w:t xml:space="preserve"> ze dne </w:t>
      </w:r>
      <w:r w:rsidR="000511CB">
        <w:rPr>
          <w:rFonts w:ascii="Tahoma" w:hAnsi="Tahoma" w:cs="Tahoma"/>
          <w:sz w:val="16"/>
          <w:szCs w:val="16"/>
        </w:rPr>
        <w:t xml:space="preserve">7.1.2022 </w:t>
      </w:r>
      <w:r w:rsidRPr="000B5F26">
        <w:rPr>
          <w:rFonts w:ascii="Tahoma" w:hAnsi="Tahoma" w:cs="Tahoma"/>
          <w:sz w:val="16"/>
          <w:szCs w:val="16"/>
        </w:rPr>
        <w:t xml:space="preserve">(dále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8F3EA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8F3EA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8F3EA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2E07DF">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61A0A0A0" w:rsidR="00C655CE" w:rsidRPr="00EE2B4E" w:rsidRDefault="00C655CE" w:rsidP="008F3EAE">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Předmětem plnění dle této smlouvy jsou dodávky</w:t>
      </w:r>
      <w:r w:rsidR="007F3222">
        <w:rPr>
          <w:rFonts w:ascii="Tahoma" w:hAnsi="Tahoma" w:cs="Tahoma"/>
          <w:sz w:val="16"/>
          <w:szCs w:val="16"/>
        </w:rPr>
        <w:t xml:space="preserve"> </w:t>
      </w:r>
      <w:r w:rsidR="00733B74">
        <w:rPr>
          <w:rFonts w:ascii="Tahoma" w:hAnsi="Tahoma" w:cs="Tahoma"/>
          <w:sz w:val="16"/>
          <w:szCs w:val="16"/>
        </w:rPr>
        <w:t>léčivých přípravků</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C52459" w:rsidRPr="00EE2B4E">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B622AF">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8F3EA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2E07DF">
      <w:pPr>
        <w:autoSpaceDE w:val="0"/>
        <w:autoSpaceDN w:val="0"/>
        <w:adjustRightInd w:val="0"/>
        <w:spacing w:after="0" w:line="240" w:lineRule="auto"/>
        <w:outlineLvl w:val="0"/>
        <w:rPr>
          <w:rFonts w:ascii="Tahoma" w:hAnsi="Tahoma" w:cs="Tahoma"/>
          <w:b/>
          <w:bCs/>
          <w:sz w:val="16"/>
          <w:szCs w:val="16"/>
        </w:rPr>
      </w:pPr>
    </w:p>
    <w:p w14:paraId="73C10992" w14:textId="4F7B9919" w:rsidR="00C655CE" w:rsidRDefault="00C655CE" w:rsidP="008F3EAE">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77574D78" w:rsidR="00C655CE" w:rsidRPr="000B5F26" w:rsidRDefault="00C655CE" w:rsidP="008F3EA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r w:rsidR="00F21206">
        <w:rPr>
          <w:rFonts w:ascii="Tahoma" w:hAnsi="Tahoma" w:cs="Tahoma"/>
          <w:b/>
          <w:sz w:val="16"/>
          <w:szCs w:val="16"/>
        </w:rPr>
        <w:t>nemocnice@a-h.cz</w:t>
      </w:r>
      <w:r w:rsidRPr="000B5F26">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28D5455A"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505773A1" w:rsidR="00C655CE" w:rsidRPr="000B5F26" w:rsidRDefault="00C655CE" w:rsidP="008F3EA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w:t>
      </w:r>
      <w:r w:rsidR="000C62CA">
        <w:rPr>
          <w:rFonts w:ascii="Tahoma" w:hAnsi="Tahoma" w:cs="Tahoma"/>
          <w:sz w:val="16"/>
          <w:szCs w:val="16"/>
        </w:rPr>
        <w:t>je povinen</w:t>
      </w:r>
      <w:r w:rsidRPr="000B5F26">
        <w:rPr>
          <w:rFonts w:ascii="Tahoma" w:hAnsi="Tahoma" w:cs="Tahoma"/>
          <w:sz w:val="16"/>
          <w:szCs w:val="16"/>
        </w:rPr>
        <w:t xml:space="preserve">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5C45F469" w:rsidR="00202A1F" w:rsidRDefault="00202A1F">
      <w:pPr>
        <w:autoSpaceDE w:val="0"/>
        <w:autoSpaceDN w:val="0"/>
        <w:adjustRightInd w:val="0"/>
        <w:spacing w:after="0" w:line="240" w:lineRule="auto"/>
        <w:jc w:val="both"/>
        <w:rPr>
          <w:rFonts w:ascii="Tahoma" w:hAnsi="Tahoma" w:cs="Tahoma"/>
          <w:sz w:val="16"/>
          <w:szCs w:val="16"/>
        </w:rPr>
      </w:pPr>
    </w:p>
    <w:p w14:paraId="02BE3F02" w14:textId="77777777" w:rsidR="004A14BD" w:rsidRDefault="004A14BD">
      <w:pPr>
        <w:autoSpaceDE w:val="0"/>
        <w:autoSpaceDN w:val="0"/>
        <w:adjustRightInd w:val="0"/>
        <w:spacing w:after="0" w:line="240" w:lineRule="auto"/>
        <w:jc w:val="both"/>
        <w:rPr>
          <w:rFonts w:ascii="Tahoma" w:hAnsi="Tahoma" w:cs="Tahoma"/>
          <w:sz w:val="16"/>
          <w:szCs w:val="16"/>
        </w:rPr>
      </w:pPr>
    </w:p>
    <w:p w14:paraId="060B3A94" w14:textId="096CE69F" w:rsidR="00C655CE" w:rsidRPr="000B5F26" w:rsidRDefault="00C655CE" w:rsidP="002E07DF">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224962106 </w:t>
      </w:r>
    </w:p>
    <w:p w14:paraId="4D405A5E"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lastRenderedPageBreak/>
        <w:t xml:space="preserve">Oddělení výdeje pro veřejnost II, Ke Karlovu 6,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tel.: 224967609</w:t>
      </w:r>
    </w:p>
    <w:p w14:paraId="278DFC8D"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224966707 </w:t>
      </w:r>
    </w:p>
    <w:p w14:paraId="542954F6" w14:textId="77777777" w:rsidR="004B0FD6" w:rsidRPr="000B5F26" w:rsidRDefault="00C655CE" w:rsidP="008F3EAE">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5"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tel.: 224967676</w:t>
      </w:r>
    </w:p>
    <w:p w14:paraId="332718BB" w14:textId="5783E18E" w:rsidR="00C655CE" w:rsidRDefault="00C655CE">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970D668" w14:textId="77777777" w:rsidR="004A14BD" w:rsidRDefault="004A14BD">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2E07DF">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8F3EA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8DE521B" w:rsidR="00C655CE" w:rsidRDefault="00C655CE" w:rsidP="002E07DF">
      <w:pPr>
        <w:autoSpaceDE w:val="0"/>
        <w:autoSpaceDN w:val="0"/>
        <w:adjustRightInd w:val="0"/>
        <w:spacing w:after="0" w:line="240" w:lineRule="auto"/>
        <w:jc w:val="center"/>
        <w:rPr>
          <w:rFonts w:ascii="Tahoma" w:hAnsi="Tahoma" w:cs="Tahoma"/>
          <w:b/>
          <w:bCs/>
          <w:sz w:val="16"/>
          <w:szCs w:val="16"/>
        </w:rPr>
      </w:pPr>
    </w:p>
    <w:p w14:paraId="0400DF9B" w14:textId="77777777" w:rsidR="004A14BD" w:rsidRPr="000B5F26" w:rsidRDefault="004A14BD" w:rsidP="002E07DF">
      <w:pPr>
        <w:autoSpaceDE w:val="0"/>
        <w:autoSpaceDN w:val="0"/>
        <w:adjustRightInd w:val="0"/>
        <w:spacing w:after="0" w:line="240" w:lineRule="auto"/>
        <w:jc w:val="center"/>
        <w:rPr>
          <w:rFonts w:ascii="Tahoma" w:hAnsi="Tahoma" w:cs="Tahoma"/>
          <w:b/>
          <w:bCs/>
          <w:sz w:val="16"/>
          <w:szCs w:val="16"/>
        </w:rPr>
      </w:pPr>
    </w:p>
    <w:p w14:paraId="69FC353E" w14:textId="77777777" w:rsidR="00C655CE" w:rsidRPr="000B5F26" w:rsidRDefault="00C655CE" w:rsidP="002E07DF">
      <w:pPr>
        <w:autoSpaceDE w:val="0"/>
        <w:autoSpaceDN w:val="0"/>
        <w:adjustRightInd w:val="0"/>
        <w:spacing w:after="0" w:line="240" w:lineRule="auto"/>
        <w:jc w:val="center"/>
        <w:rPr>
          <w:rFonts w:ascii="Tahoma" w:hAnsi="Tahoma" w:cs="Tahoma"/>
          <w:b/>
          <w:bCs/>
          <w:sz w:val="16"/>
          <w:szCs w:val="16"/>
        </w:rPr>
      </w:pPr>
      <w:r w:rsidRPr="000B5F26">
        <w:rPr>
          <w:rFonts w:ascii="Tahoma" w:hAnsi="Tahoma" w:cs="Tahoma"/>
          <w:b/>
          <w:bCs/>
          <w:sz w:val="16"/>
          <w:szCs w:val="16"/>
        </w:rPr>
        <w:t>V. Kupní cena</w:t>
      </w:r>
    </w:p>
    <w:p w14:paraId="0B937FBE" w14:textId="10CF70E6" w:rsidR="00C655CE" w:rsidRPr="000B5F26" w:rsidRDefault="00C655CE" w:rsidP="008F3EA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61A3B83F" w:rsidR="00C655CE" w:rsidRPr="00DF26E5"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Po dobu účinnosti této smlouvy se prodávající zavazuje, že nepřekročí cenu uvedenou v příloze č.</w:t>
      </w:r>
      <w:r w:rsidR="00D35916">
        <w:rPr>
          <w:rFonts w:ascii="Tahoma" w:hAnsi="Tahoma" w:cs="Tahoma"/>
          <w:sz w:val="16"/>
          <w:szCs w:val="16"/>
        </w:rPr>
        <w:t xml:space="preserve"> </w:t>
      </w:r>
      <w:r w:rsidRPr="00DF26E5">
        <w:rPr>
          <w:rFonts w:ascii="Tahoma" w:hAnsi="Tahoma" w:cs="Tahoma"/>
          <w:sz w:val="16"/>
          <w:szCs w:val="16"/>
        </w:rPr>
        <w:t xml:space="preserve">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w:t>
      </w:r>
      <w:r w:rsidRPr="000B5F26">
        <w:rPr>
          <w:rFonts w:ascii="Tahoma" w:hAnsi="Tahoma" w:cs="Tahoma"/>
          <w:sz w:val="16"/>
          <w:szCs w:val="16"/>
        </w:rPr>
        <w:t xml:space="preserve">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8F3EA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18B63BA9" w14:textId="12CFEC0D" w:rsidR="004A14BD" w:rsidRDefault="004A14BD" w:rsidP="002E07DF">
      <w:pPr>
        <w:spacing w:after="0" w:line="240" w:lineRule="auto"/>
        <w:jc w:val="both"/>
        <w:rPr>
          <w:rFonts w:ascii="Tahoma" w:hAnsi="Tahoma" w:cs="Tahoma"/>
          <w:sz w:val="16"/>
          <w:szCs w:val="16"/>
        </w:rPr>
      </w:pPr>
    </w:p>
    <w:p w14:paraId="4D9F7BAC" w14:textId="77777777" w:rsidR="004A14BD" w:rsidRPr="000B5F26" w:rsidRDefault="004A14BD" w:rsidP="002E07DF">
      <w:pPr>
        <w:spacing w:after="0" w:line="240" w:lineRule="auto"/>
        <w:jc w:val="both"/>
        <w:rPr>
          <w:rFonts w:ascii="Tahoma" w:hAnsi="Tahoma" w:cs="Tahoma"/>
          <w:sz w:val="16"/>
          <w:szCs w:val="16"/>
        </w:rPr>
      </w:pPr>
    </w:p>
    <w:p w14:paraId="116CB4B3" w14:textId="77777777" w:rsidR="00C655CE" w:rsidRPr="000B5F26" w:rsidRDefault="00C655CE" w:rsidP="002E07DF">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8F3EA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6"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8F3EA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2E07DF">
      <w:pPr>
        <w:autoSpaceDE w:val="0"/>
        <w:autoSpaceDN w:val="0"/>
        <w:adjustRightInd w:val="0"/>
        <w:spacing w:after="0" w:line="240" w:lineRule="auto"/>
        <w:outlineLvl w:val="0"/>
        <w:rPr>
          <w:rFonts w:ascii="Tahoma" w:hAnsi="Tahoma" w:cs="Tahoma"/>
          <w:b/>
          <w:bCs/>
          <w:sz w:val="16"/>
          <w:szCs w:val="16"/>
        </w:rPr>
      </w:pPr>
    </w:p>
    <w:p w14:paraId="25DA967A" w14:textId="77777777" w:rsidR="00C655CE" w:rsidRPr="000B5F26" w:rsidRDefault="00C655CE" w:rsidP="002E07DF">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45FBBE1B" w:rsidR="00C655CE" w:rsidRPr="000B5F26" w:rsidRDefault="00C655CE" w:rsidP="008F3EA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w:t>
      </w:r>
      <w:r w:rsidR="00DB4D05">
        <w:rPr>
          <w:rFonts w:ascii="Tahoma" w:hAnsi="Tahoma" w:cs="Tahoma"/>
          <w:sz w:val="16"/>
          <w:szCs w:val="16"/>
        </w:rPr>
        <w:t>odpovídá</w:t>
      </w:r>
      <w:r w:rsidR="00DB4D05" w:rsidRPr="000B5F26">
        <w:rPr>
          <w:rFonts w:ascii="Tahoma" w:hAnsi="Tahoma" w:cs="Tahoma"/>
          <w:sz w:val="16"/>
          <w:szCs w:val="16"/>
        </w:rPr>
        <w:t xml:space="preserve"> </w:t>
      </w:r>
      <w:r w:rsidRPr="000B5F2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Pr="000B5F26"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F26E5">
        <w:rPr>
          <w:rFonts w:ascii="Tahoma" w:hAnsi="Tahoma" w:cs="Tahoma"/>
          <w:sz w:val="16"/>
          <w:szCs w:val="16"/>
        </w:rPr>
        <w:t xml:space="preserve">kupujícímu minimálně </w:t>
      </w:r>
      <w:r w:rsidR="00551769" w:rsidRPr="00DF26E5">
        <w:rPr>
          <w:rFonts w:ascii="Tahoma" w:hAnsi="Tahoma" w:cs="Tahoma"/>
          <w:sz w:val="16"/>
          <w:szCs w:val="16"/>
        </w:rPr>
        <w:t>6</w:t>
      </w:r>
      <w:r w:rsidR="008A5FBB" w:rsidRPr="00DF26E5">
        <w:rPr>
          <w:rFonts w:ascii="Tahoma" w:hAnsi="Tahoma" w:cs="Tahoma"/>
          <w:sz w:val="16"/>
          <w:szCs w:val="16"/>
        </w:rPr>
        <w:t xml:space="preserve"> </w:t>
      </w:r>
      <w:r w:rsidRPr="00DF26E5">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8F3EA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A58643A" w:rsidR="00C655CE" w:rsidRDefault="00C655CE" w:rsidP="002E07DF">
      <w:pPr>
        <w:autoSpaceDE w:val="0"/>
        <w:autoSpaceDN w:val="0"/>
        <w:adjustRightInd w:val="0"/>
        <w:spacing w:after="0" w:line="240" w:lineRule="auto"/>
        <w:jc w:val="both"/>
        <w:outlineLvl w:val="0"/>
        <w:rPr>
          <w:rFonts w:ascii="Tahoma" w:hAnsi="Tahoma" w:cs="Tahoma"/>
          <w:b/>
          <w:bCs/>
          <w:sz w:val="16"/>
          <w:szCs w:val="16"/>
        </w:rPr>
      </w:pPr>
    </w:p>
    <w:p w14:paraId="2C09F0BE" w14:textId="77777777" w:rsidR="004A14BD" w:rsidRPr="000B5F26" w:rsidRDefault="004A14BD" w:rsidP="002E07DF">
      <w:pPr>
        <w:autoSpaceDE w:val="0"/>
        <w:autoSpaceDN w:val="0"/>
        <w:adjustRightInd w:val="0"/>
        <w:spacing w:after="0" w:line="240" w:lineRule="auto"/>
        <w:jc w:val="both"/>
        <w:outlineLvl w:val="0"/>
        <w:rPr>
          <w:rFonts w:ascii="Tahoma" w:hAnsi="Tahoma" w:cs="Tahoma"/>
          <w:b/>
          <w:bCs/>
          <w:sz w:val="16"/>
          <w:szCs w:val="16"/>
        </w:rPr>
      </w:pPr>
    </w:p>
    <w:p w14:paraId="230C5E5F" w14:textId="77777777" w:rsidR="00C655CE" w:rsidRPr="000B5F26" w:rsidRDefault="00C655CE" w:rsidP="002E07DF">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65B8EABF" w:rsidR="00C655CE" w:rsidRPr="000B5F26" w:rsidRDefault="00C655CE" w:rsidP="008F3EA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DF26E5">
        <w:rPr>
          <w:rFonts w:ascii="Tahoma" w:hAnsi="Tahoma" w:cs="Tahoma"/>
          <w:sz w:val="16"/>
          <w:szCs w:val="16"/>
        </w:rPr>
        <w:t xml:space="preserve">výši </w:t>
      </w:r>
      <w:r w:rsidR="00551769" w:rsidRPr="00DF26E5">
        <w:rPr>
          <w:rFonts w:ascii="Tahoma" w:hAnsi="Tahoma" w:cs="Tahoma"/>
          <w:sz w:val="16"/>
          <w:szCs w:val="16"/>
        </w:rPr>
        <w:t>10</w:t>
      </w:r>
      <w:r w:rsidR="00D5345A">
        <w:rPr>
          <w:rFonts w:ascii="Tahoma" w:hAnsi="Tahoma" w:cs="Tahoma"/>
          <w:sz w:val="16"/>
          <w:szCs w:val="16"/>
        </w:rPr>
        <w:t>.</w:t>
      </w:r>
      <w:r w:rsidR="00551769" w:rsidRPr="00DF26E5">
        <w:rPr>
          <w:rFonts w:ascii="Tahoma" w:hAnsi="Tahoma" w:cs="Tahoma"/>
          <w:sz w:val="16"/>
          <w:szCs w:val="16"/>
        </w:rPr>
        <w:t>000</w:t>
      </w:r>
      <w:r w:rsidR="0059792E" w:rsidRPr="00DF26E5">
        <w:rPr>
          <w:rFonts w:ascii="Tahoma" w:hAnsi="Tahoma" w:cs="Tahoma"/>
          <w:sz w:val="16"/>
          <w:szCs w:val="16"/>
        </w:rPr>
        <w:t>.</w:t>
      </w:r>
      <w:r w:rsidR="00551769" w:rsidRPr="00DF26E5">
        <w:rPr>
          <w:rFonts w:ascii="Tahoma" w:hAnsi="Tahoma" w:cs="Tahoma"/>
          <w:sz w:val="16"/>
          <w:szCs w:val="16"/>
        </w:rPr>
        <w:t xml:space="preserve">000,- </w:t>
      </w:r>
      <w:r w:rsidRPr="00DF26E5">
        <w:rPr>
          <w:rFonts w:ascii="Tahoma" w:hAnsi="Tahoma" w:cs="Tahoma"/>
          <w:sz w:val="16"/>
          <w:szCs w:val="16"/>
        </w:rPr>
        <w:t>Kč.</w:t>
      </w:r>
    </w:p>
    <w:p w14:paraId="3CE1AD74" w14:textId="1D8C2986" w:rsidR="00C655CE" w:rsidRPr="000B5F26" w:rsidRDefault="00C655CE" w:rsidP="008F3EA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 xml:space="preserve">Prodávající je povinen udržovat pojištění dle odst. 1 </w:t>
      </w:r>
      <w:r w:rsidR="00D5345A">
        <w:rPr>
          <w:rFonts w:ascii="Tahoma" w:hAnsi="Tahoma" w:cs="Tahoma"/>
          <w:sz w:val="16"/>
          <w:szCs w:val="16"/>
        </w:rPr>
        <w:t>tohoto článku</w:t>
      </w:r>
      <w:r w:rsidRPr="000B5F2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1465839D" w:rsidR="00C655CE" w:rsidRDefault="00C655CE" w:rsidP="002E07DF">
      <w:pPr>
        <w:autoSpaceDE w:val="0"/>
        <w:autoSpaceDN w:val="0"/>
        <w:adjustRightInd w:val="0"/>
        <w:spacing w:after="0" w:line="240" w:lineRule="auto"/>
        <w:jc w:val="center"/>
        <w:outlineLvl w:val="0"/>
        <w:rPr>
          <w:rFonts w:ascii="Tahoma" w:hAnsi="Tahoma" w:cs="Tahoma"/>
          <w:b/>
          <w:bCs/>
          <w:sz w:val="16"/>
          <w:szCs w:val="16"/>
        </w:rPr>
      </w:pPr>
    </w:p>
    <w:p w14:paraId="638793F1" w14:textId="77777777" w:rsidR="004A14BD" w:rsidRPr="000B5F26" w:rsidRDefault="004A14BD" w:rsidP="002E07DF">
      <w:pPr>
        <w:autoSpaceDE w:val="0"/>
        <w:autoSpaceDN w:val="0"/>
        <w:adjustRightInd w:val="0"/>
        <w:spacing w:after="0" w:line="240" w:lineRule="auto"/>
        <w:jc w:val="center"/>
        <w:outlineLvl w:val="0"/>
        <w:rPr>
          <w:rFonts w:ascii="Tahoma" w:hAnsi="Tahoma" w:cs="Tahoma"/>
          <w:b/>
          <w:bCs/>
          <w:sz w:val="16"/>
          <w:szCs w:val="16"/>
        </w:rPr>
      </w:pPr>
    </w:p>
    <w:p w14:paraId="6B83F943" w14:textId="77777777" w:rsidR="00C655CE" w:rsidRPr="000B5F26" w:rsidRDefault="00C655CE" w:rsidP="002E07DF">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8F3EAE">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373BE995"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2334ADB5">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bez DPH za každý i započatý den prodlení. </w:t>
      </w:r>
    </w:p>
    <w:p w14:paraId="6C5F7476" w14:textId="20FF1386"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2334ADB5">
        <w:rPr>
          <w:rFonts w:ascii="Tahoma" w:hAnsi="Tahoma" w:cs="Tahoma"/>
          <w:sz w:val="16"/>
          <w:szCs w:val="16"/>
        </w:rPr>
        <w:t>Bude-li prodávající v prodlení s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uvní pokutu ve výši 100.000,-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8F3EAE">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2E07DF">
      <w:pPr>
        <w:autoSpaceDE w:val="0"/>
        <w:autoSpaceDN w:val="0"/>
        <w:adjustRightInd w:val="0"/>
        <w:spacing w:after="0" w:line="240" w:lineRule="auto"/>
        <w:jc w:val="both"/>
        <w:rPr>
          <w:rFonts w:ascii="Tahoma" w:hAnsi="Tahoma" w:cs="Tahoma"/>
          <w:b/>
          <w:bCs/>
          <w:sz w:val="16"/>
          <w:szCs w:val="16"/>
        </w:rPr>
      </w:pPr>
    </w:p>
    <w:p w14:paraId="38B3707D" w14:textId="77777777" w:rsidR="00C655CE" w:rsidRPr="000B5F26" w:rsidRDefault="00C655CE" w:rsidP="002E07DF">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46175B1B" w:rsidR="00C655CE" w:rsidRPr="000B5F26" w:rsidRDefault="00C655CE" w:rsidP="008F3EA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w:t>
      </w:r>
      <w:r w:rsidR="006B53E3">
        <w:rPr>
          <w:rFonts w:ascii="Tahoma" w:hAnsi="Tahoma" w:cs="Tahoma"/>
          <w:sz w:val="16"/>
          <w:szCs w:val="16"/>
        </w:rPr>
        <w:t> </w:t>
      </w:r>
      <w:r w:rsidR="00DC54EB" w:rsidRPr="000B5F26">
        <w:rPr>
          <w:rFonts w:ascii="Tahoma" w:hAnsi="Tahoma" w:cs="Tahoma"/>
          <w:sz w:val="16"/>
          <w:szCs w:val="16"/>
        </w:rPr>
        <w:t xml:space="preserve">jakosti a provedení dle této smlouvy </w:t>
      </w:r>
      <w:r w:rsidR="00DC54EB">
        <w:rPr>
          <w:rFonts w:ascii="Tahoma" w:hAnsi="Tahoma" w:cs="Tahoma"/>
          <w:sz w:val="16"/>
          <w:szCs w:val="16"/>
        </w:rPr>
        <w:t xml:space="preserve">a v </w:t>
      </w:r>
      <w:r w:rsidRPr="000B5F26">
        <w:rPr>
          <w:rFonts w:ascii="Tahoma" w:hAnsi="Tahoma" w:cs="Tahoma"/>
          <w:sz w:val="16"/>
          <w:szCs w:val="16"/>
        </w:rPr>
        <w:t>množství</w:t>
      </w:r>
      <w:r w:rsidR="006B53E3">
        <w:rPr>
          <w:rFonts w:ascii="Tahoma" w:hAnsi="Tahoma" w:cs="Tahoma"/>
          <w:sz w:val="16"/>
          <w:szCs w:val="16"/>
        </w:rPr>
        <w:t xml:space="preserve"> dle objednávky</w:t>
      </w:r>
      <w:r w:rsidRPr="000B5F26">
        <w:rPr>
          <w:rFonts w:ascii="Tahoma" w:hAnsi="Tahoma" w:cs="Tahoma"/>
          <w:sz w:val="16"/>
          <w:szCs w:val="16"/>
        </w:rPr>
        <w:t>,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8F3EA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2E07DF">
      <w:pPr>
        <w:autoSpaceDE w:val="0"/>
        <w:autoSpaceDN w:val="0"/>
        <w:adjustRightInd w:val="0"/>
        <w:spacing w:after="0" w:line="240" w:lineRule="auto"/>
        <w:outlineLvl w:val="0"/>
        <w:rPr>
          <w:rFonts w:ascii="Tahoma" w:hAnsi="Tahoma" w:cs="Tahoma"/>
          <w:b/>
          <w:bCs/>
          <w:sz w:val="16"/>
          <w:szCs w:val="16"/>
        </w:rPr>
      </w:pPr>
    </w:p>
    <w:p w14:paraId="54CA8683" w14:textId="77777777" w:rsidR="00C655CE" w:rsidRPr="000B5F26" w:rsidRDefault="00C655CE" w:rsidP="002E07DF">
      <w:pPr>
        <w:autoSpaceDE w:val="0"/>
        <w:autoSpaceDN w:val="0"/>
        <w:adjustRightInd w:val="0"/>
        <w:spacing w:after="0" w:line="240" w:lineRule="auto"/>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58687528" w:rsidR="0081013B" w:rsidRPr="000B5F26" w:rsidRDefault="00C655CE" w:rsidP="008F3EAE">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a objednávek vystavených na základě této smlouvy stanoveným způsobem</w:t>
      </w:r>
      <w:bookmarkStart w:id="1" w:name="_Hlk524693074"/>
      <w:r w:rsidR="00394D67">
        <w:rPr>
          <w:rFonts w:ascii="Tahoma" w:hAnsi="Tahoma" w:cs="Tahoma"/>
          <w:sz w:val="16"/>
          <w:szCs w:val="16"/>
        </w:rPr>
        <w:t>.</w:t>
      </w:r>
    </w:p>
    <w:bookmarkEnd w:id="1"/>
    <w:p w14:paraId="593A1CD9" w14:textId="04FC49BC"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8F3EA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0BB0E160" w:rsidR="00A05CB8" w:rsidRDefault="00A05CB8">
      <w:pPr>
        <w:autoSpaceDE w:val="0"/>
        <w:autoSpaceDN w:val="0"/>
        <w:adjustRightInd w:val="0"/>
        <w:spacing w:after="0" w:line="240" w:lineRule="auto"/>
        <w:jc w:val="both"/>
        <w:rPr>
          <w:rFonts w:ascii="Tahoma" w:hAnsi="Tahoma" w:cs="Tahoma"/>
          <w:b/>
          <w:bCs/>
          <w:sz w:val="16"/>
          <w:szCs w:val="16"/>
        </w:rPr>
      </w:pPr>
    </w:p>
    <w:p w14:paraId="1BC2DDC5" w14:textId="77777777" w:rsidR="004A14BD" w:rsidRPr="000B5F26" w:rsidRDefault="004A14BD">
      <w:pPr>
        <w:autoSpaceDE w:val="0"/>
        <w:autoSpaceDN w:val="0"/>
        <w:adjustRightInd w:val="0"/>
        <w:spacing w:after="0" w:line="240" w:lineRule="auto"/>
        <w:jc w:val="both"/>
        <w:rPr>
          <w:rFonts w:ascii="Tahoma" w:hAnsi="Tahoma" w:cs="Tahoma"/>
          <w:b/>
          <w:bCs/>
          <w:sz w:val="16"/>
          <w:szCs w:val="16"/>
        </w:rPr>
      </w:pPr>
    </w:p>
    <w:p w14:paraId="0FB5C768" w14:textId="1CC0C416" w:rsidR="00C655CE" w:rsidRPr="00394D67" w:rsidRDefault="00C655CE" w:rsidP="002E07DF">
      <w:pPr>
        <w:autoSpaceDE w:val="0"/>
        <w:autoSpaceDN w:val="0"/>
        <w:adjustRightInd w:val="0"/>
        <w:spacing w:after="0" w:line="240" w:lineRule="auto"/>
        <w:jc w:val="center"/>
        <w:rPr>
          <w:rFonts w:ascii="Tahoma" w:hAnsi="Tahoma" w:cs="Tahoma"/>
          <w:b/>
          <w:bCs/>
          <w:sz w:val="16"/>
          <w:szCs w:val="16"/>
        </w:rPr>
      </w:pPr>
      <w:r w:rsidRPr="00394D67">
        <w:rPr>
          <w:rFonts w:ascii="Tahoma" w:hAnsi="Tahoma" w:cs="Tahoma"/>
          <w:b/>
          <w:bCs/>
          <w:sz w:val="16"/>
          <w:szCs w:val="16"/>
        </w:rPr>
        <w:t>XII. Závěrečná ustanovení</w:t>
      </w:r>
    </w:p>
    <w:p w14:paraId="4BAF89D7" w14:textId="18C7DB3D" w:rsidR="00C655CE" w:rsidRPr="00394D67" w:rsidRDefault="00C655CE" w:rsidP="008F3EAE">
      <w:pPr>
        <w:numPr>
          <w:ilvl w:val="0"/>
          <w:numId w:val="12"/>
        </w:numPr>
        <w:autoSpaceDE w:val="0"/>
        <w:autoSpaceDN w:val="0"/>
        <w:adjustRightInd w:val="0"/>
        <w:spacing w:after="0" w:line="240" w:lineRule="auto"/>
        <w:jc w:val="both"/>
        <w:rPr>
          <w:rFonts w:ascii="Tahoma" w:hAnsi="Tahoma" w:cs="Tahoma"/>
          <w:sz w:val="16"/>
          <w:szCs w:val="16"/>
        </w:rPr>
      </w:pPr>
      <w:r w:rsidRPr="00394D67">
        <w:rPr>
          <w:rFonts w:ascii="Tahoma" w:hAnsi="Tahoma" w:cs="Tahoma"/>
          <w:sz w:val="16"/>
          <w:szCs w:val="16"/>
        </w:rPr>
        <w:t xml:space="preserve">Smlouva se uzavírá na dobu </w:t>
      </w:r>
      <w:r w:rsidR="00506E16" w:rsidRPr="00394D67">
        <w:rPr>
          <w:rFonts w:ascii="Tahoma" w:hAnsi="Tahoma" w:cs="Tahoma"/>
          <w:sz w:val="16"/>
          <w:szCs w:val="16"/>
        </w:rPr>
        <w:t>ne</w:t>
      </w:r>
      <w:r w:rsidRPr="00394D67">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 xml:space="preserve">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w:t>
      </w:r>
      <w:r w:rsidRPr="000B5F26">
        <w:rPr>
          <w:rFonts w:ascii="Tahoma" w:hAnsi="Tahoma" w:cs="Tahoma"/>
          <w:sz w:val="16"/>
          <w:szCs w:val="16"/>
        </w:rPr>
        <w:lastRenderedPageBreak/>
        <w:t>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505A1C58"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2334ADB5">
        <w:rPr>
          <w:rFonts w:ascii="Tahoma" w:hAnsi="Tahoma" w:cs="Tahoma"/>
          <w:sz w:val="16"/>
          <w:szCs w:val="16"/>
        </w:rPr>
        <w:t>Nedílnou součástí této smlouvy je tato příloha:</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1DB583F6"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V</w:t>
      </w:r>
      <w:r w:rsidR="00F21206">
        <w:rPr>
          <w:rFonts w:ascii="Tahoma" w:hAnsi="Tahoma" w:cs="Tahoma"/>
          <w:sz w:val="16"/>
          <w:szCs w:val="16"/>
        </w:rPr>
        <w:t> Praze</w:t>
      </w:r>
      <w:r w:rsidRPr="000B5F26">
        <w:rPr>
          <w:rFonts w:ascii="Tahoma" w:hAnsi="Tahoma" w:cs="Tahoma"/>
          <w:sz w:val="16"/>
          <w:szCs w:val="16"/>
        </w:rPr>
        <w:t xml:space="preserve"> dne: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45918810" w14:textId="5C815BB0" w:rsidR="00DD2863" w:rsidRPr="000B5F26" w:rsidRDefault="00C655CE" w:rsidP="00DD286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 xml:space="preserve">------------------------------------------                       </w:t>
      </w:r>
      <w:r w:rsidR="002E0DD4">
        <w:rPr>
          <w:rFonts w:ascii="Tahoma" w:hAnsi="Tahoma" w:cs="Tahoma"/>
          <w:sz w:val="16"/>
          <w:szCs w:val="16"/>
        </w:rPr>
        <w:t>xxx</w:t>
      </w:r>
      <w:r w:rsidRPr="000B5F26">
        <w:rPr>
          <w:rFonts w:ascii="Tahoma" w:hAnsi="Tahoma" w:cs="Tahoma"/>
          <w:sz w:val="16"/>
          <w:szCs w:val="16"/>
        </w:rPr>
        <w:tab/>
      </w:r>
      <w:r w:rsidR="00DD2863" w:rsidRPr="000B5F26">
        <w:rPr>
          <w:rFonts w:ascii="Tahoma" w:hAnsi="Tahoma" w:cs="Tahoma"/>
          <w:sz w:val="16"/>
          <w:szCs w:val="16"/>
        </w:rPr>
        <w:tab/>
      </w:r>
      <w:r w:rsidR="00376517" w:rsidRPr="000B5F26">
        <w:rPr>
          <w:rFonts w:ascii="Tahoma" w:hAnsi="Tahoma" w:cs="Tahoma"/>
          <w:sz w:val="16"/>
          <w:szCs w:val="16"/>
        </w:rPr>
        <w:tab/>
      </w:r>
      <w:r w:rsidR="000B5F26">
        <w:rPr>
          <w:rFonts w:ascii="Tahoma" w:hAnsi="Tahoma" w:cs="Tahoma"/>
          <w:sz w:val="16"/>
          <w:szCs w:val="16"/>
        </w:rPr>
        <w:tab/>
      </w:r>
      <w:r w:rsidR="002E0DD4">
        <w:rPr>
          <w:rFonts w:ascii="Tahoma" w:hAnsi="Tahoma" w:cs="Tahoma"/>
          <w:sz w:val="16"/>
          <w:szCs w:val="16"/>
        </w:rPr>
        <w:tab/>
      </w:r>
      <w:r w:rsidR="002E0DD4">
        <w:rPr>
          <w:rFonts w:ascii="Tahoma" w:hAnsi="Tahoma" w:cs="Tahoma"/>
          <w:sz w:val="16"/>
          <w:szCs w:val="16"/>
        </w:rPr>
        <w:tab/>
      </w:r>
      <w:r w:rsidR="002E0DD4">
        <w:rPr>
          <w:rFonts w:ascii="Tahoma" w:hAnsi="Tahoma" w:cs="Tahoma"/>
          <w:sz w:val="16"/>
          <w:szCs w:val="16"/>
        </w:rPr>
        <w:tab/>
      </w:r>
      <w:r w:rsidR="002E0DD4">
        <w:rPr>
          <w:rFonts w:ascii="Tahoma" w:hAnsi="Tahoma" w:cs="Tahoma"/>
          <w:sz w:val="16"/>
          <w:szCs w:val="16"/>
        </w:rPr>
        <w:tab/>
        <w:t>xxx</w:t>
      </w:r>
      <w:r w:rsidR="00DD2863" w:rsidRPr="000B5F26">
        <w:rPr>
          <w:rFonts w:ascii="Tahoma" w:hAnsi="Tahoma" w:cs="Tahoma"/>
          <w:sz w:val="16"/>
          <w:szCs w:val="16"/>
        </w:rPr>
        <w:t xml:space="preserve">  </w:t>
      </w:r>
    </w:p>
    <w:p w14:paraId="31D5C736" w14:textId="7EB439F0" w:rsidR="00C655CE" w:rsidRPr="000B5F26" w:rsidRDefault="00376517" w:rsidP="00DD286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ab/>
      </w:r>
      <w:r w:rsidRPr="000B5F26">
        <w:rPr>
          <w:rFonts w:ascii="Tahoma" w:hAnsi="Tahoma" w:cs="Tahoma"/>
          <w:sz w:val="16"/>
          <w:szCs w:val="16"/>
        </w:rPr>
        <w:tab/>
      </w:r>
      <w:r w:rsidR="00AF425D">
        <w:rPr>
          <w:rFonts w:ascii="Tahoma" w:hAnsi="Tahoma" w:cs="Tahoma"/>
          <w:sz w:val="16"/>
          <w:szCs w:val="16"/>
        </w:rPr>
        <w:t>jednatelé</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00982FB1">
        <w:rPr>
          <w:rFonts w:ascii="Tahoma" w:hAnsi="Tahoma" w:cs="Tahoma"/>
          <w:sz w:val="16"/>
          <w:szCs w:val="16"/>
        </w:rPr>
        <w:t xml:space="preserve">                                               </w:t>
      </w:r>
      <w:r w:rsidR="00AF425D">
        <w:rPr>
          <w:rFonts w:ascii="Tahoma" w:hAnsi="Tahoma" w:cs="Tahoma"/>
          <w:sz w:val="16"/>
          <w:szCs w:val="16"/>
        </w:rPr>
        <w:t xml:space="preserve">                 </w:t>
      </w:r>
      <w:r w:rsidR="00CC6C9C" w:rsidRPr="000B5F26">
        <w:rPr>
          <w:rFonts w:ascii="Tahoma" w:hAnsi="Tahoma" w:cs="Tahoma"/>
          <w:sz w:val="16"/>
          <w:szCs w:val="16"/>
        </w:rPr>
        <w:t>ředitel</w:t>
      </w:r>
    </w:p>
    <w:p w14:paraId="29EA3BC9" w14:textId="1A044C23" w:rsidR="00B16C78" w:rsidRPr="000B5F26" w:rsidRDefault="00B16C78" w:rsidP="00C655CE">
      <w:pPr>
        <w:rPr>
          <w:rFonts w:ascii="Tahoma" w:hAnsi="Tahoma" w:cs="Tahoma"/>
          <w:sz w:val="16"/>
          <w:szCs w:val="16"/>
        </w:rPr>
      </w:pPr>
    </w:p>
    <w:p w14:paraId="31E9A472" w14:textId="6B56790F" w:rsidR="00B16C78" w:rsidRPr="000B5F26" w:rsidRDefault="00B16C78" w:rsidP="00C655CE">
      <w:pPr>
        <w:rPr>
          <w:rFonts w:ascii="Tahoma" w:hAnsi="Tahoma" w:cs="Tahoma"/>
          <w:sz w:val="16"/>
          <w:szCs w:val="16"/>
        </w:rPr>
      </w:pPr>
    </w:p>
    <w:p w14:paraId="6F6F37DF" w14:textId="10A70AB2" w:rsidR="00B16C78" w:rsidRDefault="00B16C78" w:rsidP="00C655CE">
      <w:pPr>
        <w:rPr>
          <w:rFonts w:ascii="Tahoma" w:hAnsi="Tahoma" w:cs="Tahoma"/>
          <w:sz w:val="16"/>
          <w:szCs w:val="16"/>
        </w:rPr>
      </w:pPr>
    </w:p>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7A90B359" w14:textId="1C3D5346" w:rsidR="00B16C78" w:rsidRPr="000B5F26" w:rsidRDefault="00B16C78" w:rsidP="00C655CE">
      <w:pPr>
        <w:rPr>
          <w:rFonts w:ascii="Tahoma" w:hAnsi="Tahoma" w:cs="Tahoma"/>
          <w:sz w:val="16"/>
          <w:szCs w:val="16"/>
        </w:rPr>
      </w:pPr>
    </w:p>
    <w:p w14:paraId="77B0544E" w14:textId="4F4230C7" w:rsidR="00B16C78" w:rsidRDefault="00B16C78" w:rsidP="00C655CE">
      <w:pPr>
        <w:rPr>
          <w:rFonts w:ascii="Tahoma" w:hAnsi="Tahoma" w:cs="Tahoma"/>
          <w:sz w:val="16"/>
          <w:szCs w:val="16"/>
        </w:rPr>
      </w:pPr>
    </w:p>
    <w:p w14:paraId="39560F9F" w14:textId="35A20B9F" w:rsidR="000511CB" w:rsidRDefault="000511CB" w:rsidP="00C655CE">
      <w:pPr>
        <w:rPr>
          <w:rFonts w:ascii="Tahoma" w:hAnsi="Tahoma" w:cs="Tahoma"/>
          <w:sz w:val="16"/>
          <w:szCs w:val="16"/>
        </w:rPr>
      </w:pPr>
    </w:p>
    <w:p w14:paraId="24A4A9D5" w14:textId="5C140667" w:rsidR="000511CB" w:rsidRDefault="000511CB" w:rsidP="00C655CE">
      <w:pPr>
        <w:rPr>
          <w:rFonts w:ascii="Tahoma" w:hAnsi="Tahoma" w:cs="Tahoma"/>
          <w:sz w:val="16"/>
          <w:szCs w:val="16"/>
        </w:rPr>
      </w:pPr>
    </w:p>
    <w:p w14:paraId="074675D6" w14:textId="3523531B" w:rsidR="000511CB" w:rsidRDefault="000511CB" w:rsidP="00C655CE">
      <w:pPr>
        <w:rPr>
          <w:rFonts w:ascii="Tahoma" w:hAnsi="Tahoma" w:cs="Tahoma"/>
          <w:sz w:val="16"/>
          <w:szCs w:val="16"/>
        </w:rPr>
      </w:pPr>
    </w:p>
    <w:p w14:paraId="27380DC6" w14:textId="2C752C0A" w:rsidR="000511CB" w:rsidRDefault="000511CB" w:rsidP="00C655CE">
      <w:pPr>
        <w:rPr>
          <w:rFonts w:ascii="Tahoma" w:hAnsi="Tahoma" w:cs="Tahoma"/>
          <w:sz w:val="16"/>
          <w:szCs w:val="16"/>
        </w:rPr>
      </w:pPr>
    </w:p>
    <w:p w14:paraId="26273D92" w14:textId="4A71DDE2" w:rsidR="000511CB" w:rsidRDefault="000511CB" w:rsidP="00C655CE">
      <w:pPr>
        <w:rPr>
          <w:rFonts w:ascii="Tahoma" w:hAnsi="Tahoma" w:cs="Tahoma"/>
          <w:sz w:val="16"/>
          <w:szCs w:val="16"/>
        </w:rPr>
      </w:pPr>
    </w:p>
    <w:p w14:paraId="0D5A0AC2" w14:textId="525B7E48" w:rsidR="000511CB" w:rsidRDefault="000511CB" w:rsidP="00C655CE">
      <w:pPr>
        <w:rPr>
          <w:rFonts w:ascii="Tahoma" w:hAnsi="Tahoma" w:cs="Tahoma"/>
          <w:sz w:val="16"/>
          <w:szCs w:val="16"/>
        </w:rPr>
      </w:pPr>
    </w:p>
    <w:p w14:paraId="1B0866C7" w14:textId="2C5B92DF" w:rsidR="000511CB" w:rsidRDefault="000511CB" w:rsidP="00C655CE">
      <w:pPr>
        <w:rPr>
          <w:rFonts w:ascii="Tahoma" w:hAnsi="Tahoma" w:cs="Tahoma"/>
          <w:sz w:val="16"/>
          <w:szCs w:val="16"/>
        </w:rPr>
      </w:pPr>
    </w:p>
    <w:p w14:paraId="501E3FCA" w14:textId="33820CDD" w:rsidR="000511CB" w:rsidRDefault="000511CB" w:rsidP="00C655CE">
      <w:pPr>
        <w:rPr>
          <w:rFonts w:ascii="Tahoma" w:hAnsi="Tahoma" w:cs="Tahoma"/>
          <w:sz w:val="16"/>
          <w:szCs w:val="16"/>
        </w:rPr>
      </w:pPr>
    </w:p>
    <w:p w14:paraId="1F344404" w14:textId="33221D1A" w:rsidR="000511CB" w:rsidRDefault="000511CB" w:rsidP="00C655CE">
      <w:pPr>
        <w:rPr>
          <w:rFonts w:ascii="Tahoma" w:hAnsi="Tahoma" w:cs="Tahoma"/>
          <w:sz w:val="16"/>
          <w:szCs w:val="16"/>
        </w:rPr>
      </w:pPr>
    </w:p>
    <w:p w14:paraId="3EC34B82" w14:textId="653484A1" w:rsidR="000511CB" w:rsidRDefault="000511CB" w:rsidP="00C655CE">
      <w:pPr>
        <w:rPr>
          <w:rFonts w:ascii="Tahoma" w:hAnsi="Tahoma" w:cs="Tahoma"/>
          <w:sz w:val="16"/>
          <w:szCs w:val="16"/>
        </w:rPr>
      </w:pPr>
    </w:p>
    <w:p w14:paraId="2AD0FC7E" w14:textId="2E7325BF" w:rsidR="000511CB" w:rsidRDefault="000511CB" w:rsidP="00C655CE">
      <w:pPr>
        <w:rPr>
          <w:rFonts w:ascii="Tahoma" w:hAnsi="Tahoma" w:cs="Tahoma"/>
          <w:sz w:val="16"/>
          <w:szCs w:val="16"/>
        </w:rPr>
      </w:pPr>
    </w:p>
    <w:p w14:paraId="127BDE2A" w14:textId="3506B991" w:rsidR="000511CB" w:rsidRDefault="000511CB" w:rsidP="00C655CE">
      <w:pPr>
        <w:rPr>
          <w:rFonts w:ascii="Tahoma" w:hAnsi="Tahoma" w:cs="Tahoma"/>
          <w:sz w:val="16"/>
          <w:szCs w:val="16"/>
        </w:rPr>
      </w:pPr>
    </w:p>
    <w:p w14:paraId="5E09AE04" w14:textId="3465AE17" w:rsidR="000511CB" w:rsidRDefault="000511CB" w:rsidP="00C655CE">
      <w:pPr>
        <w:rPr>
          <w:rFonts w:ascii="Tahoma" w:hAnsi="Tahoma" w:cs="Tahoma"/>
          <w:sz w:val="16"/>
          <w:szCs w:val="16"/>
        </w:rPr>
      </w:pPr>
    </w:p>
    <w:p w14:paraId="3BD46BA4" w14:textId="5F3250C3" w:rsidR="000511CB" w:rsidRDefault="000511CB" w:rsidP="00C655CE">
      <w:pPr>
        <w:rPr>
          <w:rFonts w:ascii="Tahoma" w:hAnsi="Tahoma" w:cs="Tahoma"/>
          <w:sz w:val="16"/>
          <w:szCs w:val="16"/>
        </w:rPr>
      </w:pPr>
    </w:p>
    <w:p w14:paraId="28512F0B" w14:textId="4D86898B" w:rsidR="000511CB" w:rsidRDefault="000511CB" w:rsidP="00C655CE">
      <w:pPr>
        <w:rPr>
          <w:rFonts w:ascii="Tahoma" w:hAnsi="Tahoma" w:cs="Tahoma"/>
          <w:sz w:val="16"/>
          <w:szCs w:val="16"/>
        </w:rPr>
      </w:pPr>
    </w:p>
    <w:p w14:paraId="3D577D73" w14:textId="60748A74" w:rsidR="000511CB" w:rsidRDefault="000511CB" w:rsidP="00C655CE">
      <w:pPr>
        <w:rPr>
          <w:rFonts w:ascii="Tahoma" w:hAnsi="Tahoma" w:cs="Tahoma"/>
          <w:sz w:val="16"/>
          <w:szCs w:val="16"/>
        </w:rPr>
      </w:pPr>
    </w:p>
    <w:p w14:paraId="71F070A2" w14:textId="301DF7A8" w:rsidR="000511CB" w:rsidRDefault="000511CB" w:rsidP="00C655CE">
      <w:pPr>
        <w:rPr>
          <w:rFonts w:ascii="Tahoma" w:hAnsi="Tahoma" w:cs="Tahoma"/>
          <w:sz w:val="16"/>
          <w:szCs w:val="16"/>
        </w:rPr>
      </w:pPr>
    </w:p>
    <w:p w14:paraId="08B2A4CD" w14:textId="48690BDD" w:rsidR="000511CB" w:rsidRDefault="000511CB" w:rsidP="00C655CE">
      <w:pPr>
        <w:rPr>
          <w:rFonts w:ascii="Tahoma" w:hAnsi="Tahoma" w:cs="Tahoma"/>
          <w:sz w:val="16"/>
          <w:szCs w:val="16"/>
        </w:rPr>
      </w:pPr>
    </w:p>
    <w:p w14:paraId="10573590" w14:textId="77777777" w:rsidR="000511CB" w:rsidRPr="000B5F26" w:rsidRDefault="000511CB" w:rsidP="000511CB">
      <w:pPr>
        <w:ind w:left="360"/>
        <w:rPr>
          <w:rFonts w:ascii="Tahoma" w:hAnsi="Tahoma" w:cs="Tahoma"/>
          <w:sz w:val="16"/>
          <w:szCs w:val="16"/>
        </w:rPr>
      </w:pPr>
      <w:r w:rsidRPr="000B5F26">
        <w:rPr>
          <w:rFonts w:ascii="Tahoma" w:hAnsi="Tahoma" w:cs="Tahoma"/>
          <w:sz w:val="16"/>
          <w:szCs w:val="16"/>
        </w:rPr>
        <w:lastRenderedPageBreak/>
        <w:t>Příloha č. 1 – Položkový ceník</w:t>
      </w:r>
    </w:p>
    <w:tbl>
      <w:tblPr>
        <w:tblStyle w:val="Mkatabulky"/>
        <w:tblW w:w="0" w:type="auto"/>
        <w:tblLook w:val="04A0" w:firstRow="1" w:lastRow="0" w:firstColumn="1" w:lastColumn="0" w:noHBand="0" w:noVBand="1"/>
      </w:tblPr>
      <w:tblGrid>
        <w:gridCol w:w="1109"/>
        <w:gridCol w:w="2758"/>
        <w:gridCol w:w="1266"/>
        <w:gridCol w:w="1554"/>
        <w:gridCol w:w="1305"/>
        <w:gridCol w:w="1070"/>
      </w:tblGrid>
      <w:tr w:rsidR="000511CB" w:rsidRPr="000511CB" w14:paraId="2E043AAD" w14:textId="77777777" w:rsidTr="000511CB">
        <w:trPr>
          <w:trHeight w:val="564"/>
        </w:trPr>
        <w:tc>
          <w:tcPr>
            <w:tcW w:w="1580" w:type="dxa"/>
            <w:hideMark/>
          </w:tcPr>
          <w:p w14:paraId="709B1D99" w14:textId="77777777" w:rsidR="000511CB" w:rsidRPr="000511CB" w:rsidRDefault="000511CB" w:rsidP="000511CB">
            <w:pPr>
              <w:rPr>
                <w:rFonts w:ascii="Tahoma" w:hAnsi="Tahoma" w:cs="Tahoma"/>
                <w:sz w:val="16"/>
                <w:szCs w:val="16"/>
              </w:rPr>
            </w:pPr>
            <w:r w:rsidRPr="000511CB">
              <w:rPr>
                <w:rFonts w:ascii="Tahoma" w:hAnsi="Tahoma" w:cs="Tahoma"/>
                <w:sz w:val="16"/>
                <w:szCs w:val="16"/>
              </w:rPr>
              <w:t>ATC</w:t>
            </w:r>
          </w:p>
        </w:tc>
        <w:tc>
          <w:tcPr>
            <w:tcW w:w="4100" w:type="dxa"/>
            <w:hideMark/>
          </w:tcPr>
          <w:p w14:paraId="09CB7883" w14:textId="77777777" w:rsidR="000511CB" w:rsidRPr="000511CB" w:rsidRDefault="000511CB" w:rsidP="000511CB">
            <w:pPr>
              <w:rPr>
                <w:rFonts w:ascii="Tahoma" w:hAnsi="Tahoma" w:cs="Tahoma"/>
                <w:sz w:val="16"/>
                <w:szCs w:val="16"/>
              </w:rPr>
            </w:pPr>
            <w:r w:rsidRPr="000511CB">
              <w:rPr>
                <w:rFonts w:ascii="Tahoma" w:hAnsi="Tahoma" w:cs="Tahoma"/>
                <w:sz w:val="16"/>
                <w:szCs w:val="16"/>
              </w:rPr>
              <w:t>Název</w:t>
            </w:r>
          </w:p>
        </w:tc>
        <w:tc>
          <w:tcPr>
            <w:tcW w:w="1820" w:type="dxa"/>
            <w:hideMark/>
          </w:tcPr>
          <w:p w14:paraId="5DDAEBDE" w14:textId="77777777" w:rsidR="000511CB" w:rsidRPr="000511CB" w:rsidRDefault="000511CB" w:rsidP="000511CB">
            <w:pPr>
              <w:rPr>
                <w:rFonts w:ascii="Tahoma" w:hAnsi="Tahoma" w:cs="Tahoma"/>
                <w:sz w:val="16"/>
                <w:szCs w:val="16"/>
              </w:rPr>
            </w:pPr>
            <w:r w:rsidRPr="000511CB">
              <w:rPr>
                <w:rFonts w:ascii="Tahoma" w:hAnsi="Tahoma" w:cs="Tahoma"/>
                <w:sz w:val="16"/>
                <w:szCs w:val="16"/>
              </w:rPr>
              <w:t>SÚKL kód</w:t>
            </w:r>
          </w:p>
        </w:tc>
        <w:tc>
          <w:tcPr>
            <w:tcW w:w="2260" w:type="dxa"/>
            <w:hideMark/>
          </w:tcPr>
          <w:p w14:paraId="329778EB" w14:textId="77777777" w:rsidR="000511CB" w:rsidRPr="000511CB" w:rsidRDefault="000511CB" w:rsidP="000511CB">
            <w:pPr>
              <w:rPr>
                <w:rFonts w:ascii="Tahoma" w:hAnsi="Tahoma" w:cs="Tahoma"/>
                <w:sz w:val="16"/>
                <w:szCs w:val="16"/>
              </w:rPr>
            </w:pPr>
            <w:r w:rsidRPr="000511CB">
              <w:rPr>
                <w:rFonts w:ascii="Tahoma" w:hAnsi="Tahoma" w:cs="Tahoma"/>
                <w:sz w:val="16"/>
                <w:szCs w:val="16"/>
              </w:rPr>
              <w:t>Velikost balení</w:t>
            </w:r>
          </w:p>
        </w:tc>
        <w:tc>
          <w:tcPr>
            <w:tcW w:w="1880" w:type="dxa"/>
            <w:hideMark/>
          </w:tcPr>
          <w:p w14:paraId="78069DF8" w14:textId="77777777" w:rsidR="000511CB" w:rsidRPr="000511CB" w:rsidRDefault="000511CB" w:rsidP="000511CB">
            <w:pPr>
              <w:rPr>
                <w:rFonts w:ascii="Tahoma" w:hAnsi="Tahoma" w:cs="Tahoma"/>
                <w:sz w:val="16"/>
                <w:szCs w:val="16"/>
              </w:rPr>
            </w:pPr>
            <w:r w:rsidRPr="000511CB">
              <w:rPr>
                <w:rFonts w:ascii="Tahoma" w:hAnsi="Tahoma" w:cs="Tahoma"/>
                <w:sz w:val="16"/>
                <w:szCs w:val="16"/>
              </w:rPr>
              <w:t>Cena bez DPH/bal.</w:t>
            </w:r>
          </w:p>
        </w:tc>
        <w:tc>
          <w:tcPr>
            <w:tcW w:w="1520" w:type="dxa"/>
            <w:hideMark/>
          </w:tcPr>
          <w:p w14:paraId="30E721B0" w14:textId="77777777" w:rsidR="000511CB" w:rsidRPr="000511CB" w:rsidRDefault="000511CB" w:rsidP="000511CB">
            <w:pPr>
              <w:rPr>
                <w:rFonts w:ascii="Tahoma" w:hAnsi="Tahoma" w:cs="Tahoma"/>
                <w:sz w:val="16"/>
                <w:szCs w:val="16"/>
              </w:rPr>
            </w:pPr>
            <w:r w:rsidRPr="000511CB">
              <w:rPr>
                <w:rFonts w:ascii="Tahoma" w:hAnsi="Tahoma" w:cs="Tahoma"/>
                <w:sz w:val="16"/>
                <w:szCs w:val="16"/>
              </w:rPr>
              <w:t>sazba DPH</w:t>
            </w:r>
          </w:p>
        </w:tc>
      </w:tr>
      <w:tr w:rsidR="000511CB" w:rsidRPr="000511CB" w14:paraId="75800C3F" w14:textId="77777777" w:rsidTr="000511CB">
        <w:trPr>
          <w:trHeight w:val="324"/>
        </w:trPr>
        <w:tc>
          <w:tcPr>
            <w:tcW w:w="1580" w:type="dxa"/>
            <w:noWrap/>
            <w:hideMark/>
          </w:tcPr>
          <w:p w14:paraId="734BBB3D" w14:textId="77777777" w:rsidR="000511CB" w:rsidRPr="000511CB" w:rsidRDefault="000511CB">
            <w:pPr>
              <w:rPr>
                <w:rFonts w:ascii="Tahoma" w:hAnsi="Tahoma" w:cs="Tahoma"/>
                <w:b/>
                <w:bCs/>
                <w:sz w:val="16"/>
                <w:szCs w:val="16"/>
              </w:rPr>
            </w:pPr>
            <w:r w:rsidRPr="000511CB">
              <w:rPr>
                <w:rFonts w:ascii="Tahoma" w:hAnsi="Tahoma" w:cs="Tahoma"/>
                <w:b/>
                <w:bCs/>
                <w:sz w:val="16"/>
                <w:szCs w:val="16"/>
              </w:rPr>
              <w:t>L01EH02</w:t>
            </w:r>
          </w:p>
        </w:tc>
        <w:tc>
          <w:tcPr>
            <w:tcW w:w="4100" w:type="dxa"/>
            <w:noWrap/>
            <w:hideMark/>
          </w:tcPr>
          <w:p w14:paraId="3B5AFC6F" w14:textId="77777777" w:rsidR="000511CB" w:rsidRPr="000511CB" w:rsidRDefault="000511CB">
            <w:pPr>
              <w:rPr>
                <w:rFonts w:ascii="Tahoma" w:hAnsi="Tahoma" w:cs="Tahoma"/>
                <w:b/>
                <w:bCs/>
                <w:sz w:val="16"/>
                <w:szCs w:val="16"/>
              </w:rPr>
            </w:pPr>
            <w:r w:rsidRPr="000511CB">
              <w:rPr>
                <w:rFonts w:ascii="Tahoma" w:hAnsi="Tahoma" w:cs="Tahoma"/>
                <w:b/>
                <w:bCs/>
                <w:sz w:val="16"/>
                <w:szCs w:val="16"/>
              </w:rPr>
              <w:t xml:space="preserve">Nerlynx 40mg tbl.flm.180x40mg    </w:t>
            </w:r>
          </w:p>
        </w:tc>
        <w:tc>
          <w:tcPr>
            <w:tcW w:w="1820" w:type="dxa"/>
            <w:noWrap/>
            <w:hideMark/>
          </w:tcPr>
          <w:p w14:paraId="2C93101B" w14:textId="77777777" w:rsidR="000511CB" w:rsidRPr="000511CB" w:rsidRDefault="000511CB" w:rsidP="000511CB">
            <w:pPr>
              <w:rPr>
                <w:rFonts w:ascii="Tahoma" w:hAnsi="Tahoma" w:cs="Tahoma"/>
                <w:sz w:val="16"/>
                <w:szCs w:val="16"/>
              </w:rPr>
            </w:pPr>
            <w:r w:rsidRPr="000511CB">
              <w:rPr>
                <w:rFonts w:ascii="Tahoma" w:hAnsi="Tahoma" w:cs="Tahoma"/>
                <w:sz w:val="16"/>
                <w:szCs w:val="16"/>
              </w:rPr>
              <w:t>223080,00</w:t>
            </w:r>
          </w:p>
        </w:tc>
        <w:tc>
          <w:tcPr>
            <w:tcW w:w="2260" w:type="dxa"/>
            <w:noWrap/>
            <w:hideMark/>
          </w:tcPr>
          <w:p w14:paraId="20DDB739" w14:textId="77777777" w:rsidR="000511CB" w:rsidRPr="000511CB" w:rsidRDefault="000511CB" w:rsidP="000511CB">
            <w:pPr>
              <w:rPr>
                <w:rFonts w:ascii="Tahoma" w:hAnsi="Tahoma" w:cs="Tahoma"/>
                <w:sz w:val="16"/>
                <w:szCs w:val="16"/>
              </w:rPr>
            </w:pPr>
            <w:r w:rsidRPr="000511CB">
              <w:rPr>
                <w:rFonts w:ascii="Tahoma" w:hAnsi="Tahoma" w:cs="Tahoma"/>
                <w:sz w:val="16"/>
                <w:szCs w:val="16"/>
              </w:rPr>
              <w:t>TBL FLM 180</w:t>
            </w:r>
          </w:p>
        </w:tc>
        <w:tc>
          <w:tcPr>
            <w:tcW w:w="1880" w:type="dxa"/>
            <w:noWrap/>
            <w:hideMark/>
          </w:tcPr>
          <w:p w14:paraId="74CAD042" w14:textId="77777777" w:rsidR="000511CB" w:rsidRPr="000511CB" w:rsidRDefault="000511CB" w:rsidP="000511CB">
            <w:pPr>
              <w:rPr>
                <w:rFonts w:ascii="Tahoma" w:hAnsi="Tahoma" w:cs="Tahoma"/>
                <w:sz w:val="16"/>
                <w:szCs w:val="16"/>
              </w:rPr>
            </w:pPr>
            <w:r w:rsidRPr="000511CB">
              <w:rPr>
                <w:rFonts w:ascii="Tahoma" w:hAnsi="Tahoma" w:cs="Tahoma"/>
                <w:sz w:val="16"/>
                <w:szCs w:val="16"/>
              </w:rPr>
              <w:t>126371,34</w:t>
            </w:r>
          </w:p>
        </w:tc>
        <w:tc>
          <w:tcPr>
            <w:tcW w:w="1520" w:type="dxa"/>
            <w:noWrap/>
            <w:hideMark/>
          </w:tcPr>
          <w:p w14:paraId="23A469EA" w14:textId="732F493F" w:rsidR="000511CB" w:rsidRPr="000511CB" w:rsidRDefault="000511CB" w:rsidP="000511CB">
            <w:pPr>
              <w:rPr>
                <w:rFonts w:ascii="Tahoma" w:hAnsi="Tahoma" w:cs="Tahoma"/>
                <w:sz w:val="16"/>
                <w:szCs w:val="16"/>
              </w:rPr>
            </w:pPr>
            <w:r w:rsidRPr="000511CB">
              <w:rPr>
                <w:rFonts w:ascii="Tahoma" w:hAnsi="Tahoma" w:cs="Tahoma"/>
                <w:sz w:val="16"/>
                <w:szCs w:val="16"/>
              </w:rPr>
              <w:t>10</w:t>
            </w:r>
            <w:r>
              <w:rPr>
                <w:rFonts w:ascii="Tahoma" w:hAnsi="Tahoma" w:cs="Tahoma"/>
                <w:sz w:val="16"/>
                <w:szCs w:val="16"/>
              </w:rPr>
              <w:t xml:space="preserve"> </w:t>
            </w:r>
            <w:r w:rsidRPr="000511CB">
              <w:rPr>
                <w:rFonts w:ascii="Tahoma" w:hAnsi="Tahoma" w:cs="Tahoma"/>
                <w:sz w:val="16"/>
                <w:szCs w:val="16"/>
              </w:rPr>
              <w:t>%</w:t>
            </w:r>
          </w:p>
        </w:tc>
      </w:tr>
    </w:tbl>
    <w:p w14:paraId="2D617F23" w14:textId="77777777" w:rsidR="000511CB" w:rsidRPr="000B5F26" w:rsidRDefault="000511CB" w:rsidP="00C655CE">
      <w:pPr>
        <w:rPr>
          <w:rFonts w:ascii="Tahoma" w:hAnsi="Tahoma" w:cs="Tahoma"/>
          <w:sz w:val="16"/>
          <w:szCs w:val="16"/>
        </w:rPr>
      </w:pPr>
    </w:p>
    <w:sectPr w:rsidR="000511CB" w:rsidRPr="000B5F2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F3F5F" w14:textId="77777777" w:rsidR="0001061E" w:rsidRDefault="0001061E" w:rsidP="00C655CE">
      <w:pPr>
        <w:spacing w:after="0" w:line="240" w:lineRule="auto"/>
      </w:pPr>
      <w:r>
        <w:separator/>
      </w:r>
    </w:p>
  </w:endnote>
  <w:endnote w:type="continuationSeparator" w:id="0">
    <w:p w14:paraId="3F380EF3" w14:textId="77777777" w:rsidR="0001061E" w:rsidRDefault="0001061E" w:rsidP="00C655CE">
      <w:pPr>
        <w:spacing w:after="0" w:line="240" w:lineRule="auto"/>
      </w:pPr>
      <w:r>
        <w:continuationSeparator/>
      </w:r>
    </w:p>
  </w:endnote>
  <w:endnote w:type="continuationNotice" w:id="1">
    <w:p w14:paraId="4481B5E5" w14:textId="77777777" w:rsidR="0001061E" w:rsidRDefault="00010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D3DC8" w14:textId="77777777" w:rsidR="00707746" w:rsidRDefault="007077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232789"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232789" w:rsidRDefault="0023278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D3FD0" w14:textId="77777777" w:rsidR="00707746" w:rsidRDefault="007077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B174E" w14:textId="77777777" w:rsidR="0001061E" w:rsidRDefault="0001061E" w:rsidP="00C655CE">
      <w:pPr>
        <w:spacing w:after="0" w:line="240" w:lineRule="auto"/>
      </w:pPr>
      <w:r>
        <w:separator/>
      </w:r>
    </w:p>
  </w:footnote>
  <w:footnote w:type="continuationSeparator" w:id="0">
    <w:p w14:paraId="0A7580D2" w14:textId="77777777" w:rsidR="0001061E" w:rsidRDefault="0001061E" w:rsidP="00C655CE">
      <w:pPr>
        <w:spacing w:after="0" w:line="240" w:lineRule="auto"/>
      </w:pPr>
      <w:r>
        <w:continuationSeparator/>
      </w:r>
    </w:p>
  </w:footnote>
  <w:footnote w:type="continuationNotice" w:id="1">
    <w:p w14:paraId="7FBADFF7" w14:textId="77777777" w:rsidR="0001061E" w:rsidRDefault="000106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5F3CA" w14:textId="77777777" w:rsidR="00707746" w:rsidRDefault="007077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159F043F" w:rsidR="00232789" w:rsidRDefault="2334ADB5" w:rsidP="2334ADB5">
    <w:pPr>
      <w:pStyle w:val="Zhlav"/>
      <w:jc w:val="right"/>
      <w:rPr>
        <w:rFonts w:ascii="Arial" w:hAnsi="Arial" w:cs="Arial"/>
        <w:b/>
        <w:bCs/>
        <w:sz w:val="18"/>
        <w:szCs w:val="18"/>
        <w:lang w:val="cs-CZ"/>
      </w:rPr>
    </w:pPr>
    <w:r w:rsidRPr="2334ADB5">
      <w:rPr>
        <w:rFonts w:ascii="Arial" w:hAnsi="Arial" w:cs="Arial"/>
        <w:b/>
        <w:bCs/>
        <w:sz w:val="18"/>
        <w:szCs w:val="18"/>
        <w:lang w:val="cs-CZ"/>
      </w:rPr>
      <w:t>PO 94/S/22</w:t>
    </w:r>
  </w:p>
  <w:p w14:paraId="2DA45C1C" w14:textId="77777777" w:rsidR="00C515C6" w:rsidRPr="001859F3" w:rsidRDefault="00C515C6" w:rsidP="00232789">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C44D" w14:textId="77777777" w:rsidR="00707746" w:rsidRDefault="007077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1D60"/>
    <w:rsid w:val="0001061E"/>
    <w:rsid w:val="00031007"/>
    <w:rsid w:val="000511CB"/>
    <w:rsid w:val="0006385B"/>
    <w:rsid w:val="000863EA"/>
    <w:rsid w:val="000A489B"/>
    <w:rsid w:val="000B5F26"/>
    <w:rsid w:val="000C62CA"/>
    <w:rsid w:val="000D7481"/>
    <w:rsid w:val="000E77AD"/>
    <w:rsid w:val="00130375"/>
    <w:rsid w:val="00174B06"/>
    <w:rsid w:val="001C486A"/>
    <w:rsid w:val="001D35AD"/>
    <w:rsid w:val="001D5672"/>
    <w:rsid w:val="001F078A"/>
    <w:rsid w:val="00202A1F"/>
    <w:rsid w:val="00203BF9"/>
    <w:rsid w:val="00214062"/>
    <w:rsid w:val="002311F2"/>
    <w:rsid w:val="00232789"/>
    <w:rsid w:val="00256D8B"/>
    <w:rsid w:val="0027745E"/>
    <w:rsid w:val="00282202"/>
    <w:rsid w:val="002C4F24"/>
    <w:rsid w:val="002D61D9"/>
    <w:rsid w:val="002D754A"/>
    <w:rsid w:val="002E07DF"/>
    <w:rsid w:val="002E0DD4"/>
    <w:rsid w:val="002E3906"/>
    <w:rsid w:val="00321418"/>
    <w:rsid w:val="00336CF0"/>
    <w:rsid w:val="00352E08"/>
    <w:rsid w:val="00376517"/>
    <w:rsid w:val="00394D67"/>
    <w:rsid w:val="003A04EB"/>
    <w:rsid w:val="003B07CF"/>
    <w:rsid w:val="003B2EA3"/>
    <w:rsid w:val="003C3BFE"/>
    <w:rsid w:val="003C572B"/>
    <w:rsid w:val="00412034"/>
    <w:rsid w:val="004427BE"/>
    <w:rsid w:val="00452472"/>
    <w:rsid w:val="00466495"/>
    <w:rsid w:val="00472B25"/>
    <w:rsid w:val="004805E5"/>
    <w:rsid w:val="00483E5D"/>
    <w:rsid w:val="00490CA6"/>
    <w:rsid w:val="004A14BD"/>
    <w:rsid w:val="004B088B"/>
    <w:rsid w:val="004B0FD6"/>
    <w:rsid w:val="004B7C48"/>
    <w:rsid w:val="004C40CB"/>
    <w:rsid w:val="00501A8D"/>
    <w:rsid w:val="0050314F"/>
    <w:rsid w:val="00506E16"/>
    <w:rsid w:val="00521156"/>
    <w:rsid w:val="00551769"/>
    <w:rsid w:val="00564032"/>
    <w:rsid w:val="00564162"/>
    <w:rsid w:val="005959D9"/>
    <w:rsid w:val="005965F3"/>
    <w:rsid w:val="0059792E"/>
    <w:rsid w:val="005A1550"/>
    <w:rsid w:val="0060489C"/>
    <w:rsid w:val="00635BDB"/>
    <w:rsid w:val="006449EC"/>
    <w:rsid w:val="006727A1"/>
    <w:rsid w:val="006962CE"/>
    <w:rsid w:val="006A04A0"/>
    <w:rsid w:val="006A0F40"/>
    <w:rsid w:val="006A122B"/>
    <w:rsid w:val="006B3321"/>
    <w:rsid w:val="006B53E3"/>
    <w:rsid w:val="006B6DA5"/>
    <w:rsid w:val="006D3E14"/>
    <w:rsid w:val="006F223B"/>
    <w:rsid w:val="00707746"/>
    <w:rsid w:val="00713B99"/>
    <w:rsid w:val="00724502"/>
    <w:rsid w:val="007248DF"/>
    <w:rsid w:val="00733B74"/>
    <w:rsid w:val="007352FD"/>
    <w:rsid w:val="00747D18"/>
    <w:rsid w:val="00754CE6"/>
    <w:rsid w:val="007F3222"/>
    <w:rsid w:val="0081013B"/>
    <w:rsid w:val="00822399"/>
    <w:rsid w:val="00833D2E"/>
    <w:rsid w:val="00835216"/>
    <w:rsid w:val="008362AC"/>
    <w:rsid w:val="00841EAE"/>
    <w:rsid w:val="00856894"/>
    <w:rsid w:val="00863E7E"/>
    <w:rsid w:val="0088620D"/>
    <w:rsid w:val="008A5FBB"/>
    <w:rsid w:val="008C4B74"/>
    <w:rsid w:val="008D4CA1"/>
    <w:rsid w:val="008D6FB6"/>
    <w:rsid w:val="008F3EAE"/>
    <w:rsid w:val="00916886"/>
    <w:rsid w:val="009266C8"/>
    <w:rsid w:val="009452FC"/>
    <w:rsid w:val="00982FB1"/>
    <w:rsid w:val="009A2CAD"/>
    <w:rsid w:val="009A7191"/>
    <w:rsid w:val="009C5469"/>
    <w:rsid w:val="009F7682"/>
    <w:rsid w:val="00A05CB8"/>
    <w:rsid w:val="00A35CE2"/>
    <w:rsid w:val="00A37356"/>
    <w:rsid w:val="00A46B27"/>
    <w:rsid w:val="00A46E80"/>
    <w:rsid w:val="00A651E9"/>
    <w:rsid w:val="00A66459"/>
    <w:rsid w:val="00A7606E"/>
    <w:rsid w:val="00A77835"/>
    <w:rsid w:val="00A81562"/>
    <w:rsid w:val="00A867D0"/>
    <w:rsid w:val="00A96715"/>
    <w:rsid w:val="00AC2FB1"/>
    <w:rsid w:val="00AE0326"/>
    <w:rsid w:val="00AF3C63"/>
    <w:rsid w:val="00AF425D"/>
    <w:rsid w:val="00AF5361"/>
    <w:rsid w:val="00B0075D"/>
    <w:rsid w:val="00B136F5"/>
    <w:rsid w:val="00B164A0"/>
    <w:rsid w:val="00B16750"/>
    <w:rsid w:val="00B16C78"/>
    <w:rsid w:val="00B25515"/>
    <w:rsid w:val="00B33E7A"/>
    <w:rsid w:val="00B622AF"/>
    <w:rsid w:val="00B62C24"/>
    <w:rsid w:val="00B91120"/>
    <w:rsid w:val="00BC3ED9"/>
    <w:rsid w:val="00BC6B85"/>
    <w:rsid w:val="00C0289B"/>
    <w:rsid w:val="00C12010"/>
    <w:rsid w:val="00C2126C"/>
    <w:rsid w:val="00C322BC"/>
    <w:rsid w:val="00C33EEC"/>
    <w:rsid w:val="00C47242"/>
    <w:rsid w:val="00C515C6"/>
    <w:rsid w:val="00C51D37"/>
    <w:rsid w:val="00C52459"/>
    <w:rsid w:val="00C536B7"/>
    <w:rsid w:val="00C62C43"/>
    <w:rsid w:val="00C655CE"/>
    <w:rsid w:val="00C80B13"/>
    <w:rsid w:val="00C97D10"/>
    <w:rsid w:val="00CB462D"/>
    <w:rsid w:val="00CC6C9C"/>
    <w:rsid w:val="00CE3527"/>
    <w:rsid w:val="00D24526"/>
    <w:rsid w:val="00D251DC"/>
    <w:rsid w:val="00D35916"/>
    <w:rsid w:val="00D5345A"/>
    <w:rsid w:val="00D80076"/>
    <w:rsid w:val="00D83D8A"/>
    <w:rsid w:val="00D8629A"/>
    <w:rsid w:val="00D87AD8"/>
    <w:rsid w:val="00D92968"/>
    <w:rsid w:val="00DB4D05"/>
    <w:rsid w:val="00DB61A6"/>
    <w:rsid w:val="00DC54EB"/>
    <w:rsid w:val="00DD2863"/>
    <w:rsid w:val="00DF26E5"/>
    <w:rsid w:val="00DF6409"/>
    <w:rsid w:val="00E03610"/>
    <w:rsid w:val="00E03C00"/>
    <w:rsid w:val="00E458AD"/>
    <w:rsid w:val="00E63753"/>
    <w:rsid w:val="00EA7D01"/>
    <w:rsid w:val="00EC06FC"/>
    <w:rsid w:val="00EC5271"/>
    <w:rsid w:val="00EC6F4B"/>
    <w:rsid w:val="00ED6334"/>
    <w:rsid w:val="00EE2B4E"/>
    <w:rsid w:val="00EE6C9E"/>
    <w:rsid w:val="00EE7073"/>
    <w:rsid w:val="00F018E2"/>
    <w:rsid w:val="00F17EB1"/>
    <w:rsid w:val="00F21206"/>
    <w:rsid w:val="00F23714"/>
    <w:rsid w:val="00F34689"/>
    <w:rsid w:val="00F35FF7"/>
    <w:rsid w:val="00F45E7D"/>
    <w:rsid w:val="00F64810"/>
    <w:rsid w:val="00F826CD"/>
    <w:rsid w:val="00F87B73"/>
    <w:rsid w:val="00FA7950"/>
    <w:rsid w:val="00FC5491"/>
    <w:rsid w:val="00FD41B9"/>
    <w:rsid w:val="2334ADB5"/>
    <w:rsid w:val="48C18610"/>
    <w:rsid w:val="79898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DEE96"/>
  <w15:chartTrackingRefBased/>
  <w15:docId w15:val="{9280F43F-3B9E-4340-9DAA-73ECAF8A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table" w:styleId="Mkatabulky">
    <w:name w:val="Table Grid"/>
    <w:basedOn w:val="Normlntabulka"/>
    <w:uiPriority w:val="39"/>
    <w:rsid w:val="00051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005155">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71187695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vlp@vfn.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116-94/94-22_RS.docx</ZkracenyRetezec>
    <Smazat xmlns="acca34e4-9ecd-41c8-99eb-d6aa654aaa55">&lt;a href="/sites/evidencesmluv/_layouts/15/IniWrkflIP.aspx?List=%7b77659FB5-C430-479E-BF06-0B5A5E07A4EB%7d&amp;amp;ID=425&amp;amp;ItemGuid=%7b570DE883-6B33-4F27-9E60-8F48A7C64D8A%7d&amp;amp;TemplateID=%7bd3f8102e-f4a5-4901-b93c-fb146a9d820d%7d"&gt;&lt;img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054DF-5588-4179-BF07-6D5DD7495F40}"/>
</file>

<file path=customXml/itemProps2.xml><?xml version="1.0" encoding="utf-8"?>
<ds:datastoreItem xmlns:ds="http://schemas.openxmlformats.org/officeDocument/2006/customXml" ds:itemID="{FE5BA6A7-3196-4588-8559-4264A5539A8F}"/>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3244A678-EAA3-440C-9AA4-1BAB0680D36C}"/>
</file>

<file path=docProps/app.xml><?xml version="1.0" encoding="utf-8"?>
<Properties xmlns="http://schemas.openxmlformats.org/officeDocument/2006/extended-properties" xmlns:vt="http://schemas.openxmlformats.org/officeDocument/2006/docPropsVTypes">
  <Template>Normal</Template>
  <TotalTime>0</TotalTime>
  <Pages>5</Pages>
  <Words>2618</Words>
  <Characters>15449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Kotusová Zuzana, Bc. DiS.</cp:lastModifiedBy>
  <cp:revision>2</cp:revision>
  <cp:lastPrinted>2022-03-09T08:20:00Z</cp:lastPrinted>
  <dcterms:created xsi:type="dcterms:W3CDTF">2022-03-31T10:38:00Z</dcterms:created>
  <dcterms:modified xsi:type="dcterms:W3CDTF">2022-03-31T10:38:00Z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27f81f2d-0726-4a94-b2d1-95df9d1a7a52</vt:lpwstr>
  </property>
  <property fmtid="{D5CDD505-2E9C-101B-9397-08002B2CF9AE}" pid="4" name="MSIP_Label_2063cd7f-2d21-486a-9f29-9c1683fdd175_Enabled">
    <vt:lpwstr>true</vt:lpwstr>
  </property>
  <property fmtid="{D5CDD505-2E9C-101B-9397-08002B2CF9AE}" pid="5" name="MSIP_Label_2063cd7f-2d21-486a-9f29-9c1683fdd175_SetDate">
    <vt:lpwstr>2021-01-14T09:02:56Z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a95a2dc2-7576-4e02-851a-82c926069501,2;a95a2dc2-7576-4e02-851a-82c926069501,2;a95a2dc2-7576-4e02-851a-82c926069501,2;</vt:lpwstr>
  </property>
</Properties>
</file>