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before="0" w:after="0"/>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br/>
        <w:t>Přepočet zatížitelnosti mostů</w:t>
      </w:r>
      <w:bookmarkEnd w:id="0"/>
      <w:bookmarkEnd w:id="1"/>
    </w:p>
    <w:p>
      <w:pPr>
        <w:pStyle w:val="Style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objednatele:</w:t>
      </w:r>
    </w:p>
    <w:p>
      <w:pPr>
        <w:pStyle w:val="Style1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smlouvy zhotovitele:</w:t>
      </w:r>
    </w:p>
    <w:tbl>
      <w:tblPr>
        <w:tblOverlap w:val="never"/>
        <w:jc w:val="center"/>
        <w:tblLayout w:type="fixed"/>
      </w:tblPr>
      <w:tblGrid>
        <w:gridCol w:w="1954"/>
        <w:gridCol w:w="6922"/>
      </w:tblGrid>
      <w:tr>
        <w:trPr>
          <w:trHeight w:val="66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2200" w:right="0" w:firstLine="0"/>
              <w:jc w:val="left"/>
            </w:pPr>
            <w:r>
              <w:rPr>
                <w:b/>
                <w:bCs/>
                <w:color w:val="000000"/>
                <w:spacing w:val="0"/>
                <w:w w:val="100"/>
                <w:position w:val="0"/>
                <w:sz w:val="24"/>
                <w:szCs w:val="24"/>
                <w:shd w:val="clear" w:color="auto" w:fill="auto"/>
                <w:lang w:val="cs-CZ" w:eastAsia="cs-CZ" w:bidi="cs-CZ"/>
              </w:rPr>
              <w:t>Článek 1</w:t>
            </w:r>
          </w:p>
          <w:p>
            <w:pPr>
              <w:pStyle w:val="Style17"/>
              <w:keepNext w:val="0"/>
              <w:keepLines w:val="0"/>
              <w:widowControl w:val="0"/>
              <w:shd w:val="clear" w:color="auto" w:fill="auto"/>
              <w:bidi w:val="0"/>
              <w:spacing w:before="0" w:after="0" w:line="240" w:lineRule="auto"/>
              <w:ind w:left="1860" w:right="0" w:firstLine="0"/>
              <w:jc w:val="left"/>
            </w:pPr>
            <w:r>
              <w:rPr>
                <w:b/>
                <w:bCs/>
                <w:color w:val="000000"/>
                <w:spacing w:val="0"/>
                <w:w w:val="100"/>
                <w:position w:val="0"/>
                <w:sz w:val="24"/>
                <w:szCs w:val="24"/>
                <w:shd w:val="clear" w:color="auto" w:fill="auto"/>
                <w:lang w:val="cs-CZ" w:eastAsia="cs-CZ" w:bidi="cs-CZ"/>
              </w:rPr>
              <w:t>Smluvní strany</w:t>
            </w:r>
          </w:p>
        </w:tc>
      </w:tr>
      <w:tr>
        <w:trPr>
          <w:trHeight w:val="336"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Ing. Radovan Necid, ředitelem organizace</w:t>
            </w:r>
          </w:p>
        </w:tc>
      </w:tr>
    </w:tbl>
    <w:p>
      <w:pPr>
        <w:widowControl w:val="0"/>
        <w:spacing w:line="1" w:lineRule="exact"/>
      </w:pPr>
    </w:p>
    <w:p>
      <w:pPr>
        <w:pStyle w:val="Style14"/>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 technických:</w:t>
      </w:r>
    </w:p>
    <w:tbl>
      <w:tblPr>
        <w:tblOverlap w:val="never"/>
        <w:jc w:val="center"/>
        <w:tblLayout w:type="fixed"/>
      </w:tblPr>
      <w:tblGrid>
        <w:gridCol w:w="1954"/>
        <w:gridCol w:w="6917"/>
      </w:tblGrid>
      <w:tr>
        <w:trPr>
          <w:trHeight w:val="317"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Komerční banka, a.s.</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widowControl w:val="0"/>
        <w:spacing w:line="1" w:lineRule="exact"/>
      </w:pPr>
    </w:p>
    <w:tbl>
      <w:tblPr>
        <w:tblOverlap w:val="never"/>
        <w:jc w:val="center"/>
        <w:tblLayout w:type="fixed"/>
      </w:tblPr>
      <w:tblGrid>
        <w:gridCol w:w="1954"/>
        <w:gridCol w:w="6917"/>
      </w:tblGrid>
      <w:tr>
        <w:trPr>
          <w:trHeight w:val="605"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p>
            <w:pPr>
              <w:pStyle w:val="Style17"/>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00090450</w:t>
            </w:r>
          </w:p>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CZ00090450</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4"/>
        <w:keepNext w:val="0"/>
        <w:keepLines w:val="0"/>
        <w:widowControl w:val="0"/>
        <w:shd w:val="clear" w:color="auto" w:fill="auto"/>
        <w:tabs>
          <w:tab w:pos="2040"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tab/>
        <w:t>Kraj Vysočina</w:t>
      </w:r>
    </w:p>
    <w:p>
      <w:pPr>
        <w:pStyle w:val="Style14"/>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cs-CZ" w:eastAsia="cs-CZ" w:bidi="cs-CZ"/>
        </w:rPr>
        <w:t>(dále jen „</w:t>
      </w:r>
      <w:r>
        <w:rPr>
          <w:b/>
          <w:bCs/>
          <w:color w:val="000000"/>
          <w:spacing w:val="0"/>
          <w:w w:val="100"/>
          <w:position w:val="0"/>
          <w:sz w:val="24"/>
          <w:szCs w:val="24"/>
          <w:shd w:val="clear" w:color="auto" w:fill="auto"/>
          <w:lang w:val="cs-CZ" w:eastAsia="cs-CZ" w:bidi="cs-CZ"/>
        </w:rPr>
        <w:t>Objednatel“</w:t>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a</w:t>
      </w:r>
    </w:p>
    <w:p>
      <w:pPr>
        <w:widowControl w:val="0"/>
        <w:spacing w:line="1" w:lineRule="exact"/>
      </w:pPr>
    </w:p>
    <w:tbl>
      <w:tblPr>
        <w:tblOverlap w:val="never"/>
        <w:jc w:val="center"/>
        <w:tblLayout w:type="fixed"/>
      </w:tblPr>
      <w:tblGrid>
        <w:gridCol w:w="1954"/>
        <w:gridCol w:w="6917"/>
      </w:tblGrid>
      <w:tr>
        <w:trPr>
          <w:trHeight w:val="26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Mostní projekce s.r.o.</w:t>
            </w:r>
          </w:p>
        </w:tc>
      </w:tr>
      <w:tr>
        <w:trPr>
          <w:trHeight w:val="264"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Jana Babáka 11, 612 00 Brno</w:t>
            </w:r>
          </w:p>
        </w:tc>
      </w:tr>
      <w:tr>
        <w:trPr>
          <w:trHeight w:val="298"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Ing. Františkem Pokorným, jednatelem</w:t>
            </w:r>
          </w:p>
        </w:tc>
      </w:tr>
    </w:tbl>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zapsán v OR spisová značka C104090 vedená u Krajského soudu v Brně Osoby pověřené jednat jménem zhotovitele ve věcech</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Technických:</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Č. účtu:</w:t>
      </w:r>
    </w:p>
    <w:p>
      <w:pPr>
        <w:widowControl w:val="0"/>
        <w:spacing w:line="1" w:lineRule="exact"/>
      </w:pPr>
    </w:p>
    <w:tbl>
      <w:tblPr>
        <w:tblOverlap w:val="never"/>
        <w:jc w:val="center"/>
        <w:tblLayout w:type="fixed"/>
      </w:tblPr>
      <w:tblGrid>
        <w:gridCol w:w="1954"/>
        <w:gridCol w:w="6917"/>
      </w:tblGrid>
      <w:tr>
        <w:trPr>
          <w:trHeight w:val="30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06754449</w:t>
            </w:r>
          </w:p>
        </w:tc>
      </w:tr>
      <w:tr>
        <w:trPr>
          <w:trHeight w:val="302"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CZ06754449</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(dále jen „</w:t>
      </w:r>
      <w:r>
        <w:rPr>
          <w:b/>
          <w:bCs/>
          <w:color w:val="000000"/>
          <w:spacing w:val="0"/>
          <w:w w:val="100"/>
          <w:position w:val="0"/>
          <w:sz w:val="24"/>
          <w:szCs w:val="24"/>
          <w:shd w:val="clear" w:color="auto" w:fill="auto"/>
          <w:lang w:val="cs-CZ" w:eastAsia="cs-CZ" w:bidi="cs-CZ"/>
        </w:rPr>
        <w:t>Zhotovitel</w:t>
      </w:r>
      <w:r>
        <w:rPr>
          <w:color w:val="000000"/>
          <w:spacing w:val="0"/>
          <w:w w:val="100"/>
          <w:position w:val="0"/>
          <w:sz w:val="24"/>
          <w:szCs w:val="24"/>
          <w:shd w:val="clear" w:color="auto" w:fill="auto"/>
          <w:lang w:val="cs-CZ" w:eastAsia="cs-CZ" w:bidi="cs-CZ"/>
        </w:rPr>
        <w:t>“)</w:t>
      </w:r>
    </w:p>
    <w:p>
      <w:pPr>
        <w:widowControl w:val="0"/>
        <w:spacing w:after="219" w:line="1" w:lineRule="exact"/>
      </w:pP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 xml:space="preserve">Smluvní strany se dohodly, že jejich závazkový vztah se řídí </w:t>
      </w:r>
      <w:r>
        <w:rPr>
          <w:b/>
          <w:bCs/>
          <w:color w:val="000000"/>
          <w:spacing w:val="0"/>
          <w:w w:val="100"/>
          <w:position w:val="0"/>
          <w:sz w:val="24"/>
          <w:szCs w:val="24"/>
          <w:shd w:val="clear" w:color="auto" w:fill="auto"/>
          <w:lang w:val="cs-CZ" w:eastAsia="cs-CZ" w:bidi="cs-CZ"/>
        </w:rPr>
        <w:t xml:space="preserve">§ 2586 a násl. zákona č. 89/2012 Sb., občanského zákoníku, v platném znění (dále jen „OZ“). </w:t>
      </w:r>
      <w:r>
        <w:rPr>
          <w:color w:val="000000"/>
          <w:spacing w:val="0"/>
          <w:w w:val="100"/>
          <w:position w:val="0"/>
          <w:sz w:val="24"/>
          <w:szCs w:val="24"/>
          <w:shd w:val="clear" w:color="auto" w:fill="auto"/>
          <w:lang w:val="cs-CZ" w:eastAsia="cs-CZ" w:bidi="cs-CZ"/>
        </w:rPr>
        <w:t xml:space="preserve">Za účelem realizace díla definovaného v této smlouvě o dílo navazující na výběr nejvhodnější nabídky v rámci veřejné zakázky s názvem </w:t>
      </w:r>
      <w:r>
        <w:rPr>
          <w:b/>
          <w:bCs/>
          <w:color w:val="000000"/>
          <w:spacing w:val="0"/>
          <w:w w:val="100"/>
          <w:position w:val="0"/>
          <w:sz w:val="24"/>
          <w:szCs w:val="24"/>
          <w:shd w:val="clear" w:color="auto" w:fill="auto"/>
          <w:lang w:val="cs-CZ" w:eastAsia="cs-CZ" w:bidi="cs-CZ"/>
        </w:rPr>
        <w:t>Přepočet zatížitelnosti mostů</w:t>
      </w:r>
      <w:r>
        <w:rPr>
          <w:color w:val="000000"/>
          <w:spacing w:val="0"/>
          <w:w w:val="100"/>
          <w:position w:val="0"/>
          <w:sz w:val="24"/>
          <w:szCs w:val="24"/>
          <w:shd w:val="clear" w:color="auto" w:fill="auto"/>
          <w:lang w:val="cs-CZ" w:eastAsia="cs-CZ" w:bidi="cs-CZ"/>
        </w:rPr>
        <w:t>, uzavírají níže uvedeného dne, měsíce a roku tuto Smlouvu o dílo (dále jen „smlouva“).</w:t>
      </w:r>
    </w:p>
    <w:p>
      <w:pPr>
        <w:pStyle w:val="Style22"/>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Článek 2</w:t>
        <w:br/>
        <w:t>Předmět smlouvy</w:t>
      </w:r>
      <w:bookmarkEnd w:id="2"/>
      <w:bookmarkEnd w:id="3"/>
    </w:p>
    <w:p>
      <w:pPr>
        <w:pStyle w:val="Style2"/>
        <w:keepNext w:val="0"/>
        <w:keepLines w:val="0"/>
        <w:widowControl w:val="0"/>
        <w:numPr>
          <w:ilvl w:val="0"/>
          <w:numId w:val="1"/>
        </w:numPr>
        <w:shd w:val="clear" w:color="auto" w:fill="auto"/>
        <w:tabs>
          <w:tab w:pos="560" w:val="left"/>
        </w:tabs>
        <w:bidi w:val="0"/>
        <w:spacing w:before="0" w:after="80" w:line="240" w:lineRule="auto"/>
        <w:ind w:left="560" w:right="0" w:hanging="560"/>
        <w:jc w:val="left"/>
      </w:pPr>
      <w:r>
        <w:rPr>
          <w:color w:val="000000"/>
          <w:spacing w:val="0"/>
          <w:w w:val="100"/>
          <w:position w:val="0"/>
          <w:sz w:val="24"/>
          <w:szCs w:val="24"/>
          <w:shd w:val="clear" w:color="auto" w:fill="auto"/>
          <w:lang w:val="cs-CZ" w:eastAsia="cs-CZ" w:bidi="cs-CZ"/>
        </w:rPr>
        <w:t>Předmětem plnění této smlouvy je závazek zhotovitele provést na svůj náklad a nebezpečí:</w:t>
      </w:r>
    </w:p>
    <w:p>
      <w:pPr>
        <w:pStyle w:val="Style2"/>
        <w:keepNext w:val="0"/>
        <w:keepLines w:val="0"/>
        <w:widowControl w:val="0"/>
        <w:shd w:val="clear" w:color="auto" w:fill="auto"/>
        <w:bidi w:val="0"/>
        <w:spacing w:before="0" w:after="80" w:line="240" w:lineRule="auto"/>
        <w:ind w:left="0" w:right="0" w:firstLine="720"/>
        <w:jc w:val="left"/>
      </w:pPr>
      <w:r>
        <w:rPr>
          <w:b/>
          <w:bCs/>
          <w:color w:val="000000"/>
          <w:spacing w:val="0"/>
          <w:w w:val="100"/>
          <w:position w:val="0"/>
          <w:sz w:val="24"/>
          <w:szCs w:val="24"/>
          <w:shd w:val="clear" w:color="auto" w:fill="auto"/>
          <w:lang w:val="cs-CZ" w:eastAsia="cs-CZ" w:bidi="cs-CZ"/>
        </w:rPr>
        <w:t>a) vypracování přepočtu zatížitelnosti u mostů:</w:t>
      </w:r>
    </w:p>
    <w:p>
      <w:pPr>
        <w:pStyle w:val="Style2"/>
        <w:keepNext w:val="0"/>
        <w:keepLines w:val="0"/>
        <w:widowControl w:val="0"/>
        <w:shd w:val="clear" w:color="auto" w:fill="auto"/>
        <w:bidi w:val="0"/>
        <w:spacing w:before="0" w:after="80" w:line="240" w:lineRule="auto"/>
        <w:ind w:left="1140" w:right="0" w:firstLine="0"/>
        <w:jc w:val="left"/>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Vyskytná most ev. č . 602-045</w:t>
      </w:r>
    </w:p>
    <w:p>
      <w:pPr>
        <w:pStyle w:val="Style2"/>
        <w:keepNext w:val="0"/>
        <w:keepLines w:val="0"/>
        <w:widowControl w:val="0"/>
        <w:shd w:val="clear" w:color="auto" w:fill="auto"/>
        <w:bidi w:val="0"/>
        <w:spacing w:before="0" w:after="80" w:line="240" w:lineRule="auto"/>
        <w:ind w:left="1140" w:right="0" w:firstLine="0"/>
        <w:jc w:val="left"/>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Otavožaty most ev. č . 130-012</w:t>
      </w:r>
    </w:p>
    <w:p>
      <w:pPr>
        <w:pStyle w:val="Style2"/>
        <w:keepNext w:val="0"/>
        <w:keepLines w:val="0"/>
        <w:widowControl w:val="0"/>
        <w:shd w:val="clear" w:color="auto" w:fill="auto"/>
        <w:bidi w:val="0"/>
        <w:spacing w:before="0" w:after="80" w:line="240" w:lineRule="auto"/>
        <w:ind w:left="1140" w:right="0" w:firstLine="0"/>
        <w:jc w:val="left"/>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Senožaty most ev. č . 13029-1</w:t>
      </w:r>
    </w:p>
    <w:p>
      <w:pPr>
        <w:pStyle w:val="Style2"/>
        <w:keepNext w:val="0"/>
        <w:keepLines w:val="0"/>
        <w:widowControl w:val="0"/>
        <w:shd w:val="clear" w:color="auto" w:fill="auto"/>
        <w:bidi w:val="0"/>
        <w:spacing w:before="0" w:after="80" w:line="240" w:lineRule="auto"/>
        <w:ind w:left="1140" w:right="0" w:firstLine="0"/>
        <w:jc w:val="left"/>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Zdešov most ev. č . 132-001</w:t>
      </w:r>
    </w:p>
    <w:p>
      <w:pPr>
        <w:pStyle w:val="Style2"/>
        <w:keepNext w:val="0"/>
        <w:keepLines w:val="0"/>
        <w:widowControl w:val="0"/>
        <w:shd w:val="clear" w:color="auto" w:fill="auto"/>
        <w:bidi w:val="0"/>
        <w:spacing w:before="0" w:after="360" w:line="240" w:lineRule="auto"/>
        <w:ind w:left="1140" w:right="0" w:firstLine="0"/>
        <w:jc w:val="left"/>
      </w:pP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Vlč etín most ev. č . 1324-1</w:t>
      </w:r>
    </w:p>
    <w:p>
      <w:pPr>
        <w:pStyle w:val="Style2"/>
        <w:keepNext w:val="0"/>
        <w:keepLines w:val="0"/>
        <w:widowControl w:val="0"/>
        <w:shd w:val="clear" w:color="auto" w:fill="auto"/>
        <w:bidi w:val="0"/>
        <w:spacing w:before="0" w:after="80" w:line="240" w:lineRule="auto"/>
        <w:ind w:left="560" w:right="0" w:firstLine="0"/>
        <w:jc w:val="both"/>
      </w:pPr>
      <w:r>
        <w:rPr>
          <w:color w:val="000000"/>
          <w:spacing w:val="0"/>
          <w:w w:val="100"/>
          <w:position w:val="0"/>
          <w:sz w:val="24"/>
          <w:szCs w:val="24"/>
          <w:shd w:val="clear" w:color="auto" w:fill="auto"/>
          <w:lang w:val="cs-CZ" w:eastAsia="cs-CZ" w:bidi="cs-CZ"/>
        </w:rPr>
        <w:t xml:space="preserve">a to v souladu s nabídkou zhotovitele podanou v zadávacím ř ízení ze dne </w:t>
      </w:r>
      <w:r>
        <w:rPr>
          <w:b/>
          <w:bCs/>
          <w:color w:val="000000"/>
          <w:spacing w:val="0"/>
          <w:w w:val="100"/>
          <w:position w:val="0"/>
          <w:sz w:val="24"/>
          <w:szCs w:val="24"/>
          <w:shd w:val="clear" w:color="auto" w:fill="auto"/>
          <w:lang w:val="cs-CZ" w:eastAsia="cs-CZ" w:bidi="cs-CZ"/>
        </w:rPr>
        <w:t xml:space="preserve">24. 2. 2022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 ř ílohách </w:t>
      </w:r>
      <w:r>
        <w:rPr>
          <w:color w:val="000000"/>
          <w:spacing w:val="0"/>
          <w:w w:val="100"/>
          <w:position w:val="0"/>
          <w:sz w:val="24"/>
          <w:szCs w:val="24"/>
          <w:shd w:val="clear" w:color="auto" w:fill="auto"/>
          <w:lang w:val="cs-CZ" w:eastAsia="cs-CZ" w:bidi="cs-CZ"/>
        </w:rPr>
        <w:t xml:space="preserve">této smlouvy, při č emž ujednání v </w:t>
      </w:r>
      <w:r>
        <w:rPr>
          <w:b/>
          <w:bCs/>
          <w:color w:val="000000"/>
          <w:spacing w:val="0"/>
          <w:w w:val="100"/>
          <w:position w:val="0"/>
          <w:sz w:val="24"/>
          <w:szCs w:val="24"/>
          <w:shd w:val="clear" w:color="auto" w:fill="auto"/>
          <w:lang w:val="cs-CZ" w:eastAsia="cs-CZ" w:bidi="cs-CZ"/>
        </w:rPr>
        <w:t xml:space="preserve">Příloze č. 1 </w:t>
      </w:r>
      <w:r>
        <w:rPr>
          <w:color w:val="000000"/>
          <w:spacing w:val="0"/>
          <w:w w:val="100"/>
          <w:position w:val="0"/>
          <w:sz w:val="24"/>
          <w:szCs w:val="24"/>
          <w:shd w:val="clear" w:color="auto" w:fill="auto"/>
          <w:lang w:val="cs-CZ" w:eastAsia="cs-CZ" w:bidi="cs-CZ"/>
        </w:rPr>
        <w:t>mají přednost před ujednáními v této smlouvě.</w:t>
      </w:r>
    </w:p>
    <w:p>
      <w:pPr>
        <w:pStyle w:val="Style2"/>
        <w:keepNext w:val="0"/>
        <w:keepLines w:val="0"/>
        <w:widowControl w:val="0"/>
        <w:numPr>
          <w:ilvl w:val="0"/>
          <w:numId w:val="1"/>
        </w:numPr>
        <w:shd w:val="clear" w:color="auto" w:fill="auto"/>
        <w:tabs>
          <w:tab w:pos="571"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2"/>
        <w:keepNext w:val="0"/>
        <w:keepLines w:val="0"/>
        <w:widowControl w:val="0"/>
        <w:numPr>
          <w:ilvl w:val="0"/>
          <w:numId w:val="1"/>
        </w:numPr>
        <w:shd w:val="clear" w:color="auto" w:fill="auto"/>
        <w:tabs>
          <w:tab w:pos="571"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z w:val="24"/>
          <w:szCs w:val="24"/>
          <w:shd w:val="clear" w:color="auto" w:fill="auto"/>
          <w:lang w:val="cs-CZ" w:eastAsia="cs-CZ" w:bidi="cs-CZ"/>
        </w:rPr>
        <w:t xml:space="preserve">Příloze č. 1 </w:t>
      </w:r>
      <w:r>
        <w:rPr>
          <w:color w:val="000000"/>
          <w:spacing w:val="0"/>
          <w:w w:val="100"/>
          <w:position w:val="0"/>
          <w:sz w:val="24"/>
          <w:szCs w:val="24"/>
          <w:shd w:val="clear" w:color="auto" w:fill="auto"/>
          <w:lang w:val="cs-CZ" w:eastAsia="cs-CZ" w:bidi="cs-CZ"/>
        </w:rPr>
        <w:t>(Cenová nabídka), která je součástí této smlouvy.</w:t>
      </w:r>
    </w:p>
    <w:p>
      <w:pPr>
        <w:pStyle w:val="Style2"/>
        <w:keepNext w:val="0"/>
        <w:keepLines w:val="0"/>
        <w:widowControl w:val="0"/>
        <w:numPr>
          <w:ilvl w:val="0"/>
          <w:numId w:val="1"/>
        </w:numPr>
        <w:shd w:val="clear" w:color="auto" w:fill="auto"/>
        <w:tabs>
          <w:tab w:pos="571" w:val="left"/>
        </w:tabs>
        <w:bidi w:val="0"/>
        <w:spacing w:before="0" w:after="460" w:line="240" w:lineRule="auto"/>
        <w:ind w:left="560" w:right="0" w:hanging="560"/>
        <w:jc w:val="both"/>
      </w:pPr>
      <w:r>
        <w:rPr>
          <w:color w:val="000000"/>
          <w:spacing w:val="0"/>
          <w:w w:val="100"/>
          <w:position w:val="0"/>
          <w:sz w:val="24"/>
          <w:szCs w:val="24"/>
          <w:shd w:val="clear" w:color="auto" w:fill="auto"/>
          <w:lang w:val="cs-CZ" w:eastAsia="cs-CZ" w:bidi="cs-CZ"/>
        </w:rPr>
        <w:t>Předmětem této smlouvy je též závazek objednatele dílo převzít a zaplatit zhotoviteli za bezvadné provedení díla dohodnutou smluvní cenu.</w:t>
      </w:r>
    </w:p>
    <w:p>
      <w:pPr>
        <w:pStyle w:val="Style22"/>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Článek 3</w:t>
        <w:br/>
        <w:t>Doba plnění</w:t>
      </w:r>
      <w:bookmarkEnd w:id="4"/>
      <w:bookmarkEnd w:id="5"/>
    </w:p>
    <w:p>
      <w:pPr>
        <w:pStyle w:val="Style2"/>
        <w:keepNext w:val="0"/>
        <w:keepLines w:val="0"/>
        <w:widowControl w:val="0"/>
        <w:numPr>
          <w:ilvl w:val="0"/>
          <w:numId w:val="3"/>
        </w:numPr>
        <w:shd w:val="clear" w:color="auto" w:fill="auto"/>
        <w:tabs>
          <w:tab w:pos="571" w:val="left"/>
        </w:tabs>
        <w:bidi w:val="0"/>
        <w:spacing w:before="0" w:after="80" w:line="240" w:lineRule="auto"/>
        <w:ind w:left="660" w:right="0" w:hanging="660"/>
        <w:jc w:val="both"/>
      </w:pPr>
      <w:r>
        <w:rPr>
          <w:color w:val="000000"/>
          <w:spacing w:val="0"/>
          <w:w w:val="100"/>
          <w:position w:val="0"/>
          <w:sz w:val="24"/>
          <w:szCs w:val="24"/>
          <w:shd w:val="clear" w:color="auto" w:fill="auto"/>
          <w:lang w:val="cs-CZ" w:eastAsia="cs-CZ" w:bidi="cs-CZ"/>
        </w:rPr>
        <w:t xml:space="preserve">Termíny plnění pro </w:t>
      </w:r>
      <w:r>
        <w:rPr>
          <w:b/>
          <w:bCs/>
          <w:color w:val="000000"/>
          <w:spacing w:val="0"/>
          <w:w w:val="100"/>
          <w:position w:val="0"/>
          <w:sz w:val="24"/>
          <w:szCs w:val="24"/>
          <w:u w:val="single"/>
          <w:shd w:val="clear" w:color="auto" w:fill="auto"/>
          <w:lang w:val="cs-CZ" w:eastAsia="cs-CZ" w:bidi="cs-CZ"/>
        </w:rPr>
        <w:t>vypracování přepočtu zatížitelnosti mostů</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v rámci předmětu plnění smluvní strany sjednávají takto:</w:t>
      </w:r>
    </w:p>
    <w:p>
      <w:pPr>
        <w:pStyle w:val="Style2"/>
        <w:keepNext w:val="0"/>
        <w:keepLines w:val="0"/>
        <w:widowControl w:val="0"/>
        <w:shd w:val="clear" w:color="auto" w:fill="auto"/>
        <w:bidi w:val="0"/>
        <w:spacing w:before="0" w:after="460" w:line="240" w:lineRule="auto"/>
        <w:ind w:left="1140" w:right="0" w:firstLine="0"/>
        <w:jc w:val="left"/>
      </w:pPr>
      <w:r>
        <w:rPr>
          <w:color w:val="000000"/>
          <w:spacing w:val="0"/>
          <w:w w:val="100"/>
          <w:position w:val="0"/>
          <w:sz w:val="24"/>
          <w:szCs w:val="24"/>
          <w:shd w:val="clear" w:color="auto" w:fill="auto"/>
          <w:lang w:val="cs-CZ" w:eastAsia="cs-CZ" w:bidi="cs-CZ"/>
        </w:rPr>
        <w:t xml:space="preserve">- Odevzdání nejpozději do </w:t>
      </w:r>
      <w:r>
        <w:rPr>
          <w:b/>
          <w:bCs/>
          <w:color w:val="000000"/>
          <w:spacing w:val="0"/>
          <w:w w:val="100"/>
          <w:position w:val="0"/>
          <w:sz w:val="24"/>
          <w:szCs w:val="24"/>
          <w:shd w:val="clear" w:color="auto" w:fill="auto"/>
          <w:lang w:val="cs-CZ" w:eastAsia="cs-CZ" w:bidi="cs-CZ"/>
        </w:rPr>
        <w:t>30. 9. 2022</w:t>
      </w:r>
    </w:p>
    <w:p>
      <w:pPr>
        <w:pStyle w:val="Style22"/>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Článek 4</w:t>
        <w:br/>
        <w:t>Cena díla</w:t>
      </w:r>
      <w:bookmarkEnd w:id="6"/>
      <w:bookmarkEnd w:id="7"/>
    </w:p>
    <w:p>
      <w:pPr>
        <w:pStyle w:val="Style2"/>
        <w:keepNext w:val="0"/>
        <w:keepLines w:val="0"/>
        <w:widowControl w:val="0"/>
        <w:numPr>
          <w:ilvl w:val="0"/>
          <w:numId w:val="5"/>
        </w:numPr>
        <w:shd w:val="clear" w:color="auto" w:fill="auto"/>
        <w:tabs>
          <w:tab w:pos="571" w:val="left"/>
        </w:tabs>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Cena díla dle čl. 2 této smlouvy je stanovena následovně:</w:t>
      </w:r>
    </w:p>
    <w:p>
      <w:pPr>
        <w:pStyle w:val="Style22"/>
        <w:keepNext/>
        <w:keepLines/>
        <w:widowControl w:val="0"/>
        <w:shd w:val="clear" w:color="auto" w:fill="auto"/>
        <w:bidi w:val="0"/>
        <w:spacing w:before="0" w:after="220" w:line="240" w:lineRule="auto"/>
        <w:ind w:left="0" w:right="0" w:firstLine="560"/>
        <w:jc w:val="left"/>
      </w:pPr>
      <w:bookmarkStart w:id="8" w:name="bookmark8"/>
      <w:bookmarkStart w:id="9" w:name="bookmark9"/>
      <w:r>
        <w:rPr>
          <w:color w:val="000000"/>
          <w:spacing w:val="0"/>
          <w:w w:val="100"/>
          <w:position w:val="0"/>
          <w:sz w:val="24"/>
          <w:szCs w:val="24"/>
          <w:u w:val="single"/>
          <w:shd w:val="clear" w:color="auto" w:fill="auto"/>
          <w:lang w:val="cs-CZ" w:eastAsia="cs-CZ" w:bidi="cs-CZ"/>
        </w:rPr>
        <w:t>vypracování projektové dokumentace</w:t>
      </w:r>
      <w:r>
        <w:rPr>
          <w:color w:val="000000"/>
          <w:spacing w:val="0"/>
          <w:w w:val="100"/>
          <w:position w:val="0"/>
          <w:sz w:val="24"/>
          <w:szCs w:val="24"/>
          <w:shd w:val="clear" w:color="auto" w:fill="auto"/>
          <w:lang w:val="cs-CZ" w:eastAsia="cs-CZ" w:bidi="cs-CZ"/>
        </w:rPr>
        <w:t xml:space="preserve"> </w:t>
      </w:r>
      <w:r>
        <w:rPr>
          <w:b w:val="0"/>
          <w:bCs w:val="0"/>
          <w:color w:val="000000"/>
          <w:spacing w:val="0"/>
          <w:w w:val="100"/>
          <w:position w:val="0"/>
          <w:sz w:val="24"/>
          <w:szCs w:val="24"/>
          <w:shd w:val="clear" w:color="auto" w:fill="auto"/>
          <w:lang w:val="cs-CZ" w:eastAsia="cs-CZ" w:bidi="cs-CZ"/>
        </w:rPr>
        <w:t>ve výši:</w:t>
      </w:r>
      <w:bookmarkEnd w:id="8"/>
      <w:bookmarkEnd w:id="9"/>
    </w:p>
    <w:tbl>
      <w:tblPr>
        <w:tblOverlap w:val="never"/>
        <w:jc w:val="center"/>
        <w:tblLayout w:type="fixed"/>
      </w:tblPr>
      <w:tblGrid>
        <w:gridCol w:w="4258"/>
        <w:gridCol w:w="3979"/>
      </w:tblGrid>
      <w:tr>
        <w:trPr>
          <w:trHeight w:val="69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přepočtu zatížitelnosti</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90.000,00 Kč bez DPH</w:t>
            </w:r>
          </w:p>
        </w:tc>
      </w:tr>
      <w:tr>
        <w:trPr>
          <w:trHeight w:val="610"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z w:val="24"/>
                <w:szCs w:val="24"/>
                <w:shd w:val="clear" w:color="auto" w:fill="auto"/>
                <w:lang w:val="cs-CZ" w:eastAsia="cs-CZ" w:bidi="cs-CZ"/>
              </w:rPr>
              <w:t>18 900 Kč</w:t>
            </w:r>
          </w:p>
        </w:tc>
      </w:tr>
      <w:tr>
        <w:trPr>
          <w:trHeight w:val="533" w:hRule="exact"/>
        </w:trPr>
        <w:tc>
          <w:tcPr>
            <w:tcBorders>
              <w:top w:val="single" w:sz="4"/>
              <w:left w:val="single" w:sz="4"/>
              <w:bottom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108.900,00 Kč vč. DPH</w:t>
            </w:r>
          </w:p>
        </w:tc>
      </w:tr>
    </w:tbl>
    <w:p>
      <w:pPr>
        <w:pStyle w:val="Style14"/>
        <w:keepNext w:val="0"/>
        <w:keepLines w:val="0"/>
        <w:widowControl w:val="0"/>
        <w:numPr>
          <w:ilvl w:val="0"/>
          <w:numId w:val="7"/>
        </w:numPr>
        <w:shd w:val="clear" w:color="auto" w:fill="auto"/>
        <w:tabs>
          <w:tab w:pos="571" w:val="left"/>
        </w:tabs>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 xml:space="preserve">V ceně jsou obsaženy všechny práce a činnosti nutné ke splnění díla, uvedené v cenové nabídce, v rozsahu </w:t>
      </w:r>
      <w:r>
        <w:rPr>
          <w:b/>
          <w:bCs/>
          <w:color w:val="000000"/>
          <w:spacing w:val="0"/>
          <w:w w:val="100"/>
          <w:position w:val="0"/>
          <w:sz w:val="24"/>
          <w:szCs w:val="24"/>
          <w:shd w:val="clear" w:color="auto" w:fill="auto"/>
          <w:lang w:val="cs-CZ" w:eastAsia="cs-CZ" w:bidi="cs-CZ"/>
        </w:rPr>
        <w:t xml:space="preserve">Přílohy č. 1 </w:t>
      </w:r>
      <w:r>
        <w:rPr>
          <w:color w:val="000000"/>
          <w:spacing w:val="0"/>
          <w:w w:val="100"/>
          <w:position w:val="0"/>
          <w:sz w:val="24"/>
          <w:szCs w:val="24"/>
          <w:shd w:val="clear" w:color="auto" w:fill="auto"/>
          <w:lang w:val="cs-CZ" w:eastAsia="cs-CZ" w:bidi="cs-CZ"/>
        </w:rPr>
        <w:t>(Cenová nabídka), které jsou součástí této smlouvy.</w:t>
      </w:r>
    </w:p>
    <w:p>
      <w:pPr>
        <w:widowControl w:val="0"/>
        <w:spacing w:after="79" w:line="1" w:lineRule="exact"/>
      </w:pPr>
    </w:p>
    <w:p>
      <w:pPr>
        <w:pStyle w:val="Style2"/>
        <w:keepNext w:val="0"/>
        <w:keepLines w:val="0"/>
        <w:widowControl w:val="0"/>
        <w:numPr>
          <w:ilvl w:val="0"/>
          <w:numId w:val="9"/>
        </w:numPr>
        <w:shd w:val="clear" w:color="auto" w:fill="auto"/>
        <w:tabs>
          <w:tab w:pos="571" w:val="left"/>
        </w:tabs>
        <w:bidi w:val="0"/>
        <w:spacing w:before="0" w:after="80" w:line="240" w:lineRule="auto"/>
        <w:ind w:left="0" w:right="0" w:firstLine="0"/>
        <w:jc w:val="left"/>
      </w:pPr>
      <w:r>
        <w:rPr>
          <w:color w:val="000000"/>
          <w:spacing w:val="0"/>
          <w:w w:val="100"/>
          <w:position w:val="0"/>
          <w:sz w:val="24"/>
          <w:szCs w:val="24"/>
          <w:shd w:val="clear" w:color="auto" w:fill="auto"/>
          <w:lang w:val="cs-CZ" w:eastAsia="cs-CZ" w:bidi="cs-CZ"/>
        </w:rPr>
        <w:t>Celkovou a pro účely fakturace rozhodnou cenou se rozumí cena včetně DPH.</w:t>
      </w:r>
    </w:p>
    <w:p>
      <w:pPr>
        <w:pStyle w:val="Style2"/>
        <w:keepNext w:val="0"/>
        <w:keepLines w:val="0"/>
        <w:widowControl w:val="0"/>
        <w:numPr>
          <w:ilvl w:val="0"/>
          <w:numId w:val="9"/>
        </w:numPr>
        <w:shd w:val="clear" w:color="auto" w:fill="auto"/>
        <w:tabs>
          <w:tab w:pos="571"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w:t>
      </w:r>
    </w:p>
    <w:p>
      <w:pPr>
        <w:pStyle w:val="Style2"/>
        <w:keepNext w:val="0"/>
        <w:keepLines w:val="0"/>
        <w:widowControl w:val="0"/>
        <w:shd w:val="clear" w:color="auto" w:fill="auto"/>
        <w:bidi w:val="0"/>
        <w:spacing w:before="0" w:line="240" w:lineRule="auto"/>
        <w:ind w:left="0" w:right="0" w:firstLine="580"/>
        <w:jc w:val="left"/>
      </w:pPr>
      <w:r>
        <w:rPr>
          <w:color w:val="000000"/>
          <w:spacing w:val="0"/>
          <w:w w:val="100"/>
          <w:position w:val="0"/>
          <w:sz w:val="24"/>
          <w:szCs w:val="24"/>
          <w:shd w:val="clear" w:color="auto" w:fill="auto"/>
          <w:lang w:val="cs-CZ" w:eastAsia="cs-CZ" w:bidi="cs-CZ"/>
        </w:rPr>
        <w:t>smlouvě.</w:t>
      </w:r>
    </w:p>
    <w:p>
      <w:pPr>
        <w:pStyle w:val="Style2"/>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Všechny úpravy cen musí být v souladu s obecně platnými cenovými předpisy a podléhají smluvnímu schválení obou smluvních stran. Zhotovitel odpovídá za to, že sazba DPH je stanovena v souladu s platnými právními předpisy.</w:t>
      </w:r>
    </w:p>
    <w:p>
      <w:pPr>
        <w:pStyle w:val="Style2"/>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z w:val="24"/>
          <w:szCs w:val="24"/>
          <w:shd w:val="clear" w:color="auto" w:fill="auto"/>
          <w:lang w:val="cs-CZ" w:eastAsia="cs-CZ" w:bidi="cs-CZ"/>
        </w:rPr>
        <w:t xml:space="preserve">§ 2594 OZ. </w:t>
      </w:r>
      <w:r>
        <w:rPr>
          <w:color w:val="000000"/>
          <w:spacing w:val="0"/>
          <w:w w:val="100"/>
          <w:position w:val="0"/>
          <w:sz w:val="24"/>
          <w:szCs w:val="24"/>
          <w:shd w:val="clear" w:color="auto" w:fill="auto"/>
          <w:lang w:val="cs-CZ" w:eastAsia="cs-CZ" w:bidi="cs-CZ"/>
        </w:rPr>
        <w:t xml:space="preserve">Pro úč ely této smlouvy jsou dodatečné služby vždy spojeny s výdejem veřejných prostředků a podléhají postupům dle </w:t>
      </w:r>
      <w:r>
        <w:rPr>
          <w:b/>
          <w:bCs/>
          <w:color w:val="000000"/>
          <w:spacing w:val="0"/>
          <w:w w:val="100"/>
          <w:position w:val="0"/>
          <w:sz w:val="24"/>
          <w:szCs w:val="24"/>
          <w:shd w:val="clear" w:color="auto" w:fill="auto"/>
          <w:lang w:val="cs-CZ" w:eastAsia="cs-CZ" w:bidi="cs-CZ"/>
        </w:rPr>
        <w:t xml:space="preserve">§ 222 zákona č. 134/2016 Sb., o zadávání veřejných zakázek, </w:t>
      </w:r>
      <w:r>
        <w:rPr>
          <w:color w:val="000000"/>
          <w:spacing w:val="0"/>
          <w:w w:val="100"/>
          <w:position w:val="0"/>
          <w:sz w:val="24"/>
          <w:szCs w:val="24"/>
          <w:shd w:val="clear" w:color="auto" w:fill="auto"/>
          <w:lang w:val="cs-CZ" w:eastAsia="cs-CZ" w:bidi="cs-CZ"/>
        </w:rPr>
        <w:t>v platném znění (dále jen „ZZVZ“).</w:t>
      </w:r>
    </w:p>
    <w:p>
      <w:pPr>
        <w:pStyle w:val="Style2"/>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2"/>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Pokud zhotovitel provede </w:t>
      </w:r>
      <w:r>
        <w:rPr>
          <w:b/>
          <w:bCs/>
          <w:color w:val="000000"/>
          <w:spacing w:val="0"/>
          <w:w w:val="100"/>
          <w:position w:val="0"/>
          <w:sz w:val="24"/>
          <w:szCs w:val="24"/>
          <w:shd w:val="clear" w:color="auto" w:fill="auto"/>
          <w:lang w:val="cs-CZ" w:eastAsia="cs-CZ" w:bidi="cs-CZ"/>
        </w:rPr>
        <w:t xml:space="preserve">dodatečné služby </w:t>
      </w:r>
      <w:r>
        <w:rPr>
          <w:color w:val="000000"/>
          <w:spacing w:val="0"/>
          <w:w w:val="100"/>
          <w:position w:val="0"/>
          <w:sz w:val="24"/>
          <w:szCs w:val="24"/>
          <w:shd w:val="clear" w:color="auto" w:fill="auto"/>
          <w:lang w:val="cs-CZ" w:eastAsia="cs-CZ" w:bidi="cs-CZ"/>
        </w:rPr>
        <w:t xml:space="preserve">mimo předchozí postup dle ZZVZ a nedohodne se s objednatelem na ceně díla postupem dle </w:t>
      </w:r>
      <w:r>
        <w:rPr>
          <w:b/>
          <w:bCs/>
          <w:color w:val="000000"/>
          <w:spacing w:val="0"/>
          <w:w w:val="100"/>
          <w:position w:val="0"/>
          <w:sz w:val="24"/>
          <w:szCs w:val="24"/>
          <w:shd w:val="clear" w:color="auto" w:fill="auto"/>
          <w:lang w:val="cs-CZ" w:eastAsia="cs-CZ" w:bidi="cs-CZ"/>
        </w:rPr>
        <w:t xml:space="preserve">§ 2612 odst. 1 OZ, </w:t>
      </w:r>
      <w:r>
        <w:rPr>
          <w:color w:val="000000"/>
          <w:spacing w:val="0"/>
          <w:w w:val="100"/>
          <w:position w:val="0"/>
          <w:sz w:val="24"/>
          <w:szCs w:val="24"/>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4"/>
          <w:szCs w:val="24"/>
          <w:shd w:val="clear" w:color="auto" w:fill="auto"/>
          <w:lang w:val="cs-CZ" w:eastAsia="cs-CZ" w:bidi="cs-CZ"/>
        </w:rPr>
        <w:t xml:space="preserve">ZZVZ </w:t>
      </w:r>
      <w:r>
        <w:rPr>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shd w:val="clear" w:color="auto" w:fill="auto"/>
          <w:lang w:val="cs-CZ" w:eastAsia="cs-CZ" w:bidi="cs-CZ"/>
        </w:rPr>
        <w:t xml:space="preserve">§ 2614 OZ </w:t>
      </w:r>
      <w:r>
        <w:rPr>
          <w:color w:val="000000"/>
          <w:spacing w:val="0"/>
          <w:w w:val="100"/>
          <w:position w:val="0"/>
          <w:sz w:val="24"/>
          <w:szCs w:val="24"/>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z w:val="24"/>
          <w:szCs w:val="24"/>
          <w:shd w:val="clear" w:color="auto" w:fill="auto"/>
          <w:lang w:val="cs-CZ" w:eastAsia="cs-CZ" w:bidi="cs-CZ"/>
        </w:rPr>
        <w:t>dodatečných služeb.</w:t>
      </w:r>
    </w:p>
    <w:p>
      <w:pPr>
        <w:pStyle w:val="Style2"/>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Veškeré dodatečné služby splňující podmínky stanovené v </w:t>
      </w:r>
      <w:r>
        <w:rPr>
          <w:b/>
          <w:bCs/>
          <w:color w:val="000000"/>
          <w:spacing w:val="0"/>
          <w:w w:val="100"/>
          <w:position w:val="0"/>
          <w:sz w:val="24"/>
          <w:szCs w:val="24"/>
          <w:shd w:val="clear" w:color="auto" w:fill="auto"/>
          <w:lang w:val="cs-CZ" w:eastAsia="cs-CZ" w:bidi="cs-CZ"/>
        </w:rPr>
        <w:t xml:space="preserve">§ 222 ZZVZ, </w:t>
      </w:r>
      <w:r>
        <w:rPr>
          <w:color w:val="000000"/>
          <w:spacing w:val="0"/>
          <w:w w:val="100"/>
          <w:position w:val="0"/>
          <w:sz w:val="24"/>
          <w:szCs w:val="24"/>
          <w:shd w:val="clear" w:color="auto" w:fill="auto"/>
          <w:lang w:val="cs-CZ" w:eastAsia="cs-CZ" w:bidi="cs-CZ"/>
        </w:rPr>
        <w:t>které jsou nezbytné pro dokončení díla, musí být písemně dohodnuty osobami oprávněnými jednat ve věcech smlouvy a v souladu se ZZVZ.</w:t>
      </w:r>
    </w:p>
    <w:p>
      <w:pPr>
        <w:pStyle w:val="Style2"/>
        <w:keepNext w:val="0"/>
        <w:keepLines w:val="0"/>
        <w:widowControl w:val="0"/>
        <w:numPr>
          <w:ilvl w:val="0"/>
          <w:numId w:val="9"/>
        </w:numPr>
        <w:shd w:val="clear" w:color="auto" w:fill="auto"/>
        <w:tabs>
          <w:tab w:pos="620" w:val="left"/>
        </w:tabs>
        <w:bidi w:val="0"/>
        <w:spacing w:before="0" w:after="480" w:line="240" w:lineRule="auto"/>
        <w:ind w:left="580" w:right="0" w:hanging="580"/>
        <w:jc w:val="both"/>
      </w:pPr>
      <w:r>
        <w:rPr>
          <w:color w:val="000000"/>
          <w:spacing w:val="0"/>
          <w:w w:val="100"/>
          <w:position w:val="0"/>
          <w:sz w:val="24"/>
          <w:szCs w:val="24"/>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22"/>
        <w:keepNext/>
        <w:keepLines/>
        <w:widowControl w:val="0"/>
        <w:shd w:val="clear" w:color="auto" w:fill="auto"/>
        <w:bidi w:val="0"/>
        <w:spacing w:before="0" w:after="10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Článek 5</w:t>
        <w:br/>
        <w:t>Způsob provádění díla a dodání díla</w:t>
      </w:r>
      <w:bookmarkEnd w:id="10"/>
      <w:bookmarkEnd w:id="11"/>
    </w:p>
    <w:p>
      <w:pPr>
        <w:pStyle w:val="Style2"/>
        <w:keepNext w:val="0"/>
        <w:keepLines w:val="0"/>
        <w:widowControl w:val="0"/>
        <w:numPr>
          <w:ilvl w:val="0"/>
          <w:numId w:val="1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Dílo bude provedeno s veškerou péčí a odborností, bude předáno kompletní a bez vad, v rozsahu a v termínech stanovených touto smlouvou, a to osobn ě odpov ě dnému pracovníkovi objednatele na základě předávacího protokolu.</w:t>
      </w:r>
    </w:p>
    <w:p>
      <w:pPr>
        <w:pStyle w:val="Style2"/>
        <w:keepNext w:val="0"/>
        <w:keepLines w:val="0"/>
        <w:widowControl w:val="0"/>
        <w:numPr>
          <w:ilvl w:val="0"/>
          <w:numId w:val="1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2"/>
        <w:keepNext w:val="0"/>
        <w:keepLines w:val="0"/>
        <w:widowControl w:val="0"/>
        <w:numPr>
          <w:ilvl w:val="0"/>
          <w:numId w:val="1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Zhotovitel je povinen dle </w:t>
      </w:r>
      <w:r>
        <w:rPr>
          <w:b/>
          <w:bCs/>
          <w:color w:val="000000"/>
          <w:spacing w:val="0"/>
          <w:w w:val="100"/>
          <w:position w:val="0"/>
          <w:sz w:val="24"/>
          <w:szCs w:val="24"/>
          <w:shd w:val="clear" w:color="auto" w:fill="auto"/>
          <w:lang w:val="cs-CZ" w:eastAsia="cs-CZ" w:bidi="cs-CZ"/>
        </w:rPr>
        <w:t xml:space="preserve">§ 2594 OZ </w:t>
      </w:r>
      <w:r>
        <w:rPr>
          <w:color w:val="000000"/>
          <w:spacing w:val="0"/>
          <w:w w:val="100"/>
          <w:position w:val="0"/>
          <w:sz w:val="24"/>
          <w:szCs w:val="24"/>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2"/>
        <w:keepNext w:val="0"/>
        <w:keepLines w:val="0"/>
        <w:widowControl w:val="0"/>
        <w:numPr>
          <w:ilvl w:val="0"/>
          <w:numId w:val="1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2"/>
        <w:keepNext w:val="0"/>
        <w:keepLines w:val="0"/>
        <w:widowControl w:val="0"/>
        <w:numPr>
          <w:ilvl w:val="0"/>
          <w:numId w:val="11"/>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 xml:space="preserve">V </w:t>
      </w:r>
      <w:r>
        <w:rPr>
          <w:b/>
          <w:bCs/>
          <w:color w:val="000000"/>
          <w:spacing w:val="0"/>
          <w:w w:val="100"/>
          <w:position w:val="0"/>
          <w:sz w:val="24"/>
          <w:szCs w:val="24"/>
          <w:shd w:val="clear" w:color="auto" w:fill="auto"/>
          <w:lang w:val="cs-CZ" w:eastAsia="cs-CZ" w:bidi="cs-CZ"/>
        </w:rPr>
        <w:t xml:space="preserve">příloze č. 2 </w:t>
      </w:r>
      <w:r>
        <w:rPr>
          <w:color w:val="000000"/>
          <w:spacing w:val="0"/>
          <w:w w:val="100"/>
          <w:position w:val="0"/>
          <w:sz w:val="24"/>
          <w:szCs w:val="24"/>
          <w:shd w:val="clear" w:color="auto" w:fill="auto"/>
          <w:lang w:val="cs-CZ" w:eastAsia="cs-CZ" w:bidi="cs-CZ"/>
        </w:rPr>
        <w:t xml:space="preserve">(Seznam poddodavatelů), který je součástí této smlouvy jsou specifikovány ty části předmětu plnění dle této smlouvy, které budou poskytovány </w:t>
      </w:r>
      <w:r>
        <w:rPr>
          <w:color w:val="000000"/>
          <w:spacing w:val="0"/>
          <w:w w:val="100"/>
          <w:position w:val="0"/>
          <w:sz w:val="24"/>
          <w:szCs w:val="24"/>
          <w:shd w:val="clear" w:color="auto" w:fill="auto"/>
          <w:lang w:val="cs-CZ" w:eastAsia="cs-CZ" w:bidi="cs-CZ"/>
        </w:rPr>
        <w:t>poddodavateli zhotovitele. Zhotovitel se zavazuje, že tyto části předmětu plnění budou příslušnými poddodavateli provedeny v souladu se všemi podmínkami smlouvy. Tím není dotčena výlučná odpovědnost zhotovitele za poskytování řádného plnění dle této smlouvy či její dílčí části.</w:t>
      </w:r>
    </w:p>
    <w:p>
      <w:pPr>
        <w:pStyle w:val="Style2"/>
        <w:keepNext w:val="0"/>
        <w:keepLines w:val="0"/>
        <w:widowControl w:val="0"/>
        <w:shd w:val="clear" w:color="auto" w:fill="auto"/>
        <w:bidi w:val="0"/>
        <w:spacing w:before="0" w:after="80" w:line="240" w:lineRule="auto"/>
        <w:ind w:left="580" w:right="0" w:firstLine="0"/>
        <w:jc w:val="both"/>
      </w:pPr>
      <w:r>
        <w:rPr>
          <w:color w:val="000000"/>
          <w:spacing w:val="0"/>
          <w:w w:val="100"/>
          <w:position w:val="0"/>
          <w:sz w:val="24"/>
          <w:szCs w:val="24"/>
          <w:shd w:val="clear" w:color="auto" w:fill="auto"/>
          <w:lang w:val="cs-CZ" w:eastAsia="cs-CZ" w:bidi="cs-CZ"/>
        </w:rPr>
        <w:t>Změnu poddodavatele je zhotovitel oprávněn provést pouze se souhlasem objednatele. Objednatel je povinen se ve lhůtě 7 kalendářních dnů ode dne doručení písemného oznámení vyjádřit, zda změnu poddodavatele povoluje či nikoliv. Nevyjádří-li se objednatel ve stanovené lhůtě, považuje se změna na pozici poddodavatele ze strany objednatele za povolenou.</w:t>
      </w:r>
    </w:p>
    <w:p>
      <w:pPr>
        <w:pStyle w:val="Style2"/>
        <w:keepNext w:val="0"/>
        <w:keepLines w:val="0"/>
        <w:widowControl w:val="0"/>
        <w:shd w:val="clear" w:color="auto" w:fill="auto"/>
        <w:bidi w:val="0"/>
        <w:spacing w:before="0" w:after="80" w:line="240" w:lineRule="auto"/>
        <w:ind w:left="580" w:right="0" w:firstLine="0"/>
        <w:jc w:val="both"/>
      </w:pPr>
      <w:r>
        <w:rPr>
          <w:color w:val="000000"/>
          <w:spacing w:val="0"/>
          <w:w w:val="100"/>
          <w:position w:val="0"/>
          <w:sz w:val="24"/>
          <w:szCs w:val="24"/>
          <w:shd w:val="clear" w:color="auto" w:fill="auto"/>
          <w:lang w:val="cs-CZ" w:eastAsia="cs-CZ" w:bidi="cs-CZ"/>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2"/>
        <w:keepNext w:val="0"/>
        <w:keepLines w:val="0"/>
        <w:widowControl w:val="0"/>
        <w:numPr>
          <w:ilvl w:val="0"/>
          <w:numId w:val="11"/>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 xml:space="preserve">Není-li v </w:t>
      </w:r>
      <w:r>
        <w:rPr>
          <w:b/>
          <w:bCs/>
          <w:color w:val="000000"/>
          <w:spacing w:val="0"/>
          <w:w w:val="100"/>
          <w:position w:val="0"/>
          <w:sz w:val="24"/>
          <w:szCs w:val="24"/>
          <w:shd w:val="clear" w:color="auto" w:fill="auto"/>
          <w:lang w:val="cs-CZ" w:eastAsia="cs-CZ" w:bidi="cs-CZ"/>
        </w:rPr>
        <w:t xml:space="preserve">příloze č. 1 </w:t>
      </w:r>
      <w:r>
        <w:rPr>
          <w:color w:val="000000"/>
          <w:spacing w:val="0"/>
          <w:w w:val="100"/>
          <w:position w:val="0"/>
          <w:sz w:val="24"/>
          <w:szCs w:val="24"/>
          <w:shd w:val="clear" w:color="auto" w:fill="auto"/>
          <w:lang w:val="cs-CZ" w:eastAsia="cs-CZ" w:bidi="cs-CZ"/>
        </w:rPr>
        <w:t>stanoveno jinak, bude závěrečná dokumentace s přepočty zatížitelnosti předána i v elektronické podobě a zhotovitel se zavazuje předat příslušné soubory dokumentace ve formátu - .pdf. Elektronická podoba bude vypálena na 1 ks CD ke každému mostu.</w:t>
      </w:r>
    </w:p>
    <w:p>
      <w:pPr>
        <w:pStyle w:val="Style2"/>
        <w:keepNext w:val="0"/>
        <w:keepLines w:val="0"/>
        <w:widowControl w:val="0"/>
        <w:numPr>
          <w:ilvl w:val="0"/>
          <w:numId w:val="11"/>
        </w:numPr>
        <w:shd w:val="clear" w:color="auto" w:fill="auto"/>
        <w:tabs>
          <w:tab w:pos="571" w:val="left"/>
        </w:tabs>
        <w:bidi w:val="0"/>
        <w:spacing w:before="0" w:after="80" w:line="240" w:lineRule="auto"/>
        <w:ind w:left="0" w:right="0" w:firstLine="0"/>
        <w:jc w:val="left"/>
      </w:pPr>
      <w:r>
        <w:rPr>
          <w:color w:val="000000"/>
          <w:spacing w:val="0"/>
          <w:w w:val="100"/>
          <w:position w:val="0"/>
          <w:sz w:val="24"/>
          <w:szCs w:val="24"/>
          <w:shd w:val="clear" w:color="auto" w:fill="auto"/>
          <w:lang w:val="cs-CZ" w:eastAsia="cs-CZ" w:bidi="cs-CZ"/>
        </w:rPr>
        <w:t xml:space="preserve">Zhotovitel je oprávněn provést dílo i před sjednanou dobou dle </w:t>
      </w:r>
      <w:r>
        <w:rPr>
          <w:b/>
          <w:bCs/>
          <w:color w:val="000000"/>
          <w:spacing w:val="0"/>
          <w:w w:val="100"/>
          <w:position w:val="0"/>
          <w:sz w:val="24"/>
          <w:szCs w:val="24"/>
          <w:shd w:val="clear" w:color="auto" w:fill="auto"/>
          <w:lang w:val="cs-CZ" w:eastAsia="cs-CZ" w:bidi="cs-CZ"/>
        </w:rPr>
        <w:t>čl. 3</w:t>
      </w:r>
      <w:r>
        <w:rPr>
          <w:color w:val="000000"/>
          <w:spacing w:val="0"/>
          <w:w w:val="100"/>
          <w:position w:val="0"/>
          <w:sz w:val="24"/>
          <w:szCs w:val="24"/>
          <w:shd w:val="clear" w:color="auto" w:fill="auto"/>
          <w:lang w:val="cs-CZ" w:eastAsia="cs-CZ" w:bidi="cs-CZ"/>
        </w:rPr>
        <w:t>. této smlouvy.</w:t>
      </w:r>
    </w:p>
    <w:p>
      <w:pPr>
        <w:pStyle w:val="Style22"/>
        <w:keepNext/>
        <w:keepLines/>
        <w:widowControl w:val="0"/>
        <w:numPr>
          <w:ilvl w:val="0"/>
          <w:numId w:val="11"/>
        </w:numPr>
        <w:shd w:val="clear" w:color="auto" w:fill="auto"/>
        <w:tabs>
          <w:tab w:pos="571" w:val="left"/>
        </w:tabs>
        <w:bidi w:val="0"/>
        <w:spacing w:before="0" w:line="240" w:lineRule="auto"/>
        <w:ind w:left="0" w:right="0" w:firstLine="0"/>
        <w:jc w:val="left"/>
      </w:pPr>
      <w:bookmarkStart w:id="12" w:name="bookmark12"/>
      <w:bookmarkStart w:id="13" w:name="bookmark13"/>
      <w:r>
        <w:rPr>
          <w:color w:val="000000"/>
          <w:spacing w:val="0"/>
          <w:w w:val="100"/>
          <w:position w:val="0"/>
          <w:sz w:val="24"/>
          <w:szCs w:val="24"/>
          <w:shd w:val="clear" w:color="auto" w:fill="auto"/>
          <w:lang w:val="cs-CZ" w:eastAsia="cs-CZ" w:bidi="cs-CZ"/>
        </w:rPr>
        <w:t>Kontaktní osoby objednatele a osoby pověřené provedením díla:</w:t>
      </w:r>
      <w:bookmarkEnd w:id="12"/>
      <w:bookmarkEnd w:id="13"/>
    </w:p>
    <w:p>
      <w:pPr>
        <w:pStyle w:val="Style2"/>
        <w:keepNext w:val="0"/>
        <w:keepLines w:val="0"/>
        <w:widowControl w:val="0"/>
        <w:numPr>
          <w:ilvl w:val="0"/>
          <w:numId w:val="13"/>
        </w:numPr>
        <w:shd w:val="clear" w:color="auto" w:fill="auto"/>
        <w:tabs>
          <w:tab w:pos="1435" w:val="left"/>
        </w:tabs>
        <w:bidi w:val="0"/>
        <w:spacing w:before="0" w:after="480" w:line="240" w:lineRule="auto"/>
        <w:ind w:left="0" w:right="0" w:firstLine="580"/>
        <w:jc w:val="both"/>
      </w:pPr>
      <w:r>
        <w:rPr>
          <w:color w:val="000000"/>
          <w:spacing w:val="0"/>
          <w:w w:val="100"/>
          <w:position w:val="0"/>
          <w:sz w:val="24"/>
          <w:szCs w:val="24"/>
          <w:shd w:val="clear" w:color="auto" w:fill="auto"/>
          <w:lang w:val="cs-CZ" w:eastAsia="cs-CZ" w:bidi="cs-CZ"/>
        </w:rPr>
        <w:t>Zástupci zhotovitele ve věcech technických:</w:t>
      </w:r>
    </w:p>
    <w:p>
      <w:pPr>
        <w:pStyle w:val="Style2"/>
        <w:keepNext w:val="0"/>
        <w:keepLines w:val="0"/>
        <w:widowControl w:val="0"/>
        <w:numPr>
          <w:ilvl w:val="0"/>
          <w:numId w:val="13"/>
        </w:numPr>
        <w:shd w:val="clear" w:color="auto" w:fill="auto"/>
        <w:tabs>
          <w:tab w:pos="1435" w:val="left"/>
        </w:tabs>
        <w:bidi w:val="0"/>
        <w:spacing w:before="0" w:after="480" w:line="240" w:lineRule="auto"/>
        <w:ind w:left="0" w:right="0" w:firstLine="580"/>
        <w:jc w:val="both"/>
      </w:pPr>
      <w:r>
        <w:rPr>
          <w:color w:val="000000"/>
          <w:spacing w:val="0"/>
          <w:w w:val="100"/>
          <w:position w:val="0"/>
          <w:sz w:val="24"/>
          <w:szCs w:val="24"/>
          <w:shd w:val="clear" w:color="auto" w:fill="auto"/>
          <w:lang w:val="cs-CZ" w:eastAsia="cs-CZ" w:bidi="cs-CZ"/>
        </w:rPr>
        <w:t>Další zástupce objednatele ve věcech technických:</w:t>
      </w:r>
    </w:p>
    <w:p>
      <w:pPr>
        <w:pStyle w:val="Style2"/>
        <w:keepNext w:val="0"/>
        <w:keepLines w:val="0"/>
        <w:widowControl w:val="0"/>
        <w:numPr>
          <w:ilvl w:val="0"/>
          <w:numId w:val="11"/>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 xml:space="preserve">Dílo je provedeno, je-li dokončeno a předáno objednateli v rozsahu dle </w:t>
      </w:r>
      <w:r>
        <w:rPr>
          <w:b/>
          <w:bCs/>
          <w:color w:val="000000"/>
          <w:spacing w:val="0"/>
          <w:w w:val="100"/>
          <w:position w:val="0"/>
          <w:sz w:val="24"/>
          <w:szCs w:val="24"/>
          <w:shd w:val="clear" w:color="auto" w:fill="auto"/>
          <w:lang w:val="cs-CZ" w:eastAsia="cs-CZ" w:bidi="cs-CZ"/>
        </w:rPr>
        <w:t xml:space="preserve">přílohy č. 1 </w:t>
      </w:r>
      <w:r>
        <w:rPr>
          <w:color w:val="000000"/>
          <w:spacing w:val="0"/>
          <w:w w:val="100"/>
          <w:position w:val="0"/>
          <w:sz w:val="24"/>
          <w:szCs w:val="24"/>
          <w:shd w:val="clear" w:color="auto" w:fill="auto"/>
          <w:lang w:val="cs-CZ" w:eastAsia="cs-CZ" w:bidi="cs-CZ"/>
        </w:rPr>
        <w:t>této smlouvy. Pro každý most 2x paré tištěně, vč. 1x CD s elektronickou podobou.</w:t>
      </w:r>
    </w:p>
    <w:p>
      <w:pPr>
        <w:pStyle w:val="Style2"/>
        <w:keepNext w:val="0"/>
        <w:keepLines w:val="0"/>
        <w:widowControl w:val="0"/>
        <w:numPr>
          <w:ilvl w:val="0"/>
          <w:numId w:val="11"/>
        </w:numPr>
        <w:shd w:val="clear" w:color="auto" w:fill="auto"/>
        <w:tabs>
          <w:tab w:pos="680"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Předání díla bude provedeno na základě písemného Předávacího protokolu podepsaného oprávněnými zástupci obou smluvních stran</w:t>
      </w:r>
    </w:p>
    <w:p>
      <w:pPr>
        <w:pStyle w:val="Style2"/>
        <w:keepNext w:val="0"/>
        <w:keepLines w:val="0"/>
        <w:widowControl w:val="0"/>
        <w:numPr>
          <w:ilvl w:val="0"/>
          <w:numId w:val="11"/>
        </w:numPr>
        <w:shd w:val="clear" w:color="auto" w:fill="auto"/>
        <w:tabs>
          <w:tab w:pos="680" w:val="left"/>
        </w:tabs>
        <w:bidi w:val="0"/>
        <w:spacing w:before="0" w:after="480" w:line="240" w:lineRule="auto"/>
        <w:ind w:left="0" w:right="0" w:firstLine="0"/>
        <w:jc w:val="left"/>
      </w:pPr>
      <w:r>
        <w:rPr>
          <w:color w:val="000000"/>
          <w:spacing w:val="0"/>
          <w:w w:val="100"/>
          <w:position w:val="0"/>
          <w:sz w:val="24"/>
          <w:szCs w:val="24"/>
          <w:shd w:val="clear" w:color="auto" w:fill="auto"/>
          <w:lang w:val="cs-CZ" w:eastAsia="cs-CZ" w:bidi="cs-CZ"/>
        </w:rPr>
        <w:t>Osoba pověřená převzetím díla za objednatele:</w:t>
      </w:r>
    </w:p>
    <w:p>
      <w:pPr>
        <w:pStyle w:val="Style2"/>
        <w:keepNext w:val="0"/>
        <w:keepLines w:val="0"/>
        <w:widowControl w:val="0"/>
        <w:numPr>
          <w:ilvl w:val="0"/>
          <w:numId w:val="11"/>
        </w:numPr>
        <w:shd w:val="clear" w:color="auto" w:fill="auto"/>
        <w:tabs>
          <w:tab w:pos="680"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Místem plnění je:</w:t>
      </w:r>
    </w:p>
    <w:p>
      <w:pPr>
        <w:pStyle w:val="Style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z w:val="24"/>
          <w:szCs w:val="24"/>
          <w:shd w:val="clear" w:color="auto" w:fill="auto"/>
          <w:lang w:val="cs-CZ" w:eastAsia="cs-CZ" w:bidi="cs-CZ"/>
        </w:rPr>
        <w:t>a) pro předání vypracované projektové dokumentace:</w:t>
      </w:r>
    </w:p>
    <w:p>
      <w:pPr>
        <w:pStyle w:val="Style2"/>
        <w:keepNext w:val="0"/>
        <w:keepLines w:val="0"/>
        <w:widowControl w:val="0"/>
        <w:shd w:val="clear" w:color="auto" w:fill="auto"/>
        <w:bidi w:val="0"/>
        <w:spacing w:before="0" w:after="800" w:line="240" w:lineRule="auto"/>
        <w:ind w:left="740" w:right="0" w:firstLine="0"/>
        <w:jc w:val="both"/>
      </w:pPr>
      <w:r>
        <w:rPr>
          <w:b/>
          <w:bCs/>
          <w:color w:val="000000"/>
          <w:spacing w:val="0"/>
          <w:w w:val="100"/>
          <w:position w:val="0"/>
          <w:sz w:val="24"/>
          <w:szCs w:val="24"/>
          <w:shd w:val="clear" w:color="auto" w:fill="auto"/>
          <w:lang w:val="cs-CZ" w:eastAsia="cs-CZ" w:bidi="cs-CZ"/>
        </w:rPr>
        <w:t>Krajská správa a údržba silnic Vysočiny, příspěvková organizace</w:t>
      </w:r>
      <w:r>
        <w:rPr>
          <w:color w:val="000000"/>
          <w:spacing w:val="0"/>
          <w:w w:val="100"/>
          <w:position w:val="0"/>
          <w:sz w:val="24"/>
          <w:szCs w:val="24"/>
          <w:shd w:val="clear" w:color="auto" w:fill="auto"/>
          <w:lang w:val="cs-CZ" w:eastAsia="cs-CZ" w:bidi="cs-CZ"/>
        </w:rPr>
        <w:t>, Kosovská 1122/16, Jihlava, PSČ 586 01</w:t>
      </w:r>
    </w:p>
    <w:p>
      <w:pPr>
        <w:pStyle w:val="Style22"/>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Článek 6</w:t>
        <w:br/>
        <w:t>Placení a fakturace</w:t>
      </w:r>
      <w:bookmarkEnd w:id="14"/>
      <w:bookmarkEnd w:id="15"/>
    </w:p>
    <w:p>
      <w:pPr>
        <w:pStyle w:val="Style2"/>
        <w:keepNext w:val="0"/>
        <w:keepLines w:val="0"/>
        <w:widowControl w:val="0"/>
        <w:numPr>
          <w:ilvl w:val="0"/>
          <w:numId w:val="15"/>
        </w:numPr>
        <w:shd w:val="clear" w:color="auto" w:fill="auto"/>
        <w:tabs>
          <w:tab w:pos="571" w:val="left"/>
        </w:tabs>
        <w:bidi w:val="0"/>
        <w:spacing w:before="0" w:after="80" w:line="240" w:lineRule="auto"/>
        <w:ind w:left="0" w:right="0" w:firstLine="0"/>
        <w:jc w:val="left"/>
      </w:pPr>
      <w:r>
        <w:rPr>
          <w:color w:val="000000"/>
          <w:spacing w:val="0"/>
          <w:w w:val="100"/>
          <w:position w:val="0"/>
          <w:sz w:val="24"/>
          <w:szCs w:val="24"/>
          <w:shd w:val="clear" w:color="auto" w:fill="auto"/>
          <w:lang w:val="cs-CZ" w:eastAsia="cs-CZ" w:bidi="cs-CZ"/>
        </w:rPr>
        <w:t>Nárok na zaplacení ceny a právo vystavení faktury vzniká:</w:t>
      </w:r>
    </w:p>
    <w:p>
      <w:pPr>
        <w:pStyle w:val="Style2"/>
        <w:keepNext w:val="0"/>
        <w:keepLines w:val="0"/>
        <w:widowControl w:val="0"/>
        <w:numPr>
          <w:ilvl w:val="0"/>
          <w:numId w:val="17"/>
        </w:numPr>
        <w:shd w:val="clear" w:color="auto" w:fill="auto"/>
        <w:tabs>
          <w:tab w:pos="1482" w:val="left"/>
        </w:tabs>
        <w:bidi w:val="0"/>
        <w:spacing w:before="0" w:after="80" w:line="240" w:lineRule="auto"/>
        <w:ind w:left="1440" w:right="0" w:hanging="700"/>
        <w:jc w:val="both"/>
      </w:pPr>
      <w:r>
        <w:rPr>
          <w:color w:val="000000"/>
          <w:spacing w:val="0"/>
          <w:w w:val="100"/>
          <w:position w:val="0"/>
          <w:sz w:val="24"/>
          <w:szCs w:val="24"/>
          <w:shd w:val="clear" w:color="auto" w:fill="auto"/>
          <w:lang w:val="cs-CZ" w:eastAsia="cs-CZ" w:bidi="cs-CZ"/>
        </w:rPr>
        <w:t>Předáním kompletní dokumentace přepočtu zatížitelnosti mostů odsouhlasené objednatelem bez výhrad ve formě a v počtu sjednaném v této smlouvě; strany se dohodly, že objednatel zaplatí cenu za dílo na základě daňového dokladu vystaveného zhotovitelem ve lhůtě splatnosti 30 dnů od doručení.</w:t>
      </w:r>
    </w:p>
    <w:p>
      <w:pPr>
        <w:pStyle w:val="Style2"/>
        <w:keepNext w:val="0"/>
        <w:keepLines w:val="0"/>
        <w:widowControl w:val="0"/>
        <w:numPr>
          <w:ilvl w:val="0"/>
          <w:numId w:val="15"/>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 xml:space="preserve">Faktura musí v souladu se zákonem č. 235/2004 Sb., o dani z přidané hodnoty, ve znění pozdějších předpisů (dále zákon o DPH) a zákonem č. 563/1991 Sb. o účetnictví, ve </w:t>
      </w:r>
      <w:r>
        <w:rPr>
          <w:color w:val="000000"/>
          <w:spacing w:val="0"/>
          <w:w w:val="100"/>
          <w:position w:val="0"/>
          <w:sz w:val="24"/>
          <w:szCs w:val="24"/>
          <w:shd w:val="clear" w:color="auto" w:fill="auto"/>
          <w:lang w:val="cs-CZ" w:eastAsia="cs-CZ" w:bidi="cs-CZ"/>
        </w:rPr>
        <w:t>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2"/>
        <w:keepNext w:val="0"/>
        <w:keepLines w:val="0"/>
        <w:widowControl w:val="0"/>
        <w:numPr>
          <w:ilvl w:val="0"/>
          <w:numId w:val="15"/>
        </w:numPr>
        <w:shd w:val="clear" w:color="auto" w:fill="auto"/>
        <w:tabs>
          <w:tab w:pos="566" w:val="left"/>
        </w:tabs>
        <w:bidi w:val="0"/>
        <w:spacing w:before="0" w:after="80" w:line="240" w:lineRule="auto"/>
        <w:ind w:left="0" w:right="0" w:firstLine="0"/>
        <w:jc w:val="left"/>
      </w:pPr>
      <w:r>
        <w:rPr>
          <w:color w:val="000000"/>
          <w:spacing w:val="0"/>
          <w:w w:val="100"/>
          <w:position w:val="0"/>
          <w:sz w:val="24"/>
          <w:szCs w:val="24"/>
          <w:shd w:val="clear" w:color="auto" w:fill="auto"/>
          <w:lang w:val="cs-CZ" w:eastAsia="cs-CZ" w:bidi="cs-CZ"/>
        </w:rPr>
        <w:t>Objednatel nebude zhotoviteli poskytovat zálohy.</w:t>
      </w:r>
    </w:p>
    <w:p>
      <w:pPr>
        <w:pStyle w:val="Style2"/>
        <w:keepNext w:val="0"/>
        <w:keepLines w:val="0"/>
        <w:widowControl w:val="0"/>
        <w:numPr>
          <w:ilvl w:val="0"/>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pokud nebude některá část předmětu díla plněna, nebude tato cena účtována.</w:t>
      </w:r>
    </w:p>
    <w:p>
      <w:pPr>
        <w:pStyle w:val="Style2"/>
        <w:keepNext w:val="0"/>
        <w:keepLines w:val="0"/>
        <w:widowControl w:val="0"/>
        <w:numPr>
          <w:ilvl w:val="0"/>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5"/>
        </w:numPr>
        <w:shd w:val="clear" w:color="auto" w:fill="auto"/>
        <w:tabs>
          <w:tab w:pos="566" w:val="left"/>
        </w:tabs>
        <w:bidi w:val="0"/>
        <w:spacing w:before="0" w:after="460" w:line="240" w:lineRule="auto"/>
        <w:ind w:left="560" w:right="0" w:hanging="560"/>
        <w:jc w:val="both"/>
      </w:pPr>
      <w:r>
        <w:rPr>
          <w:color w:val="000000"/>
          <w:spacing w:val="0"/>
          <w:w w:val="100"/>
          <w:position w:val="0"/>
          <w:sz w:val="24"/>
          <w:szCs w:val="24"/>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z w:val="24"/>
          <w:szCs w:val="24"/>
          <w:shd w:val="clear" w:color="auto" w:fill="auto"/>
          <w:lang w:val="cs-CZ" w:eastAsia="cs-CZ" w:bidi="cs-CZ"/>
        </w:rP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22"/>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Článek 7</w:t>
        <w:br/>
        <w:t>Smluvní pokuty</w:t>
      </w:r>
      <w:bookmarkEnd w:id="16"/>
      <w:bookmarkEnd w:id="17"/>
    </w:p>
    <w:p>
      <w:pPr>
        <w:pStyle w:val="Style2"/>
        <w:keepNext w:val="0"/>
        <w:keepLines w:val="0"/>
        <w:widowControl w:val="0"/>
        <w:numPr>
          <w:ilvl w:val="1"/>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a násl. OZ </w:t>
      </w:r>
      <w:r>
        <w:rPr>
          <w:color w:val="000000"/>
          <w:spacing w:val="0"/>
          <w:w w:val="100"/>
          <w:position w:val="0"/>
          <w:sz w:val="24"/>
          <w:szCs w:val="24"/>
          <w:shd w:val="clear" w:color="auto" w:fill="auto"/>
          <w:lang w:val="cs-CZ" w:eastAsia="cs-CZ" w:bidi="cs-CZ"/>
        </w:rPr>
        <w:t xml:space="preserve">tyto níže uvedené smluvní pokuty, jejichž sjednáním není dle </w:t>
      </w:r>
      <w:r>
        <w:rPr>
          <w:b/>
          <w:bCs/>
          <w:color w:val="000000"/>
          <w:spacing w:val="0"/>
          <w:w w:val="100"/>
          <w:position w:val="0"/>
          <w:sz w:val="24"/>
          <w:szCs w:val="24"/>
          <w:shd w:val="clear" w:color="auto" w:fill="auto"/>
          <w:lang w:val="cs-CZ" w:eastAsia="cs-CZ" w:bidi="cs-CZ"/>
        </w:rPr>
        <w:t xml:space="preserve">§ 2050 OZ </w:t>
      </w:r>
      <w:r>
        <w:rPr>
          <w:color w:val="000000"/>
          <w:spacing w:val="0"/>
          <w:w w:val="100"/>
          <w:position w:val="0"/>
          <w:sz w:val="24"/>
          <w:szCs w:val="24"/>
          <w:shd w:val="clear" w:color="auto" w:fill="auto"/>
          <w:lang w:val="cs-CZ" w:eastAsia="cs-CZ" w:bidi="cs-CZ"/>
        </w:rPr>
        <w:t>dotčen nárok objednatele na náhradu škody způsobené porušením povinnosti, zajištěné smluvní pokutou. Pohledávka objednatele na zaplacení smluvní pokuty může být započítána s pohledávkou zhotovitele na zaplacení ceny.</w:t>
      </w:r>
    </w:p>
    <w:p>
      <w:pPr>
        <w:pStyle w:val="Style2"/>
        <w:keepNext w:val="0"/>
        <w:keepLines w:val="0"/>
        <w:widowControl w:val="0"/>
        <w:numPr>
          <w:ilvl w:val="1"/>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w:t>
      </w:r>
      <w:r>
        <w:rPr>
          <w:b/>
          <w:bCs/>
          <w:color w:val="000000"/>
          <w:spacing w:val="0"/>
          <w:w w:val="100"/>
          <w:position w:val="0"/>
          <w:sz w:val="24"/>
          <w:szCs w:val="24"/>
          <w:shd w:val="clear" w:color="auto" w:fill="auto"/>
          <w:lang w:val="cs-CZ" w:eastAsia="cs-CZ" w:bidi="cs-CZ"/>
        </w:rPr>
        <w:t xml:space="preserve">závěrečných zpráv </w:t>
      </w:r>
      <w:r>
        <w:rPr>
          <w:color w:val="000000"/>
          <w:spacing w:val="0"/>
          <w:w w:val="100"/>
          <w:position w:val="0"/>
          <w:sz w:val="24"/>
          <w:szCs w:val="24"/>
          <w:shd w:val="clear" w:color="auto" w:fill="auto"/>
          <w:lang w:val="cs-CZ" w:eastAsia="cs-CZ" w:bidi="cs-CZ"/>
        </w:rPr>
        <w:t xml:space="preserve">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5"/>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2"/>
        <w:keepNext w:val="0"/>
        <w:keepLines w:val="0"/>
        <w:widowControl w:val="0"/>
        <w:numPr>
          <w:ilvl w:val="1"/>
          <w:numId w:val="15"/>
        </w:numPr>
        <w:shd w:val="clear" w:color="auto" w:fill="auto"/>
        <w:tabs>
          <w:tab w:pos="566" w:val="left"/>
        </w:tabs>
        <w:bidi w:val="0"/>
        <w:spacing w:before="0" w:after="0" w:line="346" w:lineRule="auto"/>
        <w:ind w:left="560" w:right="0" w:hanging="560"/>
        <w:jc w:val="both"/>
      </w:pPr>
      <w:r>
        <w:rPr>
          <w:color w:val="000000"/>
          <w:spacing w:val="0"/>
          <w:w w:val="100"/>
          <w:position w:val="0"/>
          <w:sz w:val="24"/>
          <w:szCs w:val="24"/>
          <w:shd w:val="clear" w:color="auto" w:fill="auto"/>
          <w:lang w:val="cs-CZ" w:eastAsia="cs-CZ" w:bidi="cs-CZ"/>
        </w:rPr>
        <w:t>Objednatel je povinen zaplatit zhotoviteli úrok z prodlení v zákonné výši z fakturované částky za každý započatý den prodlení se zaplacením faktury.</w:t>
      </w:r>
    </w:p>
    <w:p>
      <w:pPr>
        <w:pStyle w:val="Style2"/>
        <w:keepNext w:val="0"/>
        <w:keepLines w:val="0"/>
        <w:widowControl w:val="0"/>
        <w:numPr>
          <w:ilvl w:val="1"/>
          <w:numId w:val="15"/>
        </w:numPr>
        <w:shd w:val="clear" w:color="auto" w:fill="auto"/>
        <w:tabs>
          <w:tab w:pos="566" w:val="left"/>
        </w:tabs>
        <w:bidi w:val="0"/>
        <w:spacing w:before="0" w:after="460" w:line="240" w:lineRule="auto"/>
        <w:ind w:left="560" w:right="0" w:hanging="560"/>
        <w:jc w:val="both"/>
      </w:pPr>
      <w:r>
        <w:rPr>
          <w:color w:val="000000"/>
          <w:spacing w:val="0"/>
          <w:w w:val="100"/>
          <w:position w:val="0"/>
          <w:sz w:val="24"/>
          <w:szCs w:val="24"/>
          <w:shd w:val="clear" w:color="auto" w:fill="auto"/>
          <w:lang w:val="cs-CZ" w:eastAsia="cs-CZ" w:bidi="cs-CZ"/>
        </w:rPr>
        <w:t>Strana povinná k uhrazení smluvní pokuty je povinna uhradit vyúčtované sankce nejpozději do 15 dnů ode dne obdržení příslušného vyúčtování.</w:t>
      </w:r>
    </w:p>
    <w:p>
      <w:pPr>
        <w:pStyle w:val="Style22"/>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Článek 8</w:t>
        <w:br/>
        <w:t>Další ujednání</w:t>
      </w:r>
      <w:bookmarkEnd w:id="18"/>
      <w:bookmarkEnd w:id="19"/>
    </w:p>
    <w:p>
      <w:pPr>
        <w:pStyle w:val="Style2"/>
        <w:keepNext w:val="0"/>
        <w:keepLines w:val="0"/>
        <w:widowControl w:val="0"/>
        <w:numPr>
          <w:ilvl w:val="0"/>
          <w:numId w:val="19"/>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Přerušení postupu prací z pokynu objednatele, případně vinou objednatele, bude mít za následek posun termínu plnění o dobu přerušení.</w:t>
      </w:r>
    </w:p>
    <w:p>
      <w:pPr>
        <w:pStyle w:val="Style2"/>
        <w:keepNext w:val="0"/>
        <w:keepLines w:val="0"/>
        <w:widowControl w:val="0"/>
        <w:numPr>
          <w:ilvl w:val="0"/>
          <w:numId w:val="19"/>
        </w:numPr>
        <w:shd w:val="clear" w:color="auto" w:fill="auto"/>
        <w:tabs>
          <w:tab w:pos="566" w:val="left"/>
        </w:tabs>
        <w:bidi w:val="0"/>
        <w:spacing w:before="0" w:after="80" w:line="240" w:lineRule="auto"/>
        <w:ind w:left="560" w:right="0" w:hanging="560"/>
        <w:jc w:val="both"/>
      </w:pPr>
      <w:r>
        <w:rPr>
          <w:color w:val="000000"/>
          <w:spacing w:val="0"/>
          <w:w w:val="100"/>
          <w:position w:val="0"/>
          <w:sz w:val="24"/>
          <w:szCs w:val="24"/>
          <w:shd w:val="clear" w:color="auto" w:fill="auto"/>
          <w:lang w:val="cs-CZ" w:eastAsia="cs-CZ" w:bidi="cs-CZ"/>
        </w:rPr>
        <w:t xml:space="preserve">Zhotovitel se zavazuje spolupůsobit jako osoba povinná ve smyslu </w:t>
      </w:r>
      <w:r>
        <w:rPr>
          <w:b/>
          <w:bCs/>
          <w:color w:val="000000"/>
          <w:spacing w:val="0"/>
          <w:w w:val="100"/>
          <w:position w:val="0"/>
          <w:sz w:val="24"/>
          <w:szCs w:val="24"/>
          <w:shd w:val="clear" w:color="auto" w:fill="auto"/>
          <w:lang w:val="cs-CZ" w:eastAsia="cs-CZ" w:bidi="cs-CZ"/>
        </w:rPr>
        <w:t xml:space="preserve">§ 2 písm. e) zákona č. 320/2001 Sb., o finanční kontrole </w:t>
      </w:r>
      <w:r>
        <w:rPr>
          <w:color w:val="000000"/>
          <w:spacing w:val="0"/>
          <w:w w:val="100"/>
          <w:position w:val="0"/>
          <w:sz w:val="24"/>
          <w:szCs w:val="24"/>
          <w:shd w:val="clear" w:color="auto" w:fill="auto"/>
          <w:lang w:val="cs-CZ" w:eastAsia="cs-CZ" w:bidi="cs-CZ"/>
        </w:rPr>
        <w:t>ve veřejné správě v platném znění.</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Veškerá rozhodnutí, která mají vliv na změnu ceny díla a na jeho základní parametry, budou předem projednány s objednatelem, nebo s jeho zástupcem.</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z w:val="24"/>
          <w:szCs w:val="24"/>
          <w:shd w:val="clear" w:color="auto" w:fill="auto"/>
          <w:lang w:val="cs-CZ" w:eastAsia="cs-CZ" w:bidi="cs-CZ"/>
        </w:rPr>
        <w:t xml:space="preserve">článku 4 </w:t>
      </w:r>
      <w:r>
        <w:rPr>
          <w:color w:val="000000"/>
          <w:spacing w:val="0"/>
          <w:w w:val="100"/>
          <w:position w:val="0"/>
          <w:sz w:val="24"/>
          <w:szCs w:val="24"/>
          <w:shd w:val="clear" w:color="auto" w:fill="auto"/>
          <w:lang w:val="cs-CZ" w:eastAsia="cs-CZ" w:bidi="cs-CZ"/>
        </w:rPr>
        <w:t>této smlouvy a zhotovitel není oprávněn požadovat jakoukoli další platbu za užívání díla.</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2"/>
        <w:keepNext w:val="0"/>
        <w:keepLines w:val="0"/>
        <w:widowControl w:val="0"/>
        <w:numPr>
          <w:ilvl w:val="0"/>
          <w:numId w:val="1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2"/>
        <w:keepNext w:val="0"/>
        <w:keepLines w:val="0"/>
        <w:widowControl w:val="0"/>
        <w:shd w:val="clear" w:color="auto" w:fill="auto"/>
        <w:bidi w:val="0"/>
        <w:spacing w:before="0" w:after="340" w:line="240" w:lineRule="auto"/>
        <w:ind w:left="580" w:right="0" w:hanging="580"/>
        <w:jc w:val="both"/>
      </w:pPr>
      <w:r>
        <w:rPr>
          <w:b/>
          <w:bCs/>
          <w:color w:val="000000"/>
          <w:spacing w:val="0"/>
          <w:w w:val="100"/>
          <w:position w:val="0"/>
          <w:sz w:val="24"/>
          <w:szCs w:val="24"/>
          <w:shd w:val="clear" w:color="auto" w:fill="auto"/>
          <w:lang w:val="cs-CZ" w:eastAsia="cs-CZ" w:bidi="cs-CZ"/>
        </w:rPr>
        <w:t xml:space="preserve">8.10 Zhotovitel je povinen mít </w:t>
      </w:r>
      <w:r>
        <w:rPr>
          <w:color w:val="000000"/>
          <w:spacing w:val="0"/>
          <w:w w:val="100"/>
          <w:position w:val="0"/>
          <w:sz w:val="24"/>
          <w:szCs w:val="24"/>
          <w:shd w:val="clear" w:color="auto" w:fill="auto"/>
          <w:lang w:val="cs-CZ" w:eastAsia="cs-CZ" w:bidi="cs-CZ"/>
        </w:rPr>
        <w:t xml:space="preserve">po celou dobu trvání této smlouvy </w:t>
      </w:r>
      <w:r>
        <w:rPr>
          <w:b/>
          <w:bCs/>
          <w:color w:val="000000"/>
          <w:spacing w:val="0"/>
          <w:w w:val="100"/>
          <w:position w:val="0"/>
          <w:sz w:val="24"/>
          <w:szCs w:val="24"/>
          <w:shd w:val="clear" w:color="auto" w:fill="auto"/>
          <w:lang w:val="cs-CZ" w:eastAsia="cs-CZ" w:bidi="cs-CZ"/>
        </w:rPr>
        <w:t xml:space="preserve">sjednáno platné pojištění odpovědnosti za škodu způsobenou třetí osobě </w:t>
      </w:r>
      <w:r>
        <w:rPr>
          <w:color w:val="000000"/>
          <w:spacing w:val="0"/>
          <w:w w:val="100"/>
          <w:position w:val="0"/>
          <w:sz w:val="24"/>
          <w:szCs w:val="24"/>
          <w:shd w:val="clear" w:color="auto" w:fill="auto"/>
          <w:lang w:val="cs-CZ" w:eastAsia="cs-CZ" w:bidi="cs-CZ"/>
        </w:rPr>
        <w:t xml:space="preserve">s limitem pojistného plnění minimálně </w:t>
      </w:r>
      <w:r>
        <w:rPr>
          <w:b/>
          <w:bCs/>
          <w:color w:val="000000"/>
          <w:spacing w:val="0"/>
          <w:w w:val="100"/>
          <w:position w:val="0"/>
          <w:sz w:val="24"/>
          <w:szCs w:val="24"/>
          <w:shd w:val="clear" w:color="auto" w:fill="auto"/>
          <w:lang w:val="cs-CZ" w:eastAsia="cs-CZ" w:bidi="cs-CZ"/>
        </w:rPr>
        <w:t>110.000,-- Kč</w:t>
      </w:r>
      <w:r>
        <w:rPr>
          <w:color w:val="000000"/>
          <w:spacing w:val="0"/>
          <w:w w:val="100"/>
          <w:position w:val="0"/>
          <w:sz w:val="24"/>
          <w:szCs w:val="24"/>
          <w:shd w:val="clear" w:color="auto" w:fill="auto"/>
          <w:lang w:val="cs-CZ" w:eastAsia="cs-CZ" w:bidi="cs-CZ"/>
        </w:rPr>
        <w:t>. Za účelem prokázání splnění tohoto požadavku je zhotovitel povinen doložit objednateli do 3 pracovních dnů od doručení výzvy doklad osvědčující uzavření pojistné smlouvy v požadovaném rozsahu.</w:t>
      </w:r>
    </w:p>
    <w:p>
      <w:pPr>
        <w:pStyle w:val="Style22"/>
        <w:keepNext/>
        <w:keepLines/>
        <w:widowControl w:val="0"/>
        <w:shd w:val="clear" w:color="auto" w:fill="auto"/>
        <w:bidi w:val="0"/>
        <w:spacing w:before="0" w:after="10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Článek 9</w:t>
        <w:br/>
        <w:t>Zvláštní ujednání</w:t>
      </w:r>
      <w:bookmarkEnd w:id="20"/>
      <w:bookmarkEnd w:id="21"/>
    </w:p>
    <w:p>
      <w:pPr>
        <w:pStyle w:val="Style2"/>
        <w:keepNext w:val="0"/>
        <w:keepLines w:val="0"/>
        <w:widowControl w:val="0"/>
        <w:numPr>
          <w:ilvl w:val="1"/>
          <w:numId w:val="19"/>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 xml:space="preserve">Zhotovitel prohlašuje, že se před uzavřením smlouvy nedopustil v souvislosti s poptávkovým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w:t>
      </w:r>
      <w:r>
        <w:rPr>
          <w:color w:val="000000"/>
          <w:spacing w:val="0"/>
          <w:w w:val="100"/>
          <w:position w:val="0"/>
          <w:sz w:val="24"/>
          <w:szCs w:val="24"/>
          <w:shd w:val="clear" w:color="auto" w:fill="auto"/>
          <w:lang w:val="cs-CZ" w:eastAsia="cs-CZ" w:bidi="cs-CZ"/>
        </w:rPr>
        <w:t>nedopustil žádného jednání narušujícího hospodářskou soutěž.</w:t>
      </w:r>
    </w:p>
    <w:p>
      <w:pPr>
        <w:pStyle w:val="Style2"/>
        <w:keepNext w:val="0"/>
        <w:keepLines w:val="0"/>
        <w:widowControl w:val="0"/>
        <w:numPr>
          <w:ilvl w:val="1"/>
          <w:numId w:val="19"/>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numPr>
          <w:ilvl w:val="1"/>
          <w:numId w:val="19"/>
        </w:numPr>
        <w:shd w:val="clear" w:color="auto" w:fill="auto"/>
        <w:tabs>
          <w:tab w:pos="571" w:val="left"/>
        </w:tabs>
        <w:bidi w:val="0"/>
        <w:spacing w:before="0" w:after="80" w:line="240" w:lineRule="auto"/>
        <w:ind w:left="580" w:right="0" w:hanging="580"/>
        <w:jc w:val="both"/>
      </w:pPr>
      <w:r>
        <w:rPr>
          <w:color w:val="000000"/>
          <w:spacing w:val="0"/>
          <w:w w:val="100"/>
          <w:position w:val="0"/>
          <w:sz w:val="24"/>
          <w:szCs w:val="24"/>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2"/>
        <w:keepNext w:val="0"/>
        <w:keepLines w:val="0"/>
        <w:widowControl w:val="0"/>
        <w:shd w:val="clear" w:color="auto" w:fill="auto"/>
        <w:bidi w:val="0"/>
        <w:spacing w:before="0" w:after="80" w:line="240" w:lineRule="auto"/>
        <w:ind w:left="580" w:right="0" w:firstLine="0"/>
        <w:jc w:val="both"/>
      </w:pPr>
      <w:r>
        <w:rPr>
          <w:color w:val="000000"/>
          <w:spacing w:val="0"/>
          <w:w w:val="100"/>
          <w:position w:val="0"/>
          <w:sz w:val="24"/>
          <w:szCs w:val="24"/>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2"/>
        <w:keepNext w:val="0"/>
        <w:keepLines w:val="0"/>
        <w:widowControl w:val="0"/>
        <w:numPr>
          <w:ilvl w:val="1"/>
          <w:numId w:val="19"/>
        </w:numPr>
        <w:shd w:val="clear" w:color="auto" w:fill="auto"/>
        <w:tabs>
          <w:tab w:pos="571" w:val="left"/>
        </w:tabs>
        <w:bidi w:val="0"/>
        <w:spacing w:before="0" w:after="80" w:line="240" w:lineRule="auto"/>
        <w:ind w:left="0" w:right="0" w:firstLine="0"/>
        <w:jc w:val="both"/>
      </w:pPr>
      <w:r>
        <w:rPr>
          <w:color w:val="000000"/>
          <w:spacing w:val="0"/>
          <w:w w:val="100"/>
          <w:position w:val="0"/>
          <w:sz w:val="24"/>
          <w:szCs w:val="24"/>
          <w:shd w:val="clear" w:color="auto" w:fill="auto"/>
          <w:lang w:val="cs-CZ" w:eastAsia="cs-CZ" w:bidi="cs-CZ"/>
        </w:rPr>
        <w:t>Objednatel má dále právo bez předchozího písemného upozornění od smlouvy odstoupit:</w:t>
      </w:r>
    </w:p>
    <w:p>
      <w:pPr>
        <w:pStyle w:val="Style2"/>
        <w:keepNext w:val="0"/>
        <w:keepLines w:val="0"/>
        <w:widowControl w:val="0"/>
        <w:numPr>
          <w:ilvl w:val="0"/>
          <w:numId w:val="21"/>
        </w:numPr>
        <w:shd w:val="clear" w:color="auto" w:fill="auto"/>
        <w:tabs>
          <w:tab w:pos="1442" w:val="left"/>
        </w:tabs>
        <w:bidi w:val="0"/>
        <w:spacing w:before="0" w:after="80" w:line="240" w:lineRule="auto"/>
        <w:ind w:left="1460" w:right="0" w:hanging="360"/>
        <w:jc w:val="both"/>
      </w:pPr>
      <w:r>
        <w:rPr>
          <w:color w:val="000000"/>
          <w:spacing w:val="0"/>
          <w:w w:val="100"/>
          <w:position w:val="0"/>
          <w:sz w:val="24"/>
          <w:szCs w:val="24"/>
          <w:shd w:val="clear" w:color="auto" w:fill="auto"/>
          <w:lang w:val="cs-CZ" w:eastAsia="cs-CZ" w:bidi="cs-CZ"/>
        </w:rPr>
        <w:t>při prodlení s předáním díla ze strany zhotovitele po dobu delší než 30 kalendářních dnů; a nebo</w:t>
      </w:r>
    </w:p>
    <w:p>
      <w:pPr>
        <w:pStyle w:val="Style2"/>
        <w:keepNext w:val="0"/>
        <w:keepLines w:val="0"/>
        <w:widowControl w:val="0"/>
        <w:numPr>
          <w:ilvl w:val="0"/>
          <w:numId w:val="21"/>
        </w:numPr>
        <w:shd w:val="clear" w:color="auto" w:fill="auto"/>
        <w:tabs>
          <w:tab w:pos="1442" w:val="left"/>
        </w:tabs>
        <w:bidi w:val="0"/>
        <w:spacing w:before="0" w:after="80" w:line="240" w:lineRule="auto"/>
        <w:ind w:left="1460" w:right="0" w:hanging="360"/>
        <w:jc w:val="both"/>
      </w:pPr>
      <w:r>
        <w:rPr>
          <w:color w:val="000000"/>
          <w:spacing w:val="0"/>
          <w:w w:val="100"/>
          <w:position w:val="0"/>
          <w:sz w:val="24"/>
          <w:szCs w:val="24"/>
          <w:shd w:val="clear" w:color="auto" w:fill="auto"/>
          <w:lang w:val="cs-CZ" w:eastAsia="cs-CZ" w:bidi="cs-CZ"/>
        </w:rPr>
        <w:t>při zjištění, že dílo neodpovídají požadavkům objednatele stanoveným v zadávací dokumentaci; a nebo</w:t>
      </w:r>
    </w:p>
    <w:p>
      <w:pPr>
        <w:pStyle w:val="Style2"/>
        <w:keepNext w:val="0"/>
        <w:keepLines w:val="0"/>
        <w:widowControl w:val="0"/>
        <w:numPr>
          <w:ilvl w:val="0"/>
          <w:numId w:val="21"/>
        </w:numPr>
        <w:shd w:val="clear" w:color="auto" w:fill="auto"/>
        <w:tabs>
          <w:tab w:pos="1442" w:val="left"/>
        </w:tabs>
        <w:bidi w:val="0"/>
        <w:spacing w:before="0" w:after="80" w:line="240" w:lineRule="auto"/>
        <w:ind w:left="1460" w:right="0" w:hanging="360"/>
        <w:jc w:val="both"/>
      </w:pPr>
      <w:r>
        <w:rPr>
          <w:color w:val="000000"/>
          <w:spacing w:val="0"/>
          <w:w w:val="100"/>
          <w:position w:val="0"/>
          <w:sz w:val="24"/>
          <w:szCs w:val="24"/>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numPr>
          <w:ilvl w:val="0"/>
          <w:numId w:val="21"/>
        </w:numPr>
        <w:shd w:val="clear" w:color="auto" w:fill="auto"/>
        <w:tabs>
          <w:tab w:pos="1442" w:val="left"/>
        </w:tabs>
        <w:bidi w:val="0"/>
        <w:spacing w:before="0" w:after="80" w:line="240" w:lineRule="auto"/>
        <w:ind w:left="1460" w:right="0" w:hanging="360"/>
        <w:jc w:val="both"/>
      </w:pPr>
      <w:r>
        <w:rPr>
          <w:color w:val="000000"/>
          <w:spacing w:val="0"/>
          <w:w w:val="100"/>
          <w:position w:val="0"/>
          <w:sz w:val="24"/>
          <w:szCs w:val="24"/>
          <w:shd w:val="clear" w:color="auto" w:fill="auto"/>
          <w:lang w:val="cs-CZ" w:eastAsia="cs-CZ" w:bidi="cs-CZ"/>
        </w:rPr>
        <w:t>bude-li zahájeno insolvenční řízení dle zákona č. 182/2006 Sb., o úpadku a způsobech jeho řešení, v platném znění, jehož předmětem bude úpadek nebo hrozící úpadek zhotovitele, zhotovitel je povinen tuto skutečnost oznámit neprodleně objednateli.</w:t>
      </w:r>
    </w:p>
    <w:p>
      <w:pPr>
        <w:pStyle w:val="Style2"/>
        <w:keepNext w:val="0"/>
        <w:keepLines w:val="0"/>
        <w:widowControl w:val="0"/>
        <w:numPr>
          <w:ilvl w:val="1"/>
          <w:numId w:val="19"/>
        </w:numPr>
        <w:shd w:val="clear" w:color="auto" w:fill="auto"/>
        <w:tabs>
          <w:tab w:pos="571" w:val="left"/>
        </w:tabs>
        <w:bidi w:val="0"/>
        <w:spacing w:before="0" w:after="460" w:line="240" w:lineRule="auto"/>
        <w:ind w:left="580" w:right="0" w:hanging="580"/>
        <w:jc w:val="both"/>
      </w:pPr>
      <w:r>
        <w:rPr>
          <w:color w:val="000000"/>
          <w:spacing w:val="0"/>
          <w:w w:val="100"/>
          <w:position w:val="0"/>
          <w:sz w:val="24"/>
          <w:szCs w:val="24"/>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10</w:t>
      </w:r>
    </w:p>
    <w:p>
      <w:pPr>
        <w:pStyle w:val="Style22"/>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Závěrečná ujednání</w:t>
      </w:r>
      <w:bookmarkEnd w:id="22"/>
      <w:bookmarkEnd w:id="23"/>
    </w:p>
    <w:p>
      <w:pPr>
        <w:pStyle w:val="Style2"/>
        <w:keepNext w:val="0"/>
        <w:keepLines w:val="0"/>
        <w:widowControl w:val="0"/>
        <w:shd w:val="clear" w:color="auto" w:fill="auto"/>
        <w:bidi w:val="0"/>
        <w:spacing w:before="0" w:line="240" w:lineRule="auto"/>
        <w:ind w:left="740" w:right="0" w:hanging="740"/>
        <w:jc w:val="both"/>
      </w:pPr>
      <w:r>
        <w:rPr>
          <w:b/>
          <w:bCs/>
          <w:color w:val="000000"/>
          <w:spacing w:val="0"/>
          <w:w w:val="100"/>
          <w:position w:val="0"/>
          <w:sz w:val="24"/>
          <w:szCs w:val="24"/>
          <w:shd w:val="clear" w:color="auto" w:fill="auto"/>
          <w:lang w:val="cs-CZ" w:eastAsia="cs-CZ" w:bidi="cs-CZ"/>
        </w:rPr>
        <w:t xml:space="preserve">10.1. </w:t>
      </w:r>
      <w:r>
        <w:rPr>
          <w:color w:val="000000"/>
          <w:spacing w:val="0"/>
          <w:w w:val="100"/>
          <w:position w:val="0"/>
          <w:sz w:val="24"/>
          <w:szCs w:val="24"/>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 registru smluv dle zákona č. 340/2015 Sb., o zvláštních podmínkách účinnosti některých smluv, uveřejňování těchto smluv a o registru smluv (zákon o registru smluv), v platném a účinném znění.</w:t>
        <w:br w:type="page"/>
      </w:r>
      <w:r>
        <w:rPr>
          <w:color w:val="000000"/>
          <w:spacing w:val="0"/>
          <w:w w:val="100"/>
          <w:position w:val="0"/>
          <w:sz w:val="24"/>
          <w:szCs w:val="24"/>
          <w:shd w:val="clear" w:color="auto" w:fill="auto"/>
          <w:lang w:val="cs-CZ" w:eastAsia="cs-CZ" w:bidi="cs-CZ"/>
        </w:rPr>
        <w:t>Smlouvu bude dle vůle Smluvních stran v registru smluv v souladu s příslušnými právními předpisy, zejména ve lhůtách stanovených příslušnými právními předpisy, zveřejňovat Objednatel.</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Smluvní strany se dohodly, že případné spory vzniklé ze závazků sjednaných touto smlouvou budou přednostně řešit smírnou cestou.</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2"/>
        <w:keepNext w:val="0"/>
        <w:keepLines w:val="0"/>
        <w:widowControl w:val="0"/>
        <w:numPr>
          <w:ilvl w:val="0"/>
          <w:numId w:val="23"/>
        </w:numPr>
        <w:shd w:val="clear" w:color="auto" w:fill="auto"/>
        <w:tabs>
          <w:tab w:pos="710"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Plnění této smlouvy se řídí zákonem č. 89/2012 Sb., občanský zákoník, v platném znění.</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Smlouva je vyhotovena v 1 výtisku v elektronické formě ve formátu .pdf s Kvalifikovaným elektronickým podpisem obou smluvních stran.</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Zhotovitel výslovně souhlasí se zveřejněním celého textu této smlouvy včetně podpisů v informačním systému veřejné správy - Registru smluv.</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
        <w:keepNext w:val="0"/>
        <w:keepLines w:val="0"/>
        <w:widowControl w:val="0"/>
        <w:numPr>
          <w:ilvl w:val="0"/>
          <w:numId w:val="23"/>
        </w:numPr>
        <w:shd w:val="clear" w:color="auto" w:fill="auto"/>
        <w:tabs>
          <w:tab w:pos="710" w:val="left"/>
        </w:tabs>
        <w:bidi w:val="0"/>
        <w:spacing w:before="0" w:line="240" w:lineRule="auto"/>
        <w:ind w:left="740" w:right="0" w:hanging="740"/>
        <w:jc w:val="both"/>
      </w:pPr>
      <w:r>
        <w:rPr>
          <w:color w:val="000000"/>
          <w:spacing w:val="0"/>
          <w:w w:val="100"/>
          <w:position w:val="0"/>
          <w:sz w:val="24"/>
          <w:szCs w:val="24"/>
          <w:shd w:val="clear" w:color="auto" w:fill="auto"/>
          <w:lang w:val="cs-CZ" w:eastAsia="cs-CZ" w:bidi="cs-CZ"/>
        </w:rPr>
        <w:t>Účastnící se dohodli, že zákonnou povinnost dle § 5 odst. 2 zákona č. 340/2015 Sb., v platném znění (zákon o registru smluv) splní objednatel.</w:t>
      </w:r>
    </w:p>
    <w:p>
      <w:pPr>
        <w:pStyle w:val="Style2"/>
        <w:keepNext w:val="0"/>
        <w:keepLines w:val="0"/>
        <w:widowControl w:val="0"/>
        <w:numPr>
          <w:ilvl w:val="0"/>
          <w:numId w:val="23"/>
        </w:numPr>
        <w:shd w:val="clear" w:color="auto" w:fill="auto"/>
        <w:tabs>
          <w:tab w:pos="800" w:val="left"/>
        </w:tabs>
        <w:bidi w:val="0"/>
        <w:spacing w:before="0" w:after="480" w:line="240" w:lineRule="auto"/>
        <w:ind w:left="740" w:right="0" w:hanging="740"/>
        <w:jc w:val="both"/>
      </w:pPr>
      <w:r>
        <w:rPr>
          <w:color w:val="000000"/>
          <w:spacing w:val="0"/>
          <w:w w:val="100"/>
          <w:position w:val="0"/>
          <w:sz w:val="24"/>
          <w:szCs w:val="24"/>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2"/>
        <w:keepNext/>
        <w:keepLines/>
        <w:widowControl w:val="0"/>
        <w:shd w:val="clear" w:color="auto" w:fill="auto"/>
        <w:bidi w:val="0"/>
        <w:spacing w:before="0" w:after="100" w:line="240" w:lineRule="auto"/>
        <w:ind w:left="0" w:right="0" w:firstLine="0"/>
        <w:jc w:val="left"/>
      </w:pPr>
      <w:bookmarkStart w:id="24" w:name="bookmark24"/>
      <w:bookmarkStart w:id="25" w:name="bookmark25"/>
      <w:r>
        <w:rPr>
          <w:color w:val="000000"/>
          <w:spacing w:val="0"/>
          <w:w w:val="100"/>
          <w:position w:val="0"/>
          <w:sz w:val="24"/>
          <w:szCs w:val="24"/>
          <w:u w:val="single"/>
          <w:shd w:val="clear" w:color="auto" w:fill="auto"/>
          <w:lang w:val="cs-CZ" w:eastAsia="cs-CZ" w:bidi="cs-CZ"/>
        </w:rPr>
        <w:t>Přílohy:</w:t>
      </w:r>
      <w:bookmarkEnd w:id="24"/>
      <w:bookmarkEnd w:id="25"/>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Příloha č. 1 - Cenová nabídka</w:t>
      </w:r>
    </w:p>
    <w:p>
      <w:pPr>
        <w:pStyle w:val="Style2"/>
        <w:keepNext w:val="0"/>
        <w:keepLines w:val="0"/>
        <w:widowControl w:val="0"/>
        <w:shd w:val="clear" w:color="auto" w:fill="auto"/>
        <w:bidi w:val="0"/>
        <w:spacing w:before="0" w:after="880" w:line="240" w:lineRule="auto"/>
        <w:ind w:left="0" w:right="0" w:firstLine="0"/>
        <w:jc w:val="left"/>
      </w:pPr>
      <w:r>
        <w:rPr>
          <w:color w:val="000000"/>
          <w:spacing w:val="0"/>
          <w:w w:val="100"/>
          <w:position w:val="0"/>
          <w:sz w:val="24"/>
          <w:szCs w:val="24"/>
          <w:shd w:val="clear" w:color="auto" w:fill="auto"/>
          <w:lang w:val="cs-CZ" w:eastAsia="cs-CZ" w:bidi="cs-CZ"/>
        </w:rPr>
        <w:t>Příloha č. 2 - Seznam poddodavatelů</w:t>
      </w:r>
    </w:p>
    <w:p>
      <w:pPr>
        <w:pStyle w:val="Style2"/>
        <w:keepNext w:val="0"/>
        <w:keepLines w:val="0"/>
        <w:widowControl w:val="0"/>
        <w:shd w:val="clear" w:color="auto" w:fill="auto"/>
        <w:tabs>
          <w:tab w:pos="4894"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Zhotovitel:</w:t>
        <w:tab/>
        <w:t>Objednatel:</w:t>
      </w:r>
    </w:p>
    <w:p>
      <w:pPr>
        <w:pStyle w:val="Style2"/>
        <w:keepNext w:val="0"/>
        <w:keepLines w:val="0"/>
        <w:widowControl w:val="0"/>
        <w:shd w:val="clear" w:color="auto" w:fill="auto"/>
        <w:tabs>
          <w:tab w:pos="4894"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V Brně</w:t>
        <w:tab/>
        <w:t>V Jihlavě</w:t>
      </w:r>
    </w:p>
    <w:p>
      <w:pPr>
        <w:widowControl w:val="0"/>
        <w:spacing w:line="1" w:lineRule="exact"/>
        <w:sectPr>
          <w:footerReference w:type="default" r:id="rId5"/>
          <w:footnotePr>
            <w:pos w:val="pageBottom"/>
            <w:numFmt w:val="decimal"/>
            <w:numRestart w:val="continuous"/>
          </w:footnotePr>
          <w:pgSz w:w="11900" w:h="16840"/>
          <w:pgMar w:top="971" w:left="1215" w:right="1105" w:bottom="1029" w:header="543" w:footer="3" w:gutter="0"/>
          <w:pgNumType w:start="1"/>
          <w:cols w:space="720"/>
          <w:noEndnote/>
          <w:rtlGutter w:val="0"/>
          <w:docGrid w:linePitch="360"/>
        </w:sectPr>
      </w:pPr>
      <w:r>
        <mc:AlternateContent>
          <mc:Choice Requires="wps">
            <w:drawing>
              <wp:anchor distT="1079500" distB="0" distL="0" distR="0" simplePos="0" relativeHeight="125829378" behindDoc="0" locked="0" layoutInCell="1" allowOverlap="1">
                <wp:simplePos x="0" y="0"/>
                <wp:positionH relativeFrom="page">
                  <wp:posOffset>1598930</wp:posOffset>
                </wp:positionH>
                <wp:positionV relativeFrom="paragraph">
                  <wp:posOffset>1079500</wp:posOffset>
                </wp:positionV>
                <wp:extent cx="1454150" cy="567055"/>
                <wp:wrapTopAndBottom/>
                <wp:docPr id="4" name="Shape 4"/>
                <a:graphic xmlns:a="http://schemas.openxmlformats.org/drawingml/2006/main">
                  <a:graphicData uri="http://schemas.microsoft.com/office/word/2010/wordprocessingShape">
                    <wps:wsp>
                      <wps:cNvSpPr txBox="1"/>
                      <wps:spPr>
                        <a:xfrm>
                          <a:ext cx="1454150" cy="567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František Pokorný</w:t>
                              <w:br/>
                              <w:t>Jednatel</w:t>
                              <w:br/>
                              <w:t>Mostní projekce</w:t>
                            </w:r>
                          </w:p>
                        </w:txbxContent>
                      </wps:txbx>
                      <wps:bodyPr lIns="0" tIns="0" rIns="0" bIns="0">
                        <a:noAutoFit/>
                      </wps:bodyPr>
                    </wps:wsp>
                  </a:graphicData>
                </a:graphic>
              </wp:anchor>
            </w:drawing>
          </mc:Choice>
          <mc:Fallback>
            <w:pict>
              <v:shape id="_x0000_s1030" type="#_x0000_t202" style="position:absolute;margin-left:125.90000000000001pt;margin-top:85.pt;width:114.5pt;height:44.649999999999999pt;z-index:-125829375;mso-wrap-distance-left:0;mso-wrap-distance-top:8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František Pokorný</w:t>
                        <w:br/>
                        <w:t>Jednatel</w:t>
                        <w:br/>
                        <w:t>Mostní projekce</w:t>
                      </w:r>
                    </w:p>
                  </w:txbxContent>
                </v:textbox>
                <w10:wrap type="topAndBottom" anchorx="page"/>
              </v:shape>
            </w:pict>
          </mc:Fallback>
        </mc:AlternateContent>
      </w:r>
      <w:r>
        <mc:AlternateContent>
          <mc:Choice Requires="wps">
            <w:drawing>
              <wp:anchor distT="1082675" distB="0" distL="0" distR="0" simplePos="0" relativeHeight="125829380" behindDoc="0" locked="0" layoutInCell="1" allowOverlap="1">
                <wp:simplePos x="0" y="0"/>
                <wp:positionH relativeFrom="page">
                  <wp:posOffset>4634865</wp:posOffset>
                </wp:positionH>
                <wp:positionV relativeFrom="paragraph">
                  <wp:posOffset>1082675</wp:posOffset>
                </wp:positionV>
                <wp:extent cx="1276985" cy="563880"/>
                <wp:wrapTopAndBottom/>
                <wp:docPr id="6" name="Shape 6"/>
                <a:graphic xmlns:a="http://schemas.openxmlformats.org/drawingml/2006/main">
                  <a:graphicData uri="http://schemas.microsoft.com/office/word/2010/wordprocessingShape">
                    <wps:wsp>
                      <wps:cNvSpPr txBox="1"/>
                      <wps:spPr>
                        <a:xfrm>
                          <a:ext cx="1276985" cy="563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w:t>
                              <w:br/>
                              <w:t>Ředitel</w:t>
                              <w:br/>
                              <w:t>KSÚSV p. o.</w:t>
                            </w:r>
                          </w:p>
                        </w:txbxContent>
                      </wps:txbx>
                      <wps:bodyPr lIns="0" tIns="0" rIns="0" bIns="0">
                        <a:noAutoFit/>
                      </wps:bodyPr>
                    </wps:wsp>
                  </a:graphicData>
                </a:graphic>
              </wp:anchor>
            </w:drawing>
          </mc:Choice>
          <mc:Fallback>
            <w:pict>
              <v:shape id="_x0000_s1032" type="#_x0000_t202" style="position:absolute;margin-left:364.94999999999999pt;margin-top:85.25pt;width:100.55pt;height:44.399999999999999pt;z-index:-125829373;mso-wrap-distance-left:0;mso-wrap-distance-top:85.2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Radovan Necid</w:t>
                        <w:br/>
                        <w:t>Ředitel</w:t>
                        <w:br/>
                        <w:t>KSÚSV p. o.</w:t>
                      </w:r>
                    </w:p>
                  </w:txbxContent>
                </v:textbox>
                <w10:wrap type="topAndBottom" anchorx="page"/>
              </v:shape>
            </w:pict>
          </mc:Fallback>
        </mc:AlternateContent>
      </w:r>
    </w:p>
    <w:p>
      <w:pPr>
        <w:widowControl w:val="0"/>
        <w:spacing w:line="1" w:lineRule="exact"/>
      </w:pPr>
      <w:r>
        <mc:AlternateContent>
          <mc:Choice Requires="wps">
            <w:drawing>
              <wp:anchor distT="0" distB="292100" distL="0" distR="0" simplePos="0" relativeHeight="125829382" behindDoc="0" locked="0" layoutInCell="1" allowOverlap="1">
                <wp:simplePos x="0" y="0"/>
                <wp:positionH relativeFrom="page">
                  <wp:posOffset>5709285</wp:posOffset>
                </wp:positionH>
                <wp:positionV relativeFrom="paragraph">
                  <wp:posOffset>0</wp:posOffset>
                </wp:positionV>
                <wp:extent cx="704215" cy="186055"/>
                <wp:wrapTopAndBottom/>
                <wp:docPr id="8" name="Shape 8"/>
                <a:graphic xmlns:a="http://schemas.openxmlformats.org/drawingml/2006/main">
                  <a:graphicData uri="http://schemas.microsoft.com/office/word/2010/wordprocessingShape">
                    <wps:wsp>
                      <wps:cNvSpPr txBox="1"/>
                      <wps:spPr>
                        <a:xfrm>
                          <a:ext cx="704215"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č.1</w:t>
                            </w:r>
                          </w:p>
                        </w:txbxContent>
                      </wps:txbx>
                      <wps:bodyPr wrap="none" lIns="0" tIns="0" rIns="0" bIns="0">
                        <a:noAutoFit/>
                      </wps:bodyPr>
                    </wps:wsp>
                  </a:graphicData>
                </a:graphic>
              </wp:anchor>
            </w:drawing>
          </mc:Choice>
          <mc:Fallback>
            <w:pict>
              <v:shape id="_x0000_s1034" type="#_x0000_t202" style="position:absolute;margin-left:449.55000000000001pt;margin-top:0;width:55.450000000000003pt;height:14.65pt;z-index:-125829371;mso-wrap-distance-left:0;mso-wrap-distance-right:0;mso-wrap-distance-bottom:2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č.1</w:t>
                      </w:r>
                    </w:p>
                  </w:txbxContent>
                </v:textbox>
                <w10:wrap type="topAndBottom" anchorx="page"/>
              </v:shape>
            </w:pict>
          </mc:Fallback>
        </mc:AlternateContent>
      </w:r>
    </w:p>
    <w:p>
      <w:pPr>
        <w:pStyle w:val="Style27"/>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Cenová nabídka na zpracování PD</w:t>
      </w:r>
      <w:bookmarkEnd w:id="26"/>
      <w:bookmarkEnd w:id="27"/>
    </w:p>
    <w:p>
      <w:pPr>
        <w:pStyle w:val="Style29"/>
        <w:keepNext/>
        <w:keepLines/>
        <w:widowControl w:val="0"/>
        <w:shd w:val="clear" w:color="auto" w:fill="auto"/>
        <w:bidi w:val="0"/>
        <w:spacing w:before="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Akce: Zatížitelnosti mostů KSÚSV Plehřimov, 02/2022</w:t>
      </w:r>
      <w:bookmarkEnd w:id="28"/>
      <w:bookmarkEnd w:id="29"/>
    </w:p>
    <w:tbl>
      <w:tblPr>
        <w:tblOverlap w:val="never"/>
        <w:jc w:val="center"/>
        <w:tblLayout w:type="fixed"/>
      </w:tblPr>
      <w:tblGrid>
        <w:gridCol w:w="898"/>
        <w:gridCol w:w="7397"/>
        <w:gridCol w:w="1286"/>
      </w:tblGrid>
      <w:tr>
        <w:trPr>
          <w:trHeight w:val="686" w:hRule="exact"/>
        </w:trPr>
        <w:tc>
          <w:tcPr>
            <w:tcBorders>
              <w:top w:val="single" w:sz="4"/>
              <w:left w:val="single" w:sz="4"/>
            </w:tcBorders>
            <w:shd w:val="clear" w:color="auto" w:fill="E2EFDB"/>
            <w:vAlign w:val="top"/>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Položka číslo</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Popis položky</w:t>
            </w:r>
          </w:p>
        </w:tc>
        <w:tc>
          <w:tcPr>
            <w:tcBorders>
              <w:top w:val="single" w:sz="4"/>
              <w:left w:val="single" w:sz="4"/>
              <w:right w:val="single" w:sz="4"/>
            </w:tcBorders>
            <w:shd w:val="clear" w:color="auto" w:fill="E2EFDB"/>
            <w:vAlign w:val="top"/>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Cena bez DPH</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prostudování podkladů</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9 000 K 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2.</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terénní práce, prohlídky, oměření, schmidty, cestovné</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19 800 Kč</w:t>
            </w:r>
          </w:p>
        </w:tc>
      </w:tr>
      <w:tr>
        <w:trPr>
          <w:trHeight w:val="384" w:hRule="exact"/>
        </w:trPr>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3.</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Výpočet zatížitelnosti</w:t>
            </w:r>
          </w:p>
        </w:tc>
        <w:tc>
          <w:tcPr>
            <w:tcBorders>
              <w:top w:val="single" w:sz="4"/>
              <w:left w:val="single" w:sz="4"/>
              <w:right w:val="single" w:sz="4"/>
            </w:tcBorders>
            <w:shd w:val="clear" w:color="auto" w:fill="E2EFDB"/>
            <w:vAlign w:val="top"/>
          </w:tcPr>
          <w:p>
            <w:pPr>
              <w:widowControl w:val="0"/>
              <w:rPr>
                <w:sz w:val="10"/>
                <w:szCs w:val="10"/>
              </w:rPr>
            </w:pPr>
          </w:p>
        </w:tc>
      </w:tr>
      <w:tr>
        <w:trPr>
          <w:trHeight w:val="379"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4.</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300"/>
              <w:jc w:val="both"/>
              <w:rPr>
                <w:sz w:val="22"/>
                <w:szCs w:val="22"/>
              </w:rPr>
            </w:pPr>
            <w:r>
              <w:rPr>
                <w:rFonts w:ascii="Calibri" w:eastAsia="Calibri" w:hAnsi="Calibri" w:cs="Calibri"/>
                <w:color w:val="000000"/>
                <w:spacing w:val="0"/>
                <w:w w:val="100"/>
                <w:position w:val="0"/>
                <w:sz w:val="22"/>
                <w:szCs w:val="22"/>
                <w:shd w:val="clear" w:color="auto" w:fill="auto"/>
                <w:lang w:val="cs-CZ" w:eastAsia="cs-CZ" w:bidi="cs-CZ"/>
              </w:rPr>
              <w:t>Výskytná ev. č. 602-045</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9 600 K 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5.</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300"/>
              <w:jc w:val="both"/>
              <w:rPr>
                <w:sz w:val="22"/>
                <w:szCs w:val="22"/>
              </w:rPr>
            </w:pPr>
            <w:r>
              <w:rPr>
                <w:rFonts w:ascii="Calibri" w:eastAsia="Calibri" w:hAnsi="Calibri" w:cs="Calibri"/>
                <w:color w:val="000000"/>
                <w:spacing w:val="0"/>
                <w:w w:val="100"/>
                <w:position w:val="0"/>
                <w:sz w:val="22"/>
                <w:szCs w:val="22"/>
                <w:shd w:val="clear" w:color="auto" w:fill="auto"/>
                <w:lang w:val="cs-CZ" w:eastAsia="cs-CZ" w:bidi="cs-CZ"/>
              </w:rPr>
              <w:t>Otavožaty ev. č. 130-012</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9 600 K 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6.</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300"/>
              <w:jc w:val="both"/>
              <w:rPr>
                <w:sz w:val="22"/>
                <w:szCs w:val="22"/>
              </w:rPr>
            </w:pPr>
            <w:r>
              <w:rPr>
                <w:rFonts w:ascii="Calibri" w:eastAsia="Calibri" w:hAnsi="Calibri" w:cs="Calibri"/>
                <w:color w:val="000000"/>
                <w:spacing w:val="0"/>
                <w:w w:val="100"/>
                <w:position w:val="0"/>
                <w:sz w:val="22"/>
                <w:szCs w:val="22"/>
                <w:shd w:val="clear" w:color="auto" w:fill="auto"/>
                <w:lang w:val="cs-CZ" w:eastAsia="cs-CZ" w:bidi="cs-CZ"/>
              </w:rPr>
              <w:t>Senožaty ev. č. 13029-1</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12 000 Kč</w:t>
            </w:r>
          </w:p>
        </w:tc>
      </w:tr>
      <w:tr>
        <w:trPr>
          <w:trHeight w:val="379"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7.</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300"/>
              <w:jc w:val="both"/>
              <w:rPr>
                <w:sz w:val="22"/>
                <w:szCs w:val="22"/>
              </w:rPr>
            </w:pPr>
            <w:r>
              <w:rPr>
                <w:rFonts w:ascii="Calibri" w:eastAsia="Calibri" w:hAnsi="Calibri" w:cs="Calibri"/>
                <w:color w:val="000000"/>
                <w:spacing w:val="0"/>
                <w:w w:val="100"/>
                <w:position w:val="0"/>
                <w:sz w:val="22"/>
                <w:szCs w:val="22"/>
                <w:shd w:val="clear" w:color="auto" w:fill="auto"/>
                <w:lang w:val="cs-CZ" w:eastAsia="cs-CZ" w:bidi="cs-CZ"/>
              </w:rPr>
              <w:t>Zdešov ev. č. 132-001</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9 600 K 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8.</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300"/>
              <w:jc w:val="both"/>
              <w:rPr>
                <w:sz w:val="22"/>
                <w:szCs w:val="22"/>
              </w:rPr>
            </w:pPr>
            <w:r>
              <w:rPr>
                <w:rFonts w:ascii="Calibri" w:eastAsia="Calibri" w:hAnsi="Calibri" w:cs="Calibri"/>
                <w:color w:val="000000"/>
                <w:spacing w:val="0"/>
                <w:w w:val="100"/>
                <w:position w:val="0"/>
                <w:sz w:val="22"/>
                <w:szCs w:val="22"/>
                <w:shd w:val="clear" w:color="auto" w:fill="auto"/>
                <w:lang w:val="cs-CZ" w:eastAsia="cs-CZ" w:bidi="cs-CZ"/>
              </w:rPr>
              <w:t>Vlčetín ev. č. 1324-1</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14 400 Kč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sepsání závěrečných zpráv, 5x</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6 000 K č</w:t>
            </w:r>
          </w:p>
        </w:tc>
      </w:tr>
      <w:tr>
        <w:trPr>
          <w:trHeight w:val="384" w:hRule="exact"/>
        </w:trPr>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10.</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předání elektronicky + tiskem, počet dle požadavku správce</w:t>
            </w:r>
          </w:p>
        </w:tc>
        <w:tc>
          <w:tcPr>
            <w:tcBorders>
              <w:top w:val="single" w:sz="4"/>
              <w:left w:val="single" w:sz="4"/>
              <w:right w:val="single" w:sz="4"/>
            </w:tcBorders>
            <w:shd w:val="clear" w:color="auto" w:fill="E2EFDB"/>
            <w:vAlign w:val="top"/>
          </w:tcPr>
          <w:p>
            <w:pPr>
              <w:widowControl w:val="0"/>
              <w:rPr>
                <w:sz w:val="10"/>
                <w:szCs w:val="10"/>
              </w:rPr>
            </w:pPr>
          </w:p>
        </w:tc>
      </w:tr>
      <w:tr>
        <w:trPr>
          <w:trHeight w:val="379"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11.</w:t>
            </w:r>
          </w:p>
        </w:tc>
        <w:tc>
          <w:tcPr>
            <w:tcBorders>
              <w:top w:val="single" w:sz="4"/>
              <w:left w:val="single" w:sz="4"/>
            </w:tcBorders>
            <w:shd w:val="clear" w:color="auto" w:fill="E2EFDB"/>
            <w:vAlign w:val="top"/>
          </w:tcPr>
          <w:p>
            <w:pPr>
              <w:widowControl w:val="0"/>
              <w:rPr>
                <w:sz w:val="10"/>
                <w:szCs w:val="10"/>
              </w:rPr>
            </w:pPr>
          </w:p>
        </w:tc>
        <w:tc>
          <w:tcPr>
            <w:tcBorders>
              <w:top w:val="single" w:sz="4"/>
              <w:left w:val="single" w:sz="4"/>
              <w:right w:val="single" w:sz="4"/>
            </w:tcBorders>
            <w:shd w:val="clear" w:color="auto" w:fill="E2EFDB"/>
            <w:vAlign w:val="top"/>
          </w:tcPr>
          <w:p>
            <w:pPr>
              <w:widowControl w:val="0"/>
              <w:rPr>
                <w:sz w:val="10"/>
                <w:szCs w:val="10"/>
              </w:rPr>
            </w:pP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12.</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celkem bez DPH</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90 000 Kč</w:t>
            </w:r>
          </w:p>
        </w:tc>
      </w:tr>
      <w:tr>
        <w:trPr>
          <w:trHeight w:val="384" w:hRule="exact"/>
        </w:trPr>
        <w:tc>
          <w:tcPr>
            <w:tcBorders>
              <w:top w:val="single" w:sz="4"/>
              <w:lef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13.</w:t>
            </w:r>
          </w:p>
        </w:tc>
        <w:tc>
          <w:tcPr>
            <w:tcBorders>
              <w:top w:val="single" w:sz="4"/>
              <w:left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DPH ve výši 21 %</w:t>
            </w:r>
          </w:p>
        </w:tc>
        <w:tc>
          <w:tcPr>
            <w:tcBorders>
              <w:top w:val="single" w:sz="4"/>
              <w:left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18 900 Kč</w:t>
            </w:r>
          </w:p>
        </w:tc>
      </w:tr>
      <w:tr>
        <w:trPr>
          <w:trHeight w:val="408" w:hRule="exact"/>
        </w:trPr>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14.</w:t>
            </w:r>
          </w:p>
        </w:tc>
        <w:tc>
          <w:tcPr>
            <w:tcBorders>
              <w:top w:val="single" w:sz="4"/>
              <w:left w:val="single" w:sz="4"/>
              <w:bottom w:val="single" w:sz="4"/>
            </w:tcBorders>
            <w:shd w:val="clear" w:color="auto" w:fill="E2EFDB"/>
            <w:vAlign w:val="center"/>
          </w:tcPr>
          <w:p>
            <w:pPr>
              <w:pStyle w:val="Style17"/>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celkem vč. DPH</w:t>
            </w:r>
          </w:p>
        </w:tc>
        <w:tc>
          <w:tcPr>
            <w:tcBorders>
              <w:top w:val="single" w:sz="4"/>
              <w:left w:val="single" w:sz="4"/>
              <w:bottom w:val="single" w:sz="4"/>
              <w:right w:val="single" w:sz="4"/>
            </w:tcBorders>
            <w:shd w:val="clear" w:color="auto" w:fill="E2EFDB"/>
            <w:vAlign w:val="bottom"/>
          </w:tcPr>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shd w:val="clear" w:color="auto" w:fill="auto"/>
                <w:lang w:val="cs-CZ" w:eastAsia="cs-CZ" w:bidi="cs-CZ"/>
              </w:rPr>
              <w:t>108 900 Kč</w:t>
            </w:r>
          </w:p>
        </w:tc>
      </w:tr>
    </w:tbl>
    <w:p>
      <w:pPr>
        <w:widowControl w:val="0"/>
        <w:spacing w:after="399" w:line="1" w:lineRule="exact"/>
      </w:pPr>
    </w:p>
    <w:p>
      <w:pPr>
        <w:pStyle w:val="Style5"/>
        <w:keepNext w:val="0"/>
        <w:keepLines w:val="0"/>
        <w:widowControl w:val="0"/>
        <w:shd w:val="clear" w:color="auto" w:fill="auto"/>
        <w:bidi w:val="0"/>
        <w:spacing w:before="0" w:after="1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Poznámky:</w:t>
      </w:r>
    </w:p>
    <w:p>
      <w:pPr>
        <w:pStyle w:val="Style5"/>
        <w:keepNext w:val="0"/>
        <w:keepLines w:val="0"/>
        <w:widowControl w:val="0"/>
        <w:shd w:val="clear" w:color="auto" w:fill="auto"/>
        <w:bidi w:val="0"/>
        <w:spacing w:before="0" w:after="1940" w:line="240" w:lineRule="auto"/>
        <w:ind w:left="0" w:right="0" w:firstLine="260"/>
        <w:jc w:val="left"/>
        <w:rPr>
          <w:sz w:val="22"/>
          <w:szCs w:val="22"/>
        </w:rPr>
      </w:pPr>
      <w:r>
        <mc:AlternateContent>
          <mc:Choice Requires="wps">
            <w:drawing>
              <wp:anchor distT="0" distB="0" distL="114300" distR="114300" simplePos="0" relativeHeight="125829384" behindDoc="0" locked="0" layoutInCell="1" allowOverlap="1">
                <wp:simplePos x="0" y="0"/>
                <wp:positionH relativeFrom="page">
                  <wp:posOffset>4584700</wp:posOffset>
                </wp:positionH>
                <wp:positionV relativeFrom="paragraph">
                  <wp:posOffset>1409700</wp:posOffset>
                </wp:positionV>
                <wp:extent cx="1100455" cy="216535"/>
                <wp:wrapSquare wrapText="left"/>
                <wp:docPr id="10" name="Shape 10"/>
                <a:graphic xmlns:a="http://schemas.openxmlformats.org/drawingml/2006/main">
                  <a:graphicData uri="http://schemas.microsoft.com/office/word/2010/wordprocessingShape">
                    <wps:wsp>
                      <wps:cNvSpPr txBox="1"/>
                      <wps:spPr>
                        <a:xfrm>
                          <a:ext cx="1100455"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Podpis a razítko:</w:t>
                            </w:r>
                          </w:p>
                        </w:txbxContent>
                      </wps:txbx>
                      <wps:bodyPr wrap="none" lIns="0" tIns="0" rIns="0" bIns="0">
                        <a:noAutoFit/>
                      </wps:bodyPr>
                    </wps:wsp>
                  </a:graphicData>
                </a:graphic>
              </wp:anchor>
            </w:drawing>
          </mc:Choice>
          <mc:Fallback>
            <w:pict>
              <v:shape id="_x0000_s1036" type="#_x0000_t202" style="position:absolute;margin-left:361.pt;margin-top:111.pt;width:86.650000000000006pt;height:17.050000000000001pt;z-index:-12582936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Podpis a razítko:</w:t>
                      </w:r>
                    </w:p>
                  </w:txbxContent>
                </v:textbox>
                <w10:wrap type="square" side="left" anchorx="page"/>
              </v:shape>
            </w:pict>
          </mc:Fallback>
        </mc:AlternateContent>
      </w:r>
      <w:r>
        <w:rPr>
          <w:color w:val="000000"/>
          <w:spacing w:val="0"/>
          <w:w w:val="100"/>
          <w:position w:val="0"/>
          <w:sz w:val="22"/>
          <w:szCs w:val="22"/>
          <w:shd w:val="clear" w:color="auto" w:fill="auto"/>
          <w:lang w:val="cs-CZ" w:eastAsia="cs-CZ" w:bidi="cs-CZ"/>
        </w:rPr>
        <w:t>- viz. email k nabídce</w:t>
      </w:r>
    </w:p>
    <w:p>
      <w:pPr>
        <w:pStyle w:val="Style5"/>
        <w:keepNext w:val="0"/>
        <w:keepLines w:val="0"/>
        <w:widowControl w:val="0"/>
        <w:shd w:val="clear" w:color="auto" w:fill="auto"/>
        <w:bidi w:val="0"/>
        <w:spacing w:before="0" w:line="307" w:lineRule="auto"/>
        <w:ind w:left="180" w:right="0" w:firstLine="0"/>
        <w:jc w:val="left"/>
        <w:sectPr>
          <w:footerReference w:type="default" r:id="rId6"/>
          <w:footnotePr>
            <w:pos w:val="pageBottom"/>
            <w:numFmt w:val="decimal"/>
            <w:numRestart w:val="continuous"/>
          </w:footnotePr>
          <w:pgSz w:w="11900" w:h="16840"/>
          <w:pgMar w:top="971" w:left="1215" w:right="1105" w:bottom="1029" w:header="543" w:footer="601" w:gutter="0"/>
          <w:cols w:space="720"/>
          <w:noEndnote/>
          <w:rtlGutter w:val="0"/>
          <w:docGrid w:linePitch="360"/>
        </w:sectPr>
      </w:pPr>
      <w:r>
        <w:rPr>
          <w:b/>
          <w:bCs/>
          <w:color w:val="000000"/>
          <w:spacing w:val="0"/>
          <w:w w:val="100"/>
          <w:position w:val="0"/>
          <w:shd w:val="clear" w:color="auto" w:fill="auto"/>
          <w:lang w:val="cs-CZ" w:eastAsia="cs-CZ" w:bidi="cs-CZ"/>
        </w:rPr>
        <w:t xml:space="preserve">V Brn ě dne 24. 2. 2022: </w:t>
      </w:r>
      <w:r>
        <w:rPr>
          <w:color w:val="000000"/>
          <w:spacing w:val="0"/>
          <w:w w:val="100"/>
          <w:position w:val="0"/>
          <w:shd w:val="clear" w:color="auto" w:fill="auto"/>
          <w:lang w:val="cs-CZ" w:eastAsia="cs-CZ" w:bidi="cs-CZ"/>
        </w:rPr>
        <w:t>Ing. František Pokorný, jednatel společnosti</w:t>
      </w:r>
    </w:p>
    <w:p>
      <w:pPr>
        <w:pStyle w:val="Style33"/>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Příloha č. 2 - Seznam poddodavatelů</w:t>
      </w:r>
      <w:bookmarkEnd w:id="30"/>
      <w:bookmarkEnd w:id="31"/>
    </w:p>
    <w:p>
      <w:pPr>
        <w:pStyle w:val="Style2"/>
        <w:keepNext w:val="0"/>
        <w:keepLines w:val="0"/>
        <w:widowControl w:val="0"/>
        <w:shd w:val="clear" w:color="auto" w:fill="auto"/>
        <w:bidi w:val="0"/>
        <w:spacing w:before="0" w:after="0" w:line="240" w:lineRule="auto"/>
        <w:ind w:left="0" w:right="0" w:firstLine="380"/>
        <w:jc w:val="left"/>
      </w:pPr>
      <w:r>
        <w:rPr>
          <w:b/>
          <w:bCs/>
          <w:i/>
          <w:iCs/>
          <w:color w:val="000000"/>
          <w:spacing w:val="0"/>
          <w:w w:val="100"/>
          <w:position w:val="0"/>
          <w:sz w:val="24"/>
          <w:szCs w:val="24"/>
          <w:shd w:val="clear" w:color="auto" w:fill="auto"/>
          <w:lang w:val="cs-CZ" w:eastAsia="cs-CZ" w:bidi="cs-CZ"/>
        </w:rPr>
        <w:t>Pokyn pro účastníka výběrového řízení:</w:t>
      </w:r>
    </w:p>
    <w:p>
      <w:pPr>
        <w:pStyle w:val="Style2"/>
        <w:keepNext w:val="0"/>
        <w:keepLines w:val="0"/>
        <w:widowControl w:val="0"/>
        <w:shd w:val="clear" w:color="auto" w:fill="auto"/>
        <w:bidi w:val="0"/>
        <w:spacing w:before="0" w:after="440" w:line="240" w:lineRule="auto"/>
        <w:ind w:left="380" w:right="0" w:firstLine="20"/>
        <w:jc w:val="both"/>
      </w:pPr>
      <w:r>
        <w:rPr>
          <w:i/>
          <w:iCs/>
          <w:color w:val="000000"/>
          <w:spacing w:val="0"/>
          <w:w w:val="100"/>
          <w:position w:val="0"/>
          <w:sz w:val="24"/>
          <w:szCs w:val="24"/>
          <w:shd w:val="clear" w:color="auto" w:fill="auto"/>
          <w:lang w:val="cs-CZ" w:eastAsia="cs-CZ" w:bidi="cs-CZ"/>
        </w:rPr>
        <w:t>V případě, že účastníku výběrového řízení nejsou známi poddodavatelé, jež se budou podílet na plnění veřejné zakázky, účastník výběrového řízení tento seznam neuvede a tuto skutečnost čestně prohlásí.</w:t>
      </w:r>
    </w:p>
    <w:p>
      <w:pPr>
        <w:pStyle w:val="Style2"/>
        <w:keepNext w:val="0"/>
        <w:keepLines w:val="0"/>
        <w:widowControl w:val="0"/>
        <w:shd w:val="clear" w:color="auto" w:fill="auto"/>
        <w:bidi w:val="0"/>
        <w:spacing w:before="0" w:after="440" w:line="240" w:lineRule="auto"/>
        <w:ind w:left="380" w:right="0" w:firstLine="20"/>
        <w:jc w:val="both"/>
      </w:pPr>
      <w:r>
        <w:rPr>
          <w:color w:val="000000"/>
          <w:spacing w:val="0"/>
          <w:w w:val="100"/>
          <w:position w:val="0"/>
          <w:sz w:val="24"/>
          <w:szCs w:val="24"/>
          <w:shd w:val="clear" w:color="auto" w:fill="auto"/>
          <w:lang w:val="cs-CZ" w:eastAsia="cs-CZ" w:bidi="cs-CZ"/>
        </w:rPr>
        <w:t xml:space="preserve">Dodavatel </w:t>
      </w:r>
      <w:r>
        <w:rPr>
          <w:b/>
          <w:bCs/>
          <w:color w:val="000000"/>
          <w:spacing w:val="0"/>
          <w:w w:val="100"/>
          <w:position w:val="0"/>
          <w:sz w:val="24"/>
          <w:szCs w:val="24"/>
          <w:shd w:val="clear" w:color="auto" w:fill="auto"/>
          <w:lang w:val="cs-CZ" w:eastAsia="cs-CZ" w:bidi="cs-CZ"/>
        </w:rPr>
        <w:t>Mostní projekce s. r. o.</w:t>
      </w:r>
      <w:r>
        <w:rPr>
          <w:color w:val="000000"/>
          <w:spacing w:val="0"/>
          <w:w w:val="100"/>
          <w:position w:val="0"/>
          <w:sz w:val="24"/>
          <w:szCs w:val="24"/>
          <w:shd w:val="clear" w:color="auto" w:fill="auto"/>
          <w:lang w:val="cs-CZ" w:eastAsia="cs-CZ" w:bidi="cs-CZ"/>
        </w:rPr>
        <w:t>, IČO: 067 54 449 se sídlem Jana Babáka 2733/11, PSČ 612 00 Brno, (dále jen „</w:t>
      </w:r>
      <w:r>
        <w:rPr>
          <w:b/>
          <w:bCs/>
          <w:i/>
          <w:iCs/>
          <w:color w:val="000000"/>
          <w:spacing w:val="0"/>
          <w:w w:val="100"/>
          <w:position w:val="0"/>
          <w:sz w:val="24"/>
          <w:szCs w:val="24"/>
          <w:shd w:val="clear" w:color="auto" w:fill="auto"/>
          <w:lang w:val="cs-CZ" w:eastAsia="cs-CZ" w:bidi="cs-CZ"/>
        </w:rPr>
        <w:t>dodavatel</w:t>
      </w:r>
      <w:r>
        <w:rPr>
          <w:color w:val="000000"/>
          <w:spacing w:val="0"/>
          <w:w w:val="100"/>
          <w:position w:val="0"/>
          <w:sz w:val="24"/>
          <w:szCs w:val="24"/>
          <w:shd w:val="clear" w:color="auto" w:fill="auto"/>
          <w:lang w:val="cs-CZ" w:eastAsia="cs-CZ" w:bidi="cs-CZ"/>
        </w:rPr>
        <w:t xml:space="preserve">“), jako účastník zadávacího řízení veřejné zakázky s názvem </w:t>
      </w:r>
      <w:r>
        <w:rPr>
          <w:b/>
          <w:bCs/>
          <w:color w:val="000000"/>
          <w:spacing w:val="0"/>
          <w:w w:val="100"/>
          <w:position w:val="0"/>
          <w:sz w:val="24"/>
          <w:szCs w:val="24"/>
          <w:shd w:val="clear" w:color="auto" w:fill="auto"/>
          <w:lang w:val="cs-CZ" w:eastAsia="cs-CZ" w:bidi="cs-CZ"/>
        </w:rPr>
        <w:t xml:space="preserve">Přepočet zatížitelnosti mostů, </w:t>
      </w:r>
      <w:r>
        <w:rPr>
          <w:color w:val="000000"/>
          <w:spacing w:val="0"/>
          <w:w w:val="100"/>
          <w:position w:val="0"/>
          <w:sz w:val="24"/>
          <w:szCs w:val="24"/>
          <w:shd w:val="clear" w:color="auto" w:fill="auto"/>
          <w:lang w:val="cs-CZ" w:eastAsia="cs-CZ" w:bidi="cs-CZ"/>
        </w:rPr>
        <w:t>tímto v souladu s § 105 zákona č. 134/2016 Sb., o zadávání veřejných zakázek, čestně prohlašuje, že mu nejsou známi poddodavatelé, jež se budou podílet na plnění veřejné zakázky.</w:t>
      </w:r>
    </w:p>
    <w:p>
      <w:pPr>
        <w:pStyle w:val="Style2"/>
        <w:keepNext w:val="0"/>
        <w:keepLines w:val="0"/>
        <w:widowControl w:val="0"/>
        <w:shd w:val="clear" w:color="auto" w:fill="auto"/>
        <w:bidi w:val="0"/>
        <w:spacing w:before="0" w:after="200" w:line="240" w:lineRule="auto"/>
        <w:ind w:left="0" w:right="0" w:firstLine="380"/>
        <w:jc w:val="left"/>
      </w:pPr>
      <w:r>
        <w:rPr>
          <w:color w:val="000000"/>
          <w:spacing w:val="0"/>
          <w:w w:val="100"/>
          <w:position w:val="0"/>
          <w:sz w:val="24"/>
          <w:szCs w:val="24"/>
          <w:shd w:val="clear" w:color="auto" w:fill="auto"/>
          <w:lang w:val="cs-CZ" w:eastAsia="cs-CZ" w:bidi="cs-CZ"/>
        </w:rPr>
        <w:t>V Brn ě dne 18. 3. 2022</w:t>
      </w:r>
    </w:p>
    <w:p>
      <w:pPr>
        <w:pStyle w:val="Style2"/>
        <w:keepNext w:val="0"/>
        <w:keepLines w:val="0"/>
        <w:widowControl w:val="0"/>
        <w:shd w:val="clear" w:color="auto" w:fill="auto"/>
        <w:bidi w:val="0"/>
        <w:spacing w:before="0" w:after="200" w:line="240" w:lineRule="auto"/>
        <w:ind w:left="0" w:right="0" w:firstLine="380"/>
        <w:jc w:val="left"/>
      </w:pPr>
      <w:r>
        <w:rPr>
          <w:color w:val="000000"/>
          <w:spacing w:val="0"/>
          <w:w w:val="100"/>
          <w:position w:val="0"/>
          <w:sz w:val="24"/>
          <w:szCs w:val="24"/>
          <w:shd w:val="clear" w:color="auto" w:fill="auto"/>
          <w:lang w:val="cs-CZ" w:eastAsia="cs-CZ" w:bidi="cs-CZ"/>
        </w:rPr>
        <w:t>Mostní projekce s. r. o.</w:t>
      </w:r>
    </w:p>
    <w:p>
      <w:pPr>
        <w:pStyle w:val="Style2"/>
        <w:keepNext w:val="0"/>
        <w:keepLines w:val="0"/>
        <w:widowControl w:val="0"/>
        <w:shd w:val="clear" w:color="auto" w:fill="auto"/>
        <w:bidi w:val="0"/>
        <w:spacing w:before="0" w:after="1440" w:line="240" w:lineRule="auto"/>
        <w:ind w:left="0" w:right="0" w:firstLine="380"/>
        <w:jc w:val="left"/>
      </w:pPr>
      <w:r>
        <w:rPr>
          <w:color w:val="000000"/>
          <w:spacing w:val="0"/>
          <w:w w:val="100"/>
          <w:position w:val="0"/>
          <w:sz w:val="24"/>
          <w:szCs w:val="24"/>
          <w:shd w:val="clear" w:color="auto" w:fill="auto"/>
          <w:lang w:val="cs-CZ" w:eastAsia="cs-CZ" w:bidi="cs-CZ"/>
        </w:rPr>
        <w:t>Ing. František Pokorný, jednatel</w:t>
      </w:r>
    </w:p>
    <w:p>
      <w:pPr>
        <w:pStyle w:val="Style2"/>
        <w:keepNext w:val="0"/>
        <w:keepLines w:val="0"/>
        <w:widowControl w:val="0"/>
        <w:shd w:val="clear" w:color="auto" w:fill="auto"/>
        <w:bidi w:val="0"/>
        <w:spacing w:before="0" w:after="7080" w:line="240" w:lineRule="auto"/>
        <w:ind w:left="0" w:right="0" w:firstLine="380"/>
        <w:jc w:val="left"/>
      </w:pPr>
      <w:r>
        <w:rPr>
          <w:i/>
          <w:iCs/>
          <w:color w:val="000000"/>
          <w:spacing w:val="0"/>
          <w:w w:val="100"/>
          <w:position w:val="0"/>
          <w:sz w:val="24"/>
          <w:szCs w:val="24"/>
          <w:shd w:val="clear" w:color="auto" w:fill="auto"/>
          <w:lang w:val="cs-CZ" w:eastAsia="cs-CZ" w:bidi="cs-CZ"/>
        </w:rPr>
        <w:t>(podpis)</w:t>
      </w:r>
    </w:p>
    <w:p>
      <w:pPr>
        <w:pStyle w:val="Style38"/>
        <w:keepNext w:val="0"/>
        <w:keepLines w:val="0"/>
        <w:widowControl w:val="0"/>
        <w:shd w:val="clear" w:color="auto" w:fill="auto"/>
        <w:bidi w:val="0"/>
        <w:spacing w:before="0" w:after="100" w:line="240" w:lineRule="auto"/>
        <w:ind w:left="0" w:right="0" w:firstLine="0"/>
        <w:jc w:val="right"/>
      </w:pPr>
      <w:r>
        <w:rPr>
          <w:color w:val="000000"/>
          <w:spacing w:val="0"/>
          <w:w w:val="100"/>
          <w:position w:val="0"/>
          <w:shd w:val="clear" w:color="auto" w:fill="auto"/>
          <w:lang w:val="cs-CZ" w:eastAsia="cs-CZ" w:bidi="cs-CZ"/>
        </w:rPr>
        <w:t>příloha č. 2</w:t>
      </w:r>
    </w:p>
    <w:p>
      <w:pPr>
        <w:pStyle w:val="Style38"/>
        <w:keepNext w:val="0"/>
        <w:keepLines w:val="0"/>
        <w:widowControl w:val="0"/>
        <w:shd w:val="clear" w:color="auto" w:fill="auto"/>
        <w:bidi w:val="0"/>
        <w:spacing w:before="0" w:after="320" w:line="240" w:lineRule="auto"/>
        <w:ind w:left="0" w:right="0" w:firstLine="0"/>
        <w:jc w:val="right"/>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sectPr>
      <w:footerReference w:type="default" r:id="rId7"/>
      <w:footnotePr>
        <w:pos w:val="pageBottom"/>
        <w:numFmt w:val="decimal"/>
        <w:numRestart w:val="continuous"/>
      </w:footnotePr>
      <w:pgSz w:w="11900" w:h="16840"/>
      <w:pgMar w:top="1643" w:left="993" w:right="1328" w:bottom="244" w:header="121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887095</wp:posOffset>
              </wp:positionH>
              <wp:positionV relativeFrom="page">
                <wp:posOffset>10202545</wp:posOffset>
              </wp:positionV>
              <wp:extent cx="3215640" cy="149225"/>
              <wp:wrapNone/>
              <wp:docPr id="1" name="Shape 1"/>
              <a:graphic xmlns:a="http://schemas.openxmlformats.org/drawingml/2006/main">
                <a:graphicData uri="http://schemas.microsoft.com/office/word/2010/wordprocessingShape">
                  <wps:wsp>
                    <wps:cNvSpPr txBox="1"/>
                    <wps:spPr>
                      <a:xfrm>
                        <a:ext cx="3215640" cy="149225"/>
                      </a:xfrm>
                      <a:prstGeom prst="rect"/>
                      <a:noFill/>
                    </wps:spPr>
                    <wps:txbx>
                      <w:txbxContent>
                        <w:p>
                          <w:pPr>
                            <w:pStyle w:val="Style10"/>
                            <w:keepNext w:val="0"/>
                            <w:keepLines w:val="0"/>
                            <w:widowControl w:val="0"/>
                            <w:shd w:val="clear" w:color="auto" w:fill="auto"/>
                            <w:tabs>
                              <w:tab w:pos="5064" w:val="right"/>
                            </w:tabs>
                            <w:bidi w:val="0"/>
                            <w:spacing w:before="0" w:after="0" w:line="240" w:lineRule="auto"/>
                            <w:ind w:left="0" w:right="0" w:firstLine="0"/>
                            <w:jc w:val="left"/>
                          </w:pPr>
                          <w:r>
                            <w:rPr>
                              <w:color w:val="000000"/>
                              <w:spacing w:val="0"/>
                              <w:w w:val="100"/>
                              <w:position w:val="0"/>
                              <w:shd w:val="clear" w:color="auto" w:fill="auto"/>
                              <w:lang w:val="cs-CZ" w:eastAsia="cs-CZ" w:bidi="cs-CZ"/>
                            </w:rPr>
                            <w:t>SoD Přepočet zatížitelnosti mostů</w:t>
                            <w:tab/>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849999999999994pt;margin-top:803.35000000000002pt;width:253.19999999999999pt;height:11.75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5064" w:val="right"/>
                      </w:tabs>
                      <w:bidi w:val="0"/>
                      <w:spacing w:before="0" w:after="0" w:line="240" w:lineRule="auto"/>
                      <w:ind w:left="0" w:right="0" w:firstLine="0"/>
                      <w:jc w:val="left"/>
                    </w:pPr>
                    <w:r>
                      <w:rPr>
                        <w:color w:val="000000"/>
                        <w:spacing w:val="0"/>
                        <w:w w:val="100"/>
                        <w:position w:val="0"/>
                        <w:shd w:val="clear" w:color="auto" w:fill="auto"/>
                        <w:lang w:val="cs-CZ" w:eastAsia="cs-CZ" w:bidi="cs-CZ"/>
                      </w:rPr>
                      <w:t>SoD Přepočet zatížitelnosti mostů</w:t>
                      <w:tab/>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866140</wp:posOffset>
              </wp:positionH>
              <wp:positionV relativeFrom="page">
                <wp:posOffset>10179685</wp:posOffset>
              </wp:positionV>
              <wp:extent cx="5894705" cy="0"/>
              <wp:wrapNone/>
              <wp:docPr id="3" name="Shape 3"/>
              <a:graphic xmlns:a="http://schemas.openxmlformats.org/drawingml/2006/main">
                <a:graphicData uri="http://schemas.microsoft.com/office/word/2010/wordprocessingShape">
                  <wps:wsp>
                    <wps:cNvCnPr/>
                    <wps:spPr>
                      <a:xfrm>
                        <a:ext cx="5894705" cy="0"/>
                      </a:xfrm>
                      <a:prstGeom prst="straightConnector1"/>
                      <a:ln w="12700">
                        <a:solidFill/>
                      </a:ln>
                    </wps:spPr>
                    <wps:bodyPr/>
                  </wps:wsp>
                </a:graphicData>
              </a:graphic>
            </wp:anchor>
          </w:drawing>
        </mc:Choice>
        <mc:Fallback>
          <w:pict>
            <v:shape o:spt="32" o:oned="true" path="m,l21600,21600e" style="position:absolute;margin-left:68.200000000000003pt;margin-top:801.54999999999995pt;width:464.14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899795</wp:posOffset>
              </wp:positionH>
              <wp:positionV relativeFrom="page">
                <wp:posOffset>10080625</wp:posOffset>
              </wp:positionV>
              <wp:extent cx="1613535" cy="154940"/>
              <wp:wrapNone/>
              <wp:docPr id="12" name="Shape 12"/>
              <a:graphic xmlns:a="http://schemas.openxmlformats.org/drawingml/2006/main">
                <a:graphicData uri="http://schemas.microsoft.com/office/word/2010/wordprocessingShape">
                  <wps:wsp>
                    <wps:cNvSpPr txBox="1"/>
                    <wps:spPr>
                      <a:xfrm>
                        <a:ext cx="1613535" cy="1549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Přepočet zatížitelnosti mostů</w:t>
                          </w:r>
                        </w:p>
                      </w:txbxContent>
                    </wps:txbx>
                    <wps:bodyPr wrap="none" lIns="0" tIns="0" rIns="0" bIns="0">
                      <a:spAutoFit/>
                    </wps:bodyPr>
                  </wps:wsp>
                </a:graphicData>
              </a:graphic>
            </wp:anchor>
          </w:drawing>
        </mc:Choice>
        <mc:Fallback>
          <w:pict>
            <v:shape id="_x0000_s1038" type="#_x0000_t202" style="position:absolute;margin-left:70.849999999999994pt;margin-top:793.75pt;width:127.05pt;height:12.199999999999999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Přepočet zatížitelnosti mostů</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2"/>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3"/>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6.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2"/>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Základní text (2)_"/>
    <w:basedOn w:val="DefaultParagraphFont"/>
    <w:link w:val="Style5"/>
    <w:rPr>
      <w:rFonts w:ascii="Calibri" w:eastAsia="Calibri" w:hAnsi="Calibri" w:cs="Calibri"/>
      <w:b w:val="0"/>
      <w:bCs w:val="0"/>
      <w:i w:val="0"/>
      <w:iCs w:val="0"/>
      <w:smallCaps w:val="0"/>
      <w:strike w:val="0"/>
      <w:sz w:val="24"/>
      <w:szCs w:val="24"/>
      <w:u w:val="none"/>
    </w:rPr>
  </w:style>
  <w:style w:type="character" w:customStyle="1" w:styleId="CharStyle9">
    <w:name w:val="Nadpis #2_"/>
    <w:basedOn w:val="DefaultParagraphFont"/>
    <w:link w:val="Style8"/>
    <w:rPr>
      <w:rFonts w:ascii="Times New Roman" w:eastAsia="Times New Roman" w:hAnsi="Times New Roman" w:cs="Times New Roman"/>
      <w:b/>
      <w:bCs/>
      <w:i w:val="0"/>
      <w:iCs w:val="0"/>
      <w:smallCaps w:val="0"/>
      <w:strike w:val="0"/>
      <w:sz w:val="32"/>
      <w:szCs w:val="32"/>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Titulek tabulky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8">
    <w:name w:val="Jiné_"/>
    <w:basedOn w:val="DefaultParagraphFont"/>
    <w:link w:val="Style17"/>
    <w:rPr>
      <w:rFonts w:ascii="Times New Roman" w:eastAsia="Times New Roman" w:hAnsi="Times New Roman" w:cs="Times New Roman"/>
      <w:b w:val="0"/>
      <w:bCs w:val="0"/>
      <w:i w:val="0"/>
      <w:iCs w:val="0"/>
      <w:smallCaps w:val="0"/>
      <w:strike w:val="0"/>
      <w:u w:val="none"/>
    </w:rPr>
  </w:style>
  <w:style w:type="character" w:customStyle="1" w:styleId="CharStyle23">
    <w:name w:val="Nadpis #5_"/>
    <w:basedOn w:val="DefaultParagraphFont"/>
    <w:link w:val="Style22"/>
    <w:rPr>
      <w:rFonts w:ascii="Times New Roman" w:eastAsia="Times New Roman" w:hAnsi="Times New Roman" w:cs="Times New Roman"/>
      <w:b/>
      <w:bCs/>
      <w:i w:val="0"/>
      <w:iCs w:val="0"/>
      <w:smallCaps w:val="0"/>
      <w:strike w:val="0"/>
      <w:u w:val="none"/>
    </w:rPr>
  </w:style>
  <w:style w:type="character" w:customStyle="1" w:styleId="CharStyle28">
    <w:name w:val="Nadpis #1_"/>
    <w:basedOn w:val="DefaultParagraphFont"/>
    <w:link w:val="Style27"/>
    <w:rPr>
      <w:rFonts w:ascii="Calibri" w:eastAsia="Calibri" w:hAnsi="Calibri" w:cs="Calibri"/>
      <w:b/>
      <w:bCs/>
      <w:i w:val="0"/>
      <w:iCs w:val="0"/>
      <w:smallCaps w:val="0"/>
      <w:strike w:val="0"/>
      <w:sz w:val="36"/>
      <w:szCs w:val="36"/>
      <w:u w:val="none"/>
    </w:rPr>
  </w:style>
  <w:style w:type="character" w:customStyle="1" w:styleId="CharStyle30">
    <w:name w:val="Nadpis #3_"/>
    <w:basedOn w:val="DefaultParagraphFont"/>
    <w:link w:val="Style29"/>
    <w:rPr>
      <w:rFonts w:ascii="Calibri" w:eastAsia="Calibri" w:hAnsi="Calibri" w:cs="Calibri"/>
      <w:b/>
      <w:bCs/>
      <w:i w:val="0"/>
      <w:iCs w:val="0"/>
      <w:smallCaps w:val="0"/>
      <w:strike w:val="0"/>
      <w:sz w:val="28"/>
      <w:szCs w:val="28"/>
      <w:u w:val="none"/>
    </w:rPr>
  </w:style>
  <w:style w:type="character" w:customStyle="1" w:styleId="CharStyle34">
    <w:name w:val="Nadpis #4_"/>
    <w:basedOn w:val="DefaultParagraphFont"/>
    <w:link w:val="Style33"/>
    <w:rPr>
      <w:rFonts w:ascii="Times New Roman" w:eastAsia="Times New Roman" w:hAnsi="Times New Roman" w:cs="Times New Roman"/>
      <w:b/>
      <w:bCs/>
      <w:i w:val="0"/>
      <w:iCs w:val="0"/>
      <w:smallCaps w:val="0"/>
      <w:strike w:val="0"/>
      <w:sz w:val="28"/>
      <w:szCs w:val="28"/>
      <w:u w:val="none"/>
    </w:rPr>
  </w:style>
  <w:style w:type="character" w:customStyle="1" w:styleId="CharStyle39">
    <w:name w:val="Základní text (3)_"/>
    <w:basedOn w:val="DefaultParagraphFont"/>
    <w:link w:val="Style38"/>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5">
    <w:name w:val="Základní text (2)"/>
    <w:basedOn w:val="Normal"/>
    <w:link w:val="CharStyle6"/>
    <w:pPr>
      <w:widowControl w:val="0"/>
      <w:shd w:val="clear" w:color="auto" w:fill="FFFFFF"/>
      <w:spacing w:after="360" w:line="274" w:lineRule="auto"/>
      <w:ind w:left="90"/>
    </w:pPr>
    <w:rPr>
      <w:rFonts w:ascii="Calibri" w:eastAsia="Calibri" w:hAnsi="Calibri" w:cs="Calibri"/>
      <w:b w:val="0"/>
      <w:bCs w:val="0"/>
      <w:i w:val="0"/>
      <w:iCs w:val="0"/>
      <w:smallCaps w:val="0"/>
      <w:strike w:val="0"/>
      <w:sz w:val="24"/>
      <w:szCs w:val="24"/>
      <w:u w:val="none"/>
    </w:rPr>
  </w:style>
  <w:style w:type="paragraph" w:customStyle="1" w:styleId="Style8">
    <w:name w:val="Nadpis #2"/>
    <w:basedOn w:val="Normal"/>
    <w:link w:val="CharStyle9"/>
    <w:pPr>
      <w:widowControl w:val="0"/>
      <w:shd w:val="clear" w:color="auto" w:fill="FFFFFF"/>
      <w:spacing w:line="401" w:lineRule="auto"/>
      <w:jc w:val="center"/>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Titulek tabulky"/>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7">
    <w:name w:val="Jiné"/>
    <w:basedOn w:val="Normal"/>
    <w:link w:val="CharStyle18"/>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22">
    <w:name w:val="Nadpis #5"/>
    <w:basedOn w:val="Normal"/>
    <w:link w:val="CharStyle23"/>
    <w:pPr>
      <w:widowControl w:val="0"/>
      <w:shd w:val="clear" w:color="auto" w:fill="FFFFFF"/>
      <w:spacing w:after="80"/>
      <w:jc w:val="center"/>
      <w:outlineLvl w:val="4"/>
    </w:pPr>
    <w:rPr>
      <w:rFonts w:ascii="Times New Roman" w:eastAsia="Times New Roman" w:hAnsi="Times New Roman" w:cs="Times New Roman"/>
      <w:b/>
      <w:bCs/>
      <w:i w:val="0"/>
      <w:iCs w:val="0"/>
      <w:smallCaps w:val="0"/>
      <w:strike w:val="0"/>
      <w:u w:val="none"/>
    </w:rPr>
  </w:style>
  <w:style w:type="paragraph" w:customStyle="1" w:styleId="Style27">
    <w:name w:val="Nadpis #1"/>
    <w:basedOn w:val="Normal"/>
    <w:link w:val="CharStyle28"/>
    <w:pPr>
      <w:widowControl w:val="0"/>
      <w:shd w:val="clear" w:color="auto" w:fill="FFFFFF"/>
      <w:spacing w:after="360"/>
      <w:jc w:val="center"/>
      <w:outlineLvl w:val="0"/>
    </w:pPr>
    <w:rPr>
      <w:rFonts w:ascii="Calibri" w:eastAsia="Calibri" w:hAnsi="Calibri" w:cs="Calibri"/>
      <w:b/>
      <w:bCs/>
      <w:i w:val="0"/>
      <w:iCs w:val="0"/>
      <w:smallCaps w:val="0"/>
      <w:strike w:val="0"/>
      <w:sz w:val="36"/>
      <w:szCs w:val="36"/>
      <w:u w:val="none"/>
    </w:rPr>
  </w:style>
  <w:style w:type="paragraph" w:customStyle="1" w:styleId="Style29">
    <w:name w:val="Nadpis #3"/>
    <w:basedOn w:val="Normal"/>
    <w:link w:val="CharStyle30"/>
    <w:pPr>
      <w:widowControl w:val="0"/>
      <w:shd w:val="clear" w:color="auto" w:fill="FFFFFF"/>
      <w:spacing w:after="280"/>
      <w:outlineLvl w:val="2"/>
    </w:pPr>
    <w:rPr>
      <w:rFonts w:ascii="Calibri" w:eastAsia="Calibri" w:hAnsi="Calibri" w:cs="Calibri"/>
      <w:b/>
      <w:bCs/>
      <w:i w:val="0"/>
      <w:iCs w:val="0"/>
      <w:smallCaps w:val="0"/>
      <w:strike w:val="0"/>
      <w:sz w:val="28"/>
      <w:szCs w:val="28"/>
      <w:u w:val="none"/>
    </w:rPr>
  </w:style>
  <w:style w:type="paragraph" w:customStyle="1" w:styleId="Style33">
    <w:name w:val="Nadpis #4"/>
    <w:basedOn w:val="Normal"/>
    <w:link w:val="CharStyle34"/>
    <w:pPr>
      <w:widowControl w:val="0"/>
      <w:shd w:val="clear" w:color="auto" w:fill="FFFFFF"/>
      <w:spacing w:after="200"/>
      <w:jc w:val="center"/>
      <w:outlineLvl w:val="3"/>
    </w:pPr>
    <w:rPr>
      <w:rFonts w:ascii="Times New Roman" w:eastAsia="Times New Roman" w:hAnsi="Times New Roman" w:cs="Times New Roman"/>
      <w:b/>
      <w:bCs/>
      <w:i w:val="0"/>
      <w:iCs w:val="0"/>
      <w:smallCaps w:val="0"/>
      <w:strike w:val="0"/>
      <w:sz w:val="28"/>
      <w:szCs w:val="28"/>
      <w:u w:val="none"/>
    </w:rPr>
  </w:style>
  <w:style w:type="paragraph" w:customStyle="1" w:styleId="Style38">
    <w:name w:val="Základní text (3)"/>
    <w:basedOn w:val="Normal"/>
    <w:link w:val="CharStyle39"/>
    <w:pPr>
      <w:widowControl w:val="0"/>
      <w:shd w:val="clear" w:color="auto" w:fill="FFFFFF"/>
      <w:spacing w:after="210"/>
      <w:jc w:val="right"/>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pokor</dc:creator>
  <cp:keywords/>
</cp:coreProperties>
</file>