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71" w:rsidRDefault="002442E2">
      <w:pPr>
        <w:pStyle w:val="Nadpis10"/>
        <w:keepNext/>
        <w:keepLines/>
        <w:spacing w:after="5460"/>
      </w:pPr>
      <w:bookmarkStart w:id="0" w:name="bookmark0"/>
      <w:bookmarkStart w:id="1" w:name="bookmark1"/>
      <w:bookmarkStart w:id="2" w:name="bookmark2"/>
      <w:r>
        <w:t>vi</w:t>
      </w:r>
      <w:r w:rsidR="00FD4213">
        <w:t>s</w:t>
      </w:r>
      <w:bookmarkEnd w:id="0"/>
      <w:bookmarkEnd w:id="1"/>
      <w:bookmarkEnd w:id="2"/>
    </w:p>
    <w:p w:rsidR="00F51571" w:rsidRDefault="00FD4213">
      <w:pPr>
        <w:pStyle w:val="Zkladntext20"/>
        <w:sectPr w:rsidR="00F51571">
          <w:pgSz w:w="11900" w:h="16840"/>
          <w:pgMar w:top="1003" w:right="1356" w:bottom="1003" w:left="1109" w:header="575" w:footer="575" w:gutter="0"/>
          <w:pgNumType w:start="1"/>
          <w:cols w:space="720"/>
          <w:noEndnote/>
          <w:docGrid w:linePitch="360"/>
        </w:sectPr>
      </w:pPr>
      <w:r>
        <w:t>Základní škola Jana Amose Komenského</w:t>
      </w:r>
      <w:r>
        <w:br/>
        <w:t xml:space="preserve">Karlovy Vary, </w:t>
      </w:r>
      <w:proofErr w:type="spellStart"/>
      <w:r>
        <w:t>Kollárova</w:t>
      </w:r>
      <w:proofErr w:type="spellEnd"/>
      <w:r>
        <w:t xml:space="preserve"> 19,</w:t>
      </w:r>
      <w:r>
        <w:br/>
        <w:t>Kompletní modernizace bezkontaktního</w:t>
      </w:r>
      <w:r>
        <w:br/>
        <w:t>stravovacího systému, havarijní stav</w:t>
      </w:r>
    </w:p>
    <w:p w:rsidR="00F51571" w:rsidRDefault="002442E2">
      <w:pPr>
        <w:pStyle w:val="Nadpis10"/>
        <w:keepNext/>
        <w:keepLines/>
        <w:spacing w:after="60"/>
      </w:pPr>
      <w:bookmarkStart w:id="3" w:name="bookmark3"/>
      <w:bookmarkStart w:id="4" w:name="bookmark4"/>
      <w:bookmarkStart w:id="5" w:name="bookmark5"/>
      <w:r>
        <w:lastRenderedPageBreak/>
        <w:t>vi</w:t>
      </w:r>
      <w:r w:rsidR="00FD4213">
        <w:t>s</w:t>
      </w:r>
      <w:bookmarkEnd w:id="3"/>
      <w:bookmarkEnd w:id="4"/>
      <w:bookmarkEnd w:id="5"/>
    </w:p>
    <w:p w:rsidR="00F51571" w:rsidRDefault="00FD4213">
      <w:pPr>
        <w:pStyle w:val="Nadpis20"/>
        <w:keepNext/>
        <w:keepLines/>
        <w:spacing w:after="240" w:line="240" w:lineRule="auto"/>
      </w:pPr>
      <w:bookmarkStart w:id="6" w:name="bookmark6"/>
      <w:bookmarkStart w:id="7" w:name="bookmark7"/>
      <w:bookmarkStart w:id="8" w:name="bookmark8"/>
      <w:r>
        <w:t>Hlavní požadavky a nutné položky</w:t>
      </w:r>
      <w:bookmarkEnd w:id="6"/>
      <w:bookmarkEnd w:id="7"/>
      <w:bookmarkEnd w:id="8"/>
    </w:p>
    <w:p w:rsidR="00F51571" w:rsidRDefault="00FD4213">
      <w:pPr>
        <w:pStyle w:val="Zkladntext1"/>
        <w:numPr>
          <w:ilvl w:val="0"/>
          <w:numId w:val="1"/>
        </w:numPr>
        <w:tabs>
          <w:tab w:val="left" w:pos="768"/>
        </w:tabs>
        <w:spacing w:after="0" w:line="252" w:lineRule="auto"/>
        <w:ind w:firstLine="420"/>
      </w:pPr>
      <w:bookmarkStart w:id="9" w:name="bookmark9"/>
      <w:bookmarkEnd w:id="9"/>
      <w:r>
        <w:t xml:space="preserve">Upgrade na Stravné S5 v prostredi.NET, SQL. </w:t>
      </w:r>
      <w:r>
        <w:t xml:space="preserve">Upgrade </w:t>
      </w:r>
      <w:proofErr w:type="spellStart"/>
      <w:r>
        <w:t>MSkladu</w:t>
      </w:r>
      <w:proofErr w:type="spellEnd"/>
    </w:p>
    <w:p w:rsidR="00F51571" w:rsidRDefault="00FD4213">
      <w:pPr>
        <w:pStyle w:val="Zkladntext1"/>
        <w:numPr>
          <w:ilvl w:val="0"/>
          <w:numId w:val="1"/>
        </w:numPr>
        <w:tabs>
          <w:tab w:val="left" w:pos="771"/>
        </w:tabs>
        <w:spacing w:after="0" w:line="252" w:lineRule="auto"/>
        <w:ind w:firstLine="420"/>
      </w:pPr>
      <w:bookmarkStart w:id="10" w:name="bookmark10"/>
      <w:bookmarkEnd w:id="10"/>
      <w:r>
        <w:t xml:space="preserve">Instalace </w:t>
      </w:r>
      <w:proofErr w:type="spellStart"/>
      <w:r>
        <w:t>sw</w:t>
      </w:r>
      <w:proofErr w:type="spellEnd"/>
      <w:r>
        <w:t>, konverze, nastavení, školení</w:t>
      </w:r>
    </w:p>
    <w:p w:rsidR="00F51571" w:rsidRDefault="00FD4213">
      <w:pPr>
        <w:pStyle w:val="Zkladntext1"/>
        <w:numPr>
          <w:ilvl w:val="0"/>
          <w:numId w:val="1"/>
        </w:numPr>
        <w:tabs>
          <w:tab w:val="left" w:pos="771"/>
        </w:tabs>
        <w:spacing w:after="0" w:line="252" w:lineRule="auto"/>
        <w:ind w:firstLine="420"/>
      </w:pPr>
      <w:bookmarkStart w:id="11" w:name="bookmark11"/>
      <w:bookmarkEnd w:id="11"/>
      <w:r>
        <w:t>Dodávka nových výdejních terminálů Klasik, včetně snímačů, zdroje a převodníku.</w:t>
      </w:r>
    </w:p>
    <w:p w:rsidR="00F51571" w:rsidRDefault="00FD4213">
      <w:pPr>
        <w:pStyle w:val="Zkladntext1"/>
        <w:numPr>
          <w:ilvl w:val="0"/>
          <w:numId w:val="1"/>
        </w:numPr>
        <w:tabs>
          <w:tab w:val="left" w:pos="775"/>
        </w:tabs>
        <w:spacing w:after="0" w:line="252" w:lineRule="auto"/>
        <w:ind w:firstLine="420"/>
      </w:pPr>
      <w:bookmarkStart w:id="12" w:name="bookmark12"/>
      <w:bookmarkEnd w:id="12"/>
      <w:r>
        <w:t>Dodávka nového kontrolního terminálu.</w:t>
      </w:r>
    </w:p>
    <w:p w:rsidR="00F51571" w:rsidRDefault="00FD4213">
      <w:pPr>
        <w:pStyle w:val="Zkladntext1"/>
        <w:numPr>
          <w:ilvl w:val="0"/>
          <w:numId w:val="1"/>
        </w:numPr>
        <w:tabs>
          <w:tab w:val="left" w:pos="775"/>
        </w:tabs>
        <w:spacing w:after="0" w:line="252" w:lineRule="auto"/>
        <w:ind w:firstLine="420"/>
      </w:pPr>
      <w:bookmarkStart w:id="13" w:name="bookmark13"/>
      <w:bookmarkEnd w:id="13"/>
      <w:r>
        <w:t xml:space="preserve">Montáž </w:t>
      </w:r>
      <w:proofErr w:type="spellStart"/>
      <w:r>
        <w:t>Hw</w:t>
      </w:r>
      <w:proofErr w:type="spellEnd"/>
      <w:r>
        <w:t xml:space="preserve"> na připravenou kabeláž, oživení, školení.</w:t>
      </w:r>
    </w:p>
    <w:p w:rsidR="00F51571" w:rsidRDefault="00FD4213">
      <w:pPr>
        <w:pStyle w:val="Zkladntext1"/>
        <w:numPr>
          <w:ilvl w:val="0"/>
          <w:numId w:val="1"/>
        </w:numPr>
        <w:tabs>
          <w:tab w:val="left" w:pos="775"/>
        </w:tabs>
        <w:spacing w:after="0" w:line="252" w:lineRule="auto"/>
        <w:ind w:firstLine="420"/>
      </w:pPr>
      <w:bookmarkStart w:id="14" w:name="bookmark14"/>
      <w:bookmarkEnd w:id="14"/>
      <w:r>
        <w:t>Školení a asistence k uzávě</w:t>
      </w:r>
      <w:r>
        <w:t>rkám.</w:t>
      </w:r>
    </w:p>
    <w:p w:rsidR="00F51571" w:rsidRDefault="00FD4213">
      <w:pPr>
        <w:pStyle w:val="Zkladntext1"/>
        <w:numPr>
          <w:ilvl w:val="0"/>
          <w:numId w:val="1"/>
        </w:numPr>
        <w:tabs>
          <w:tab w:val="left" w:pos="775"/>
        </w:tabs>
        <w:spacing w:line="252" w:lineRule="auto"/>
        <w:ind w:firstLine="420"/>
      </w:pPr>
      <w:bookmarkStart w:id="15" w:name="bookmark15"/>
      <w:bookmarkEnd w:id="15"/>
      <w:r>
        <w:t>Vzdálená servisní podpora</w:t>
      </w:r>
    </w:p>
    <w:p w:rsidR="00F51571" w:rsidRDefault="00FD4213">
      <w:pPr>
        <w:pStyle w:val="Zkladntext1"/>
        <w:spacing w:line="252" w:lineRule="auto"/>
        <w:ind w:left="1180" w:hanging="720"/>
      </w:pPr>
      <w:r>
        <w:t>Shrnutí: Kompletní modernizace stravovacího provozu odpovídající požadavkům zákazníka a realizacím v současné době.</w:t>
      </w:r>
    </w:p>
    <w:p w:rsidR="00F51571" w:rsidRDefault="00FD4213">
      <w:pPr>
        <w:pStyle w:val="Zkladntext1"/>
        <w:spacing w:after="0" w:line="264" w:lineRule="auto"/>
        <w:ind w:firstLine="160"/>
      </w:pPr>
      <w:r>
        <w:rPr>
          <w:b/>
          <w:bCs/>
          <w:shd w:val="clear" w:color="auto" w:fill="FFFFFF"/>
        </w:rPr>
        <w:t xml:space="preserve">Roční navýšení platby </w:t>
      </w:r>
      <w:proofErr w:type="spellStart"/>
      <w:r>
        <w:rPr>
          <w:b/>
          <w:bCs/>
          <w:shd w:val="clear" w:color="auto" w:fill="FFFFFF"/>
        </w:rPr>
        <w:t>sw</w:t>
      </w:r>
      <w:proofErr w:type="spellEnd"/>
      <w:r>
        <w:rPr>
          <w:b/>
          <w:bCs/>
          <w:shd w:val="clear" w:color="auto" w:fill="FFFFFF"/>
        </w:rPr>
        <w:t>, servis /nová Servisně licenční smlouva/_ 12 256,-Kč bez DPH/rok</w:t>
      </w:r>
    </w:p>
    <w:p w:rsidR="00F51571" w:rsidRDefault="00FD4213">
      <w:pPr>
        <w:pStyle w:val="Nadpis20"/>
        <w:keepNext/>
        <w:keepLines/>
        <w:spacing w:after="0" w:line="264" w:lineRule="auto"/>
      </w:pPr>
      <w:bookmarkStart w:id="16" w:name="bookmark16"/>
      <w:bookmarkStart w:id="17" w:name="bookmark17"/>
      <w:bookmarkStart w:id="18" w:name="bookmark18"/>
      <w:r>
        <w:t>HW</w:t>
      </w:r>
      <w:bookmarkEnd w:id="16"/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79"/>
        <w:gridCol w:w="500"/>
        <w:gridCol w:w="493"/>
      </w:tblGrid>
      <w:tr w:rsidR="00F5157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 xml:space="preserve">SW a </w:t>
            </w:r>
            <w:r>
              <w:rPr>
                <w:b/>
                <w:bCs/>
                <w:i/>
                <w:iCs/>
                <w:sz w:val="17"/>
                <w:szCs w:val="17"/>
              </w:rPr>
              <w:t xml:space="preserve">HW </w:t>
            </w:r>
            <w:r>
              <w:rPr>
                <w:b/>
                <w:bCs/>
                <w:i/>
                <w:iCs/>
                <w:sz w:val="17"/>
                <w:szCs w:val="17"/>
              </w:rPr>
              <w:t>terminály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51571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51571">
            <w:pPr>
              <w:rPr>
                <w:sz w:val="10"/>
                <w:szCs w:val="10"/>
              </w:rPr>
            </w:pP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• identifikátor </w:t>
            </w:r>
            <w:proofErr w:type="spellStart"/>
            <w:r>
              <w:rPr>
                <w:i/>
                <w:iCs/>
                <w:sz w:val="17"/>
                <w:szCs w:val="17"/>
              </w:rPr>
              <w:t>Mif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 USB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• výdejní terminál KLASIK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• kontrolní terminál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• nap. </w:t>
            </w:r>
            <w:proofErr w:type="spellStart"/>
            <w:r>
              <w:rPr>
                <w:i/>
                <w:iCs/>
                <w:sz w:val="17"/>
                <w:szCs w:val="17"/>
              </w:rPr>
              <w:t>zdr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. </w:t>
            </w:r>
            <w:proofErr w:type="spellStart"/>
            <w:r>
              <w:rPr>
                <w:i/>
                <w:iCs/>
                <w:sz w:val="17"/>
                <w:szCs w:val="17"/>
              </w:rPr>
              <w:t>zál</w:t>
            </w:r>
            <w:proofErr w:type="spellEnd"/>
            <w:r>
              <w:rPr>
                <w:i/>
                <w:iCs/>
                <w:sz w:val="17"/>
                <w:szCs w:val="17"/>
              </w:rPr>
              <w:t>. AWZ G2-C 12V/3A/7.2Ah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• PE20-8 převodník HUB </w:t>
            </w:r>
            <w:proofErr w:type="spellStart"/>
            <w:r>
              <w:rPr>
                <w:i/>
                <w:iCs/>
                <w:sz w:val="17"/>
                <w:szCs w:val="17"/>
              </w:rPr>
              <w:t>Eth</w:t>
            </w:r>
            <w:proofErr w:type="spellEnd"/>
            <w:r>
              <w:rPr>
                <w:i/>
                <w:iCs/>
                <w:sz w:val="17"/>
                <w:szCs w:val="17"/>
              </w:rPr>
              <w:t>./3xRS485n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</w:tr>
    </w:tbl>
    <w:p w:rsidR="00F51571" w:rsidRDefault="00F51571">
      <w:pPr>
        <w:pStyle w:val="Zkladntext1"/>
        <w:spacing w:after="300" w:line="240" w:lineRule="auto"/>
        <w:ind w:right="220" w:firstLine="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1pt;margin-top:1pt;width:57.8pt;height:12.6pt;z-index:-251658752;mso-position-horizontal-relative:page;mso-position-vertical-relative:text" filled="f" stroked="f">
            <v:textbox inset="0,0,0,0">
              <w:txbxContent>
                <w:p w:rsidR="00F51571" w:rsidRDefault="00FD4213">
                  <w:pPr>
                    <w:pStyle w:val="Zkladntext1"/>
                    <w:spacing w:after="0" w:line="240" w:lineRule="auto"/>
                    <w:ind w:firstLine="0"/>
                  </w:pPr>
                  <w:r>
                    <w:rPr>
                      <w:b/>
                      <w:bCs/>
                    </w:rPr>
                    <w:t>HW celkem</w:t>
                  </w:r>
                </w:p>
              </w:txbxContent>
            </v:textbox>
            <w10:wrap type="square" side="right" anchorx="page"/>
          </v:shape>
        </w:pict>
      </w:r>
      <w:r w:rsidR="00FD4213">
        <w:rPr>
          <w:b/>
          <w:bCs/>
        </w:rPr>
        <w:t>57 966,-Kč bez DPH</w:t>
      </w:r>
    </w:p>
    <w:p w:rsidR="00F51571" w:rsidRDefault="00FD4213">
      <w:pPr>
        <w:pStyle w:val="Titulektabulky0"/>
        <w:ind w:left="601"/>
      </w:pPr>
      <w:r>
        <w:t>Doporučené asistenční služby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79"/>
        <w:gridCol w:w="500"/>
        <w:gridCol w:w="493"/>
      </w:tblGrid>
      <w:tr w:rsidR="00F5157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asistenční služby Stravné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51571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51571">
            <w:pPr>
              <w:rPr>
                <w:sz w:val="10"/>
                <w:szCs w:val="10"/>
              </w:rPr>
            </w:pP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• instalace a konfigurace </w:t>
            </w:r>
            <w:proofErr w:type="spellStart"/>
            <w:r>
              <w:rPr>
                <w:i/>
                <w:iCs/>
                <w:sz w:val="17"/>
                <w:szCs w:val="17"/>
              </w:rPr>
              <w:t>SWaplikací</w:t>
            </w:r>
            <w:proofErr w:type="spellEnd"/>
            <w:r>
              <w:rPr>
                <w:i/>
                <w:iCs/>
                <w:sz w:val="17"/>
                <w:szCs w:val="17"/>
              </w:rPr>
              <w:t>, konverze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• úvodní zaškolení ovládání programu Stravné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hod</w:t>
            </w: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• doškolení ovládání programu Stravné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hod</w:t>
            </w: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• připojení terminálového systému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</w:tr>
      <w:tr w:rsidR="00F5157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• vzdálená servisní podpora 5 hod.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571" w:rsidRDefault="00FD4213">
            <w:pPr>
              <w:pStyle w:val="Jin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</w:t>
            </w:r>
          </w:p>
        </w:tc>
      </w:tr>
    </w:tbl>
    <w:p w:rsidR="00F51571" w:rsidRDefault="00F51571">
      <w:pPr>
        <w:spacing w:after="479" w:line="1" w:lineRule="exact"/>
      </w:pPr>
    </w:p>
    <w:p w:rsidR="00F51571" w:rsidRDefault="00FD4213">
      <w:pPr>
        <w:pStyle w:val="Zkladntext1"/>
        <w:tabs>
          <w:tab w:val="left" w:leader="underscore" w:pos="7087"/>
        </w:tabs>
        <w:spacing w:after="0"/>
        <w:ind w:firstLine="420"/>
      </w:pPr>
      <w:r>
        <w:rPr>
          <w:b/>
          <w:bCs/>
        </w:rPr>
        <w:t>Doporučené asistenční služby</w:t>
      </w:r>
      <w:r>
        <w:rPr>
          <w:b/>
          <w:bCs/>
        </w:rPr>
        <w:tab/>
        <w:t>43 600,-Kč bez DPH</w:t>
      </w:r>
    </w:p>
    <w:p w:rsidR="00F51571" w:rsidRDefault="00FD4213">
      <w:pPr>
        <w:pStyle w:val="Zkladntext1"/>
        <w:tabs>
          <w:tab w:val="left" w:leader="underscore" w:pos="7087"/>
        </w:tabs>
        <w:ind w:firstLine="420"/>
      </w:pPr>
      <w:r>
        <w:rPr>
          <w:b/>
          <w:bCs/>
        </w:rPr>
        <w:t>Celková cena dodávky</w:t>
      </w:r>
      <w:r>
        <w:rPr>
          <w:b/>
          <w:bCs/>
        </w:rPr>
        <w:tab/>
        <w:t>113 822,-Kč bez DPH</w:t>
      </w:r>
    </w:p>
    <w:p w:rsidR="00F51571" w:rsidRDefault="00FD4213">
      <w:pPr>
        <w:pStyle w:val="Zkladntext1"/>
        <w:spacing w:after="0"/>
        <w:ind w:firstLine="420"/>
      </w:pPr>
      <w:r>
        <w:rPr>
          <w:b/>
          <w:bCs/>
        </w:rPr>
        <w:t>Uvedená cena je kalkulována včetně dopravy.</w:t>
      </w:r>
    </w:p>
    <w:p w:rsidR="00F51571" w:rsidRDefault="00FD4213">
      <w:pPr>
        <w:pStyle w:val="Zkladntext1"/>
        <w:ind w:left="420" w:firstLine="40"/>
      </w:pPr>
      <w:r>
        <w:t xml:space="preserve">Záruka na HW 24 měsíců od dodání. Další informace o produktech a službách firmy Veřejná informační služba, spol. s r.o. naleznete na webových stránkách </w:t>
      </w:r>
      <w:hyperlink r:id="rId7" w:history="1">
        <w:r>
          <w:rPr>
            <w:color w:val="333E6D"/>
            <w:u w:val="single"/>
          </w:rPr>
          <w:t>www.visplzen.cz</w:t>
        </w:r>
      </w:hyperlink>
      <w:r>
        <w:rPr>
          <w:color w:val="333E6D"/>
        </w:rPr>
        <w:t xml:space="preserve">. </w:t>
      </w:r>
      <w:r>
        <w:t>Nabídka je platná do 11. 4. 2022. Standardní termí</w:t>
      </w:r>
      <w:r>
        <w:t>n dodání do 8 mi týdnů od objednávky.</w:t>
      </w:r>
    </w:p>
    <w:p w:rsidR="00F51571" w:rsidRDefault="00FD4213">
      <w:pPr>
        <w:pStyle w:val="Zkladntext1"/>
        <w:spacing w:after="0"/>
        <w:ind w:firstLine="420"/>
      </w:pPr>
      <w:r>
        <w:t>Za dodavatele:</w:t>
      </w:r>
    </w:p>
    <w:p w:rsidR="00F51571" w:rsidRDefault="00FD4213">
      <w:pPr>
        <w:pStyle w:val="Zkladntext1"/>
        <w:spacing w:after="0"/>
        <w:ind w:firstLine="420"/>
      </w:pPr>
      <w:r>
        <w:t xml:space="preserve">Milan Kermes, </w:t>
      </w:r>
      <w:r>
        <w:rPr>
          <w:color w:val="333E6D"/>
        </w:rPr>
        <w:t>kerme</w:t>
      </w:r>
      <w:hyperlink r:id="rId8" w:history="1">
        <w:r>
          <w:rPr>
            <w:color w:val="333E6D"/>
            <w:u w:val="single"/>
          </w:rPr>
          <w:t>s@visplzen.cz</w:t>
        </w:r>
      </w:hyperlink>
    </w:p>
    <w:p w:rsidR="00F51571" w:rsidRDefault="00FD4213">
      <w:pPr>
        <w:pStyle w:val="Zkladntext1"/>
        <w:ind w:firstLine="420"/>
      </w:pPr>
      <w:r>
        <w:t xml:space="preserve">VIS Plzeň, s.r.o., Farského 14, 326 00 Plzeň, IČ </w:t>
      </w:r>
      <w:r>
        <w:rPr>
          <w:rFonts w:ascii="Palatino Linotype" w:eastAsia="Palatino Linotype" w:hAnsi="Palatino Linotype" w:cs="Palatino Linotype"/>
        </w:rPr>
        <w:t>45330344</w:t>
      </w:r>
    </w:p>
    <w:p w:rsidR="00F51571" w:rsidRDefault="00FD4213">
      <w:pPr>
        <w:pStyle w:val="Zkladntext1"/>
        <w:spacing w:after="0"/>
        <w:ind w:firstLine="540"/>
      </w:pPr>
      <w:r>
        <w:t>Za objednatele:</w:t>
      </w:r>
    </w:p>
    <w:p w:rsidR="00F51571" w:rsidRDefault="00FD4213">
      <w:pPr>
        <w:pStyle w:val="Zkladntext1"/>
        <w:spacing w:after="0"/>
        <w:ind w:firstLine="540"/>
      </w:pPr>
      <w:r>
        <w:t xml:space="preserve">Základní škola Karlovy Jana Amose Komenského Karlovy Vary, </w:t>
      </w:r>
      <w:proofErr w:type="spellStart"/>
      <w:r>
        <w:t>Kollárova</w:t>
      </w:r>
      <w:proofErr w:type="spellEnd"/>
      <w:r>
        <w:t xml:space="preserve"> 19</w:t>
      </w:r>
    </w:p>
    <w:p w:rsidR="00F51571" w:rsidRDefault="00FD4213">
      <w:pPr>
        <w:pStyle w:val="Zkladntext30"/>
      </w:pPr>
      <w:r>
        <w:t>IČ: 70933782</w:t>
      </w:r>
    </w:p>
    <w:p w:rsidR="00F51571" w:rsidRDefault="00FD4213">
      <w:pPr>
        <w:pStyle w:val="Zkladntext1"/>
        <w:ind w:firstLine="540"/>
      </w:pPr>
      <w:r>
        <w:t>Mgr. Zdeňka Vašíčková, ředitelka školy</w:t>
      </w:r>
    </w:p>
    <w:p w:rsidR="00F51571" w:rsidRDefault="00FD4213">
      <w:pPr>
        <w:pStyle w:val="Zkladntext1"/>
        <w:tabs>
          <w:tab w:val="left" w:pos="6220"/>
        </w:tabs>
        <w:ind w:firstLine="420"/>
      </w:pPr>
      <w:r>
        <w:t xml:space="preserve">V Plzni dne </w:t>
      </w:r>
      <w:proofErr w:type="gramStart"/>
      <w:r>
        <w:t>22.3. 2022</w:t>
      </w:r>
      <w:proofErr w:type="gramEnd"/>
      <w:r>
        <w:tab/>
        <w:t>V K. Varech dne</w:t>
      </w:r>
      <w:r w:rsidR="002442E2">
        <w:t xml:space="preserve"> 25.3.2022</w:t>
      </w:r>
    </w:p>
    <w:p w:rsidR="00F51571" w:rsidRDefault="00FD4213">
      <w:pPr>
        <w:pStyle w:val="Zkladntext1"/>
        <w:ind w:left="1280" w:hanging="920"/>
      </w:pPr>
      <w:proofErr w:type="spellStart"/>
      <w:r>
        <w:t>Pozn</w:t>
      </w:r>
      <w:proofErr w:type="spellEnd"/>
      <w:r>
        <w:t>: - výše uvedená cena neobsahuje kabeláž. Budeme se maximálně snažit vyjít ze současného stavu. Technicky je to možné, ale záruku za cca 12 let star</w:t>
      </w:r>
      <w:r>
        <w:t>ou kabelá</w:t>
      </w:r>
      <w:r w:rsidR="002442E2">
        <w:t>ž neprovedenou námi, ani certif</w:t>
      </w:r>
      <w:r>
        <w:t>i</w:t>
      </w:r>
      <w:r>
        <w:t>kovanou partnerskou firmu nejsme schopni pochopitelně garantovat.</w:t>
      </w:r>
    </w:p>
    <w:sectPr w:rsidR="00F51571" w:rsidSect="00F51571">
      <w:pgSz w:w="11900" w:h="16840"/>
      <w:pgMar w:top="989" w:right="1236" w:bottom="766" w:left="1229" w:header="561" w:footer="3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13" w:rsidRDefault="00FD4213" w:rsidP="00F51571">
      <w:r>
        <w:separator/>
      </w:r>
    </w:p>
  </w:endnote>
  <w:endnote w:type="continuationSeparator" w:id="0">
    <w:p w:rsidR="00FD4213" w:rsidRDefault="00FD4213" w:rsidP="00F5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13" w:rsidRDefault="00FD4213"/>
  </w:footnote>
  <w:footnote w:type="continuationSeparator" w:id="0">
    <w:p w:rsidR="00FD4213" w:rsidRDefault="00FD42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4B8F"/>
    <w:multiLevelType w:val="multilevel"/>
    <w:tmpl w:val="17F090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51571"/>
    <w:rsid w:val="002442E2"/>
    <w:rsid w:val="00F51571"/>
    <w:rsid w:val="00FD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157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F51571"/>
    <w:rPr>
      <w:rFonts w:ascii="Arial" w:eastAsia="Arial" w:hAnsi="Arial" w:cs="Arial"/>
      <w:b w:val="0"/>
      <w:bCs w:val="0"/>
      <w:i/>
      <w:iCs/>
      <w:smallCaps w:val="0"/>
      <w:strike w:val="0"/>
      <w:color w:val="817492"/>
      <w:sz w:val="78"/>
      <w:szCs w:val="7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F5157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F5157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F5157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F5157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F5157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F5157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rsid w:val="00F51571"/>
    <w:pPr>
      <w:spacing w:after="2760"/>
      <w:outlineLvl w:val="0"/>
    </w:pPr>
    <w:rPr>
      <w:rFonts w:ascii="Arial" w:eastAsia="Arial" w:hAnsi="Arial" w:cs="Arial"/>
      <w:i/>
      <w:iCs/>
      <w:color w:val="817492"/>
      <w:sz w:val="78"/>
      <w:szCs w:val="78"/>
    </w:rPr>
  </w:style>
  <w:style w:type="paragraph" w:customStyle="1" w:styleId="Zkladntext20">
    <w:name w:val="Základní text (2)"/>
    <w:basedOn w:val="Normln"/>
    <w:link w:val="Zkladntext2"/>
    <w:rsid w:val="00F51571"/>
    <w:pPr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rsid w:val="00F51571"/>
    <w:pPr>
      <w:spacing w:after="240" w:line="254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F51571"/>
    <w:pPr>
      <w:spacing w:after="120" w:line="252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rsid w:val="00F51571"/>
    <w:pPr>
      <w:spacing w:after="240" w:line="254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F51571"/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F51571"/>
    <w:pPr>
      <w:spacing w:line="214" w:lineRule="auto"/>
      <w:ind w:firstLine="54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visplze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1920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KM_C224e-20220328141218</dc:title>
  <dc:subject/>
  <dc:creator/>
  <cp:keywords/>
  <cp:lastModifiedBy>sekretariat</cp:lastModifiedBy>
  <cp:revision>2</cp:revision>
  <dcterms:created xsi:type="dcterms:W3CDTF">2022-03-29T05:28:00Z</dcterms:created>
  <dcterms:modified xsi:type="dcterms:W3CDTF">2022-03-29T05:31:00Z</dcterms:modified>
</cp:coreProperties>
</file>