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E4FFE" w14:textId="0111DAF0" w:rsidR="001F6146" w:rsidRPr="00EE34A9" w:rsidRDefault="001F6146" w:rsidP="001F6146">
      <w:pPr>
        <w:jc w:val="center"/>
        <w:rPr>
          <w:b/>
          <w:bCs/>
          <w:sz w:val="28"/>
          <w:szCs w:val="28"/>
        </w:rPr>
      </w:pPr>
      <w:r w:rsidRPr="00EE34A9">
        <w:rPr>
          <w:b/>
          <w:bCs/>
          <w:sz w:val="28"/>
          <w:szCs w:val="28"/>
        </w:rPr>
        <w:t>Dodat</w:t>
      </w:r>
      <w:r w:rsidR="00EE34A9" w:rsidRPr="00EE34A9">
        <w:rPr>
          <w:b/>
          <w:bCs/>
          <w:sz w:val="28"/>
          <w:szCs w:val="28"/>
        </w:rPr>
        <w:t>ek</w:t>
      </w:r>
      <w:r w:rsidRPr="00EE34A9">
        <w:rPr>
          <w:b/>
          <w:bCs/>
          <w:sz w:val="28"/>
          <w:szCs w:val="28"/>
        </w:rPr>
        <w:t xml:space="preserve"> č. 1</w:t>
      </w:r>
      <w:r w:rsidR="00897EAC">
        <w:rPr>
          <w:b/>
          <w:bCs/>
          <w:sz w:val="28"/>
          <w:szCs w:val="28"/>
        </w:rPr>
        <w:t>7</w:t>
      </w:r>
    </w:p>
    <w:p w14:paraId="36910381" w14:textId="77777777" w:rsidR="001F6146" w:rsidRPr="0066273E" w:rsidRDefault="001F6146" w:rsidP="0066273E">
      <w:pPr>
        <w:spacing w:before="120"/>
        <w:jc w:val="center"/>
        <w:rPr>
          <w:b/>
          <w:bCs/>
          <w:sz w:val="28"/>
          <w:szCs w:val="28"/>
        </w:rPr>
      </w:pPr>
      <w:r w:rsidRPr="0066273E">
        <w:rPr>
          <w:b/>
          <w:bCs/>
          <w:sz w:val="28"/>
          <w:szCs w:val="28"/>
        </w:rPr>
        <w:t>ke Smlouvě č. 7/2006</w:t>
      </w:r>
    </w:p>
    <w:p w14:paraId="5E017B9E" w14:textId="77777777" w:rsidR="001F6146" w:rsidRPr="0066273E" w:rsidRDefault="001F6146" w:rsidP="001F6146">
      <w:pPr>
        <w:jc w:val="center"/>
        <w:rPr>
          <w:bCs/>
          <w:sz w:val="24"/>
          <w:szCs w:val="24"/>
        </w:rPr>
      </w:pPr>
      <w:r w:rsidRPr="0066273E">
        <w:rPr>
          <w:bCs/>
          <w:sz w:val="24"/>
          <w:szCs w:val="24"/>
        </w:rPr>
        <w:t xml:space="preserve"> o dodávce tepla a teplé užitkové vody uzavíraná v souladu se zákony</w:t>
      </w:r>
    </w:p>
    <w:p w14:paraId="79F03E07" w14:textId="77777777" w:rsidR="001F6146" w:rsidRPr="0066273E" w:rsidRDefault="001F6146" w:rsidP="001F6146">
      <w:pPr>
        <w:jc w:val="center"/>
        <w:rPr>
          <w:bCs/>
          <w:sz w:val="22"/>
          <w:szCs w:val="22"/>
        </w:rPr>
      </w:pPr>
      <w:r w:rsidRPr="0066273E">
        <w:rPr>
          <w:bCs/>
          <w:sz w:val="22"/>
          <w:szCs w:val="22"/>
        </w:rPr>
        <w:t xml:space="preserve">č. </w:t>
      </w:r>
      <w:r w:rsidRPr="0066273E">
        <w:rPr>
          <w:sz w:val="22"/>
          <w:szCs w:val="22"/>
        </w:rPr>
        <w:t xml:space="preserve">458/2000 Sb. a č. 406/2000 Sb. a jejich prováděcími vyhláškami </w:t>
      </w:r>
    </w:p>
    <w:p w14:paraId="10888663" w14:textId="77777777" w:rsidR="001F6146" w:rsidRPr="00EE34A9" w:rsidRDefault="001F6146" w:rsidP="00EE34A9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98308C" w14:textId="77777777" w:rsidR="00EE34A9" w:rsidRPr="0066273E" w:rsidRDefault="00EE34A9" w:rsidP="00EE34A9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44B">
        <w:rPr>
          <w:rFonts w:ascii="Times New Roman" w:hAnsi="Times New Roman" w:cs="Times New Roman"/>
          <w:b/>
          <w:bCs/>
          <w:sz w:val="28"/>
          <w:szCs w:val="28"/>
        </w:rPr>
        <w:t>Příloha č. 2</w:t>
      </w:r>
    </w:p>
    <w:p w14:paraId="498B479F" w14:textId="77777777" w:rsidR="00EE34A9" w:rsidRPr="0066273E" w:rsidRDefault="00EE34A9" w:rsidP="00D6001F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773A7" w14:textId="60B58F8A" w:rsidR="001F6146" w:rsidRPr="00EE544B" w:rsidRDefault="001F6146" w:rsidP="001F6146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44B">
        <w:rPr>
          <w:rFonts w:ascii="Times New Roman" w:hAnsi="Times New Roman" w:cs="Times New Roman"/>
          <w:b/>
          <w:bCs/>
          <w:sz w:val="28"/>
          <w:szCs w:val="28"/>
        </w:rPr>
        <w:t>Cenové ujednání pro rok 20</w:t>
      </w:r>
      <w:r w:rsidR="0008709C" w:rsidRPr="00EE544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97EA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32CC626" w14:textId="77777777" w:rsidR="001F6146" w:rsidRPr="003C1B2E" w:rsidRDefault="001F6146" w:rsidP="001F6146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BAA302" w14:textId="77777777" w:rsidR="001F6146" w:rsidRPr="003C1B2E" w:rsidRDefault="001F6146" w:rsidP="001F6146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0C394C" w14:textId="77777777" w:rsidR="001F6146" w:rsidRDefault="001F6146" w:rsidP="001F6146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  Teplo Těšín a.s.</w:t>
      </w:r>
    </w:p>
    <w:p w14:paraId="65FF13F0" w14:textId="326CEE9F" w:rsidR="001F6146" w:rsidRDefault="001F6146" w:rsidP="001F6146">
      <w:pPr>
        <w:ind w:left="426"/>
        <w:jc w:val="both"/>
      </w:pPr>
      <w:r>
        <w:t>s</w:t>
      </w:r>
      <w:r w:rsidR="00EE544B">
        <w:t>ídlo</w:t>
      </w:r>
      <w:r>
        <w:t>: Hornická 2070/14, 737 01 Český Těšín</w:t>
      </w:r>
    </w:p>
    <w:p w14:paraId="05ACDDCB" w14:textId="37301DEA" w:rsidR="001F6146" w:rsidRDefault="001F6146" w:rsidP="001F6146">
      <w:pPr>
        <w:ind w:left="426"/>
        <w:jc w:val="both"/>
      </w:pPr>
      <w:r>
        <w:t xml:space="preserve">zastoupená: </w:t>
      </w:r>
      <w:proofErr w:type="spellStart"/>
      <w:r w:rsidR="00E65B5C">
        <w:t>xxxxx</w:t>
      </w:r>
      <w:proofErr w:type="spellEnd"/>
      <w:r>
        <w:t xml:space="preserve"> </w:t>
      </w:r>
    </w:p>
    <w:p w14:paraId="53C57509" w14:textId="77777777" w:rsidR="001F6146" w:rsidRDefault="001F6146" w:rsidP="001F6146">
      <w:pPr>
        <w:ind w:left="426"/>
        <w:jc w:val="both"/>
      </w:pPr>
      <w:r>
        <w:t>registrována v obchodním rejstříku soudu v Ostravě, oddíl B, vložka 1801, držitel licence k podnikání, ve smyslu zákona č. 458/2000 Sb., energetický zákon, skupiny: 31, 32</w:t>
      </w:r>
    </w:p>
    <w:p w14:paraId="5927AE43" w14:textId="77777777" w:rsidR="001F6146" w:rsidRDefault="001F6146" w:rsidP="001F6146">
      <w:pPr>
        <w:ind w:left="426"/>
        <w:jc w:val="both"/>
      </w:pPr>
      <w:r>
        <w:t>IČ: 25391330</w:t>
      </w:r>
    </w:p>
    <w:p w14:paraId="625531EE" w14:textId="77777777" w:rsidR="001F6146" w:rsidRDefault="001F6146" w:rsidP="001F6146">
      <w:pPr>
        <w:ind w:left="426"/>
        <w:jc w:val="both"/>
      </w:pPr>
      <w:r>
        <w:t>DIČ: CZ25391330</w:t>
      </w:r>
    </w:p>
    <w:p w14:paraId="58D9A05D" w14:textId="3050972F" w:rsidR="0008709C" w:rsidRDefault="0008709C" w:rsidP="0008709C">
      <w:pPr>
        <w:ind w:left="426"/>
        <w:jc w:val="both"/>
      </w:pPr>
      <w:r>
        <w:t>bankovní spojení: Československá obchodní banka</w:t>
      </w:r>
      <w:r w:rsidR="00897EAC">
        <w:t>, a.s.</w:t>
      </w:r>
    </w:p>
    <w:p w14:paraId="2FE9E967" w14:textId="77777777" w:rsidR="0008709C" w:rsidRDefault="0008709C" w:rsidP="0008709C">
      <w:pPr>
        <w:ind w:left="426"/>
        <w:jc w:val="both"/>
      </w:pPr>
      <w:r>
        <w:t>č. účtu: 290012738/0300</w:t>
      </w:r>
    </w:p>
    <w:p w14:paraId="3BABD12F" w14:textId="14BDA64D" w:rsidR="0008709C" w:rsidRDefault="0008709C" w:rsidP="0008709C">
      <w:pPr>
        <w:ind w:left="426"/>
        <w:jc w:val="both"/>
      </w:pPr>
      <w:r>
        <w:t xml:space="preserve">telefonní spojení: </w:t>
      </w:r>
      <w:proofErr w:type="spellStart"/>
      <w:r w:rsidR="00E65B5C">
        <w:t>xxxxx</w:t>
      </w:r>
      <w:proofErr w:type="spellEnd"/>
    </w:p>
    <w:p w14:paraId="4984DDD4" w14:textId="77777777" w:rsidR="0008709C" w:rsidRPr="00EE544B" w:rsidRDefault="0008709C" w:rsidP="0008709C">
      <w:pPr>
        <w:ind w:left="426"/>
      </w:pPr>
      <w:r w:rsidRPr="00EE544B">
        <w:t xml:space="preserve">web: </w:t>
      </w:r>
      <w:hyperlink r:id="rId7" w:history="1">
        <w:r w:rsidRPr="0066273E">
          <w:rPr>
            <w:rStyle w:val="Hypertextovodkaz"/>
            <w:color w:val="auto"/>
            <w:u w:val="none"/>
          </w:rPr>
          <w:t>http://www.teplotesin.cz</w:t>
        </w:r>
      </w:hyperlink>
    </w:p>
    <w:p w14:paraId="093EDB1F" w14:textId="341EB90D" w:rsidR="0008709C" w:rsidRPr="00EE544B" w:rsidRDefault="0008709C" w:rsidP="0008709C">
      <w:pPr>
        <w:ind w:left="426"/>
        <w:jc w:val="both"/>
      </w:pPr>
      <w:r w:rsidRPr="00EE544B">
        <w:t xml:space="preserve">e-mail: </w:t>
      </w:r>
      <w:hyperlink r:id="rId8" w:history="1">
        <w:proofErr w:type="spellStart"/>
        <w:r w:rsidR="00E65B5C">
          <w:rPr>
            <w:rStyle w:val="Hypertextovodkaz"/>
            <w:color w:val="auto"/>
            <w:u w:val="none"/>
          </w:rPr>
          <w:t>xxxxx</w:t>
        </w:r>
        <w:proofErr w:type="spellEnd"/>
      </w:hyperlink>
    </w:p>
    <w:p w14:paraId="4B68E437" w14:textId="77777777" w:rsidR="0008709C" w:rsidRDefault="0008709C" w:rsidP="0008709C">
      <w:pPr>
        <w:ind w:left="426"/>
        <w:jc w:val="both"/>
      </w:pPr>
      <w:r>
        <w:t>zaměstnanci pověřeni činností:</w:t>
      </w:r>
    </w:p>
    <w:p w14:paraId="1207F56A" w14:textId="77777777" w:rsidR="0008709C" w:rsidRDefault="0008709C" w:rsidP="0008709C">
      <w:pPr>
        <w:ind w:left="426"/>
        <w:jc w:val="both"/>
      </w:pPr>
      <w:r>
        <w:t>ve věcech finančních: hlavní účetní</w:t>
      </w:r>
    </w:p>
    <w:p w14:paraId="565E9868" w14:textId="77777777" w:rsidR="0008709C" w:rsidRDefault="0008709C" w:rsidP="0008709C">
      <w:pPr>
        <w:ind w:left="426"/>
        <w:jc w:val="both"/>
      </w:pPr>
      <w:r>
        <w:t>ve věcech technických: vedoucí tepelného hospodářství</w:t>
      </w:r>
    </w:p>
    <w:p w14:paraId="7B7A1F13" w14:textId="77777777" w:rsidR="001F6146" w:rsidRDefault="001F6146" w:rsidP="001F6146">
      <w:pPr>
        <w:ind w:left="426"/>
        <w:jc w:val="both"/>
        <w:rPr>
          <w:b/>
          <w:bCs/>
        </w:rPr>
      </w:pPr>
      <w:r>
        <w:rPr>
          <w:b/>
          <w:bCs/>
        </w:rPr>
        <w:t>(dále jen ”dodavatel”)</w:t>
      </w:r>
    </w:p>
    <w:p w14:paraId="17072027" w14:textId="77777777" w:rsidR="001F6146" w:rsidRDefault="001F6146" w:rsidP="001F6146">
      <w:pPr>
        <w:ind w:left="426"/>
        <w:jc w:val="both"/>
      </w:pPr>
      <w:r>
        <w:t xml:space="preserve"> </w:t>
      </w:r>
    </w:p>
    <w:p w14:paraId="07694293" w14:textId="77777777" w:rsidR="001F6146" w:rsidRPr="005C55E8" w:rsidRDefault="001F6146" w:rsidP="001F6146">
      <w:pPr>
        <w:pStyle w:val="Odstavecseseznamem1"/>
        <w:numPr>
          <w:ilvl w:val="0"/>
          <w:numId w:val="6"/>
        </w:numPr>
        <w:spacing w:after="0" w:line="240" w:lineRule="auto"/>
        <w:ind w:left="426" w:hanging="426"/>
        <w:jc w:val="both"/>
        <w:rPr>
          <w:b/>
        </w:rPr>
      </w:pPr>
      <w:r w:rsidRPr="005C55E8">
        <w:rPr>
          <w:rFonts w:ascii="Times New Roman" w:hAnsi="Times New Roman" w:cs="Times New Roman"/>
          <w:b/>
          <w:bCs/>
        </w:rPr>
        <w:t>Město Český Těšín</w:t>
      </w:r>
    </w:p>
    <w:p w14:paraId="6C2BC30A" w14:textId="7B233B46" w:rsidR="001F6146" w:rsidRPr="00366072" w:rsidRDefault="001F6146" w:rsidP="001F6146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</w:t>
      </w:r>
      <w:r w:rsidR="00EE544B">
        <w:rPr>
          <w:rFonts w:ascii="Times New Roman" w:hAnsi="Times New Roman" w:cs="Times New Roman"/>
          <w:bCs/>
          <w:sz w:val="20"/>
          <w:szCs w:val="20"/>
        </w:rPr>
        <w:t>ídlo</w:t>
      </w:r>
      <w:r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EE544B">
        <w:rPr>
          <w:rFonts w:ascii="Times New Roman" w:hAnsi="Times New Roman" w:cs="Times New Roman"/>
          <w:bCs/>
          <w:sz w:val="20"/>
          <w:szCs w:val="20"/>
        </w:rPr>
        <w:t>n</w:t>
      </w:r>
      <w:r>
        <w:rPr>
          <w:rFonts w:ascii="Times New Roman" w:hAnsi="Times New Roman" w:cs="Times New Roman"/>
          <w:bCs/>
          <w:sz w:val="20"/>
          <w:szCs w:val="20"/>
        </w:rPr>
        <w:t>áměstí ČSA 1</w:t>
      </w:r>
      <w:r w:rsidR="00897EAC">
        <w:rPr>
          <w:rFonts w:ascii="Times New Roman" w:hAnsi="Times New Roman" w:cs="Times New Roman"/>
          <w:bCs/>
          <w:sz w:val="20"/>
          <w:szCs w:val="20"/>
        </w:rPr>
        <w:t>/1</w:t>
      </w:r>
      <w:r>
        <w:rPr>
          <w:rFonts w:ascii="Times New Roman" w:hAnsi="Times New Roman" w:cs="Times New Roman"/>
          <w:bCs/>
          <w:sz w:val="20"/>
          <w:szCs w:val="20"/>
        </w:rPr>
        <w:t xml:space="preserve">, Český Těšín </w:t>
      </w:r>
    </w:p>
    <w:p w14:paraId="65E634F7" w14:textId="45079921" w:rsidR="001F6146" w:rsidRPr="007006F6" w:rsidRDefault="001F6146" w:rsidP="001F6146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006F6">
        <w:rPr>
          <w:rFonts w:ascii="Times New Roman" w:hAnsi="Times New Roman" w:cs="Times New Roman"/>
          <w:sz w:val="20"/>
          <w:szCs w:val="20"/>
        </w:rPr>
        <w:t xml:space="preserve">zastoupená </w:t>
      </w:r>
      <w:r w:rsidR="00EE544B">
        <w:rPr>
          <w:rFonts w:ascii="Times New Roman" w:hAnsi="Times New Roman" w:cs="Times New Roman"/>
          <w:sz w:val="20"/>
          <w:szCs w:val="20"/>
        </w:rPr>
        <w:t xml:space="preserve">Mgr. </w:t>
      </w:r>
      <w:r w:rsidR="007006F6" w:rsidRPr="007006F6">
        <w:rPr>
          <w:rFonts w:ascii="Times New Roman" w:hAnsi="Times New Roman" w:cs="Times New Roman"/>
          <w:sz w:val="20"/>
          <w:szCs w:val="20"/>
        </w:rPr>
        <w:t>Gabrielou Hřebačkovou</w:t>
      </w:r>
      <w:r w:rsidR="00EE544B">
        <w:rPr>
          <w:rFonts w:ascii="Times New Roman" w:hAnsi="Times New Roman" w:cs="Times New Roman"/>
          <w:sz w:val="20"/>
          <w:szCs w:val="20"/>
        </w:rPr>
        <w:t>, starostkou města</w:t>
      </w:r>
    </w:p>
    <w:p w14:paraId="4B8ADBF2" w14:textId="0A277CE6" w:rsidR="001F6146" w:rsidRDefault="00EE544B" w:rsidP="001F6146">
      <w:pPr>
        <w:ind w:left="426"/>
      </w:pPr>
      <w:r>
        <w:t xml:space="preserve">ve věcech smluvních: </w:t>
      </w:r>
      <w:r w:rsidR="001F6146">
        <w:t xml:space="preserve">Ing. </w:t>
      </w:r>
      <w:r>
        <w:t xml:space="preserve">Karínou </w:t>
      </w:r>
      <w:proofErr w:type="spellStart"/>
      <w:r w:rsidR="001F6146">
        <w:t>Benatzk</w:t>
      </w:r>
      <w:r>
        <w:t>ou</w:t>
      </w:r>
      <w:proofErr w:type="spellEnd"/>
      <w:r>
        <w:t>, vedoucí odboru místního hospodářství</w:t>
      </w:r>
      <w:r w:rsidR="001F6146">
        <w:t xml:space="preserve">                          </w:t>
      </w:r>
    </w:p>
    <w:p w14:paraId="7D6EEC04" w14:textId="77777777" w:rsidR="001F6146" w:rsidRDefault="001F6146" w:rsidP="001F6146">
      <w:pPr>
        <w:ind w:left="426"/>
        <w:jc w:val="both"/>
      </w:pPr>
      <w:r>
        <w:t xml:space="preserve">IČ: 00297437 </w:t>
      </w:r>
    </w:p>
    <w:p w14:paraId="446FF242" w14:textId="4208EEBA" w:rsidR="00EE544B" w:rsidRDefault="00EE544B" w:rsidP="001F6146">
      <w:pPr>
        <w:ind w:left="426"/>
        <w:jc w:val="both"/>
      </w:pPr>
      <w:r>
        <w:t>DIČ: CZ00297437</w:t>
      </w:r>
    </w:p>
    <w:p w14:paraId="23615AD4" w14:textId="77777777" w:rsidR="001F6146" w:rsidRDefault="001F6146" w:rsidP="001F6146">
      <w:pPr>
        <w:ind w:left="426"/>
        <w:jc w:val="both"/>
      </w:pPr>
      <w:r>
        <w:t xml:space="preserve">bankovní spojení: Komerční banka, a.s. </w:t>
      </w:r>
    </w:p>
    <w:p w14:paraId="68E636C7" w14:textId="77777777" w:rsidR="001F6146" w:rsidRDefault="001F6146" w:rsidP="001F6146">
      <w:pPr>
        <w:ind w:left="426"/>
        <w:jc w:val="both"/>
      </w:pPr>
      <w:r>
        <w:t>č. účtu: 86-6000360257/0100</w:t>
      </w:r>
    </w:p>
    <w:p w14:paraId="62D0603C" w14:textId="7E67B66F" w:rsidR="001F6146" w:rsidRDefault="001F6146" w:rsidP="001F6146">
      <w:pPr>
        <w:ind w:left="426"/>
        <w:jc w:val="both"/>
      </w:pPr>
      <w:r>
        <w:t xml:space="preserve">telefonní spojení: </w:t>
      </w:r>
      <w:proofErr w:type="spellStart"/>
      <w:r w:rsidR="00E65B5C">
        <w:t>xxxxx</w:t>
      </w:r>
      <w:proofErr w:type="spellEnd"/>
    </w:p>
    <w:p w14:paraId="6F08C5DF" w14:textId="42C6CB43" w:rsidR="001F6146" w:rsidRDefault="001F6146" w:rsidP="001F6146">
      <w:pPr>
        <w:ind w:left="426"/>
        <w:jc w:val="both"/>
      </w:pPr>
      <w:r>
        <w:t xml:space="preserve">e-mail: </w:t>
      </w:r>
      <w:proofErr w:type="spellStart"/>
      <w:r w:rsidR="00E65B5C">
        <w:t>xxxxx</w:t>
      </w:r>
      <w:proofErr w:type="spellEnd"/>
    </w:p>
    <w:p w14:paraId="7D1FAA14" w14:textId="588E473F" w:rsidR="001F6146" w:rsidRPr="0008709C" w:rsidRDefault="001F6146" w:rsidP="0008709C">
      <w:pPr>
        <w:ind w:left="426"/>
        <w:jc w:val="both"/>
        <w:rPr>
          <w:b/>
          <w:bCs/>
        </w:rPr>
      </w:pPr>
      <w:r>
        <w:rPr>
          <w:b/>
          <w:bCs/>
        </w:rPr>
        <w:t>(dále jen ”odběratel”)</w:t>
      </w:r>
    </w:p>
    <w:p w14:paraId="42CCB04F" w14:textId="77777777" w:rsidR="001F6146" w:rsidRDefault="001F6146" w:rsidP="001F6146">
      <w:pPr>
        <w:jc w:val="both"/>
        <w:rPr>
          <w:b/>
          <w:bCs/>
          <w:sz w:val="24"/>
          <w:szCs w:val="24"/>
        </w:rPr>
      </w:pPr>
    </w:p>
    <w:p w14:paraId="2442261C" w14:textId="18BCC675" w:rsidR="0048447F" w:rsidRPr="001C2EED" w:rsidRDefault="0048447F" w:rsidP="0066273E">
      <w:pPr>
        <w:jc w:val="center"/>
        <w:rPr>
          <w:b/>
          <w:bCs/>
          <w:sz w:val="22"/>
          <w:szCs w:val="22"/>
        </w:rPr>
      </w:pPr>
      <w:r w:rsidRPr="001C2EED">
        <w:rPr>
          <w:b/>
          <w:bCs/>
          <w:sz w:val="22"/>
          <w:szCs w:val="22"/>
        </w:rPr>
        <w:t>I.</w:t>
      </w:r>
    </w:p>
    <w:p w14:paraId="703A469E" w14:textId="59978124" w:rsidR="004B0F9D" w:rsidRPr="001C2EED" w:rsidRDefault="0048447F" w:rsidP="00BC43C4">
      <w:pPr>
        <w:spacing w:after="120"/>
        <w:jc w:val="center"/>
        <w:rPr>
          <w:b/>
          <w:bCs/>
          <w:sz w:val="22"/>
          <w:szCs w:val="22"/>
        </w:rPr>
      </w:pPr>
      <w:r w:rsidRPr="001C2EED">
        <w:rPr>
          <w:b/>
          <w:bCs/>
          <w:sz w:val="22"/>
          <w:szCs w:val="22"/>
        </w:rPr>
        <w:t>Změna smlouvy</w:t>
      </w:r>
    </w:p>
    <w:p w14:paraId="135A9838" w14:textId="470BC465" w:rsidR="004B0F9D" w:rsidRPr="004B0F9D" w:rsidRDefault="0048447F" w:rsidP="004B0F9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Příloha č. 2 </w:t>
      </w:r>
      <w:r w:rsidR="004B0F9D" w:rsidRPr="004B0F9D">
        <w:rPr>
          <w:bCs/>
          <w:sz w:val="22"/>
          <w:szCs w:val="22"/>
        </w:rPr>
        <w:t>Smlouv</w:t>
      </w:r>
      <w:r>
        <w:rPr>
          <w:bCs/>
          <w:sz w:val="22"/>
          <w:szCs w:val="22"/>
        </w:rPr>
        <w:t>y</w:t>
      </w:r>
      <w:r w:rsidR="004B0F9D" w:rsidRPr="004B0F9D">
        <w:rPr>
          <w:bCs/>
          <w:sz w:val="22"/>
          <w:szCs w:val="22"/>
        </w:rPr>
        <w:t xml:space="preserve"> č. 7/2006 uzavřen</w:t>
      </w:r>
      <w:r>
        <w:rPr>
          <w:bCs/>
          <w:sz w:val="22"/>
          <w:szCs w:val="22"/>
        </w:rPr>
        <w:t>é</w:t>
      </w:r>
      <w:r w:rsidR="004B0F9D" w:rsidRPr="004B0F9D">
        <w:rPr>
          <w:bCs/>
          <w:sz w:val="22"/>
          <w:szCs w:val="22"/>
        </w:rPr>
        <w:t xml:space="preserve"> mezi uvedenými </w:t>
      </w:r>
      <w:r w:rsidR="004B0F9D">
        <w:rPr>
          <w:bCs/>
          <w:sz w:val="22"/>
          <w:szCs w:val="22"/>
        </w:rPr>
        <w:t xml:space="preserve">smluvními </w:t>
      </w:r>
      <w:r w:rsidR="004B0F9D" w:rsidRPr="004B0F9D">
        <w:rPr>
          <w:bCs/>
          <w:sz w:val="22"/>
          <w:szCs w:val="22"/>
        </w:rPr>
        <w:t xml:space="preserve">stranami dne </w:t>
      </w:r>
      <w:proofErr w:type="gramStart"/>
      <w:r w:rsidR="00BC43C4">
        <w:rPr>
          <w:bCs/>
          <w:sz w:val="22"/>
          <w:szCs w:val="22"/>
        </w:rPr>
        <w:t>0</w:t>
      </w:r>
      <w:r w:rsidR="004B0F9D" w:rsidRPr="004B0F9D">
        <w:rPr>
          <w:bCs/>
          <w:sz w:val="22"/>
          <w:szCs w:val="22"/>
        </w:rPr>
        <w:t>6.</w:t>
      </w:r>
      <w:r w:rsidR="00BC43C4">
        <w:rPr>
          <w:bCs/>
          <w:sz w:val="22"/>
          <w:szCs w:val="22"/>
        </w:rPr>
        <w:t>0</w:t>
      </w:r>
      <w:r w:rsidR="004B0F9D" w:rsidRPr="004B0F9D">
        <w:rPr>
          <w:bCs/>
          <w:sz w:val="22"/>
          <w:szCs w:val="22"/>
        </w:rPr>
        <w:t>9.2006</w:t>
      </w:r>
      <w:proofErr w:type="gramEnd"/>
      <w:r w:rsidR="004B0F9D" w:rsidRPr="004B0F9D">
        <w:rPr>
          <w:bCs/>
          <w:sz w:val="22"/>
          <w:szCs w:val="22"/>
        </w:rPr>
        <w:t>, ve znění Dodatku č.</w:t>
      </w:r>
      <w:r w:rsidR="00BC43C4">
        <w:rPr>
          <w:bCs/>
          <w:sz w:val="22"/>
          <w:szCs w:val="22"/>
        </w:rPr>
        <w:t xml:space="preserve"> </w:t>
      </w:r>
      <w:r w:rsidR="004B0F9D" w:rsidRPr="004B0F9D">
        <w:rPr>
          <w:bCs/>
          <w:sz w:val="22"/>
          <w:szCs w:val="22"/>
        </w:rPr>
        <w:t>1 ze dne 10.</w:t>
      </w:r>
      <w:r w:rsidR="00BC43C4">
        <w:rPr>
          <w:bCs/>
          <w:sz w:val="22"/>
          <w:szCs w:val="22"/>
        </w:rPr>
        <w:t>0</w:t>
      </w:r>
      <w:r w:rsidR="004B0F9D" w:rsidRPr="004B0F9D">
        <w:rPr>
          <w:bCs/>
          <w:sz w:val="22"/>
          <w:szCs w:val="22"/>
        </w:rPr>
        <w:t>2.2007, Dodatku č. 2 ze dne 10.</w:t>
      </w:r>
      <w:r w:rsidR="00BC43C4">
        <w:rPr>
          <w:bCs/>
          <w:sz w:val="22"/>
          <w:szCs w:val="22"/>
        </w:rPr>
        <w:t>0</w:t>
      </w:r>
      <w:r w:rsidR="004B0F9D" w:rsidRPr="004B0F9D">
        <w:rPr>
          <w:bCs/>
          <w:sz w:val="22"/>
          <w:szCs w:val="22"/>
        </w:rPr>
        <w:t>2.2008, Dodatku č. 3 ze dne 10.</w:t>
      </w:r>
      <w:r w:rsidR="00BC43C4">
        <w:rPr>
          <w:bCs/>
          <w:sz w:val="22"/>
          <w:szCs w:val="22"/>
        </w:rPr>
        <w:t>0</w:t>
      </w:r>
      <w:r w:rsidR="004B0F9D" w:rsidRPr="004B0F9D">
        <w:rPr>
          <w:bCs/>
          <w:sz w:val="22"/>
          <w:szCs w:val="22"/>
        </w:rPr>
        <w:t xml:space="preserve">2.2009, </w:t>
      </w:r>
      <w:r w:rsidR="00BC43C4">
        <w:rPr>
          <w:bCs/>
          <w:sz w:val="22"/>
          <w:szCs w:val="22"/>
        </w:rPr>
        <w:br/>
      </w:r>
      <w:r w:rsidR="004B0F9D" w:rsidRPr="004B0F9D">
        <w:rPr>
          <w:bCs/>
          <w:sz w:val="22"/>
          <w:szCs w:val="22"/>
        </w:rPr>
        <w:t>Dodatku č. 4 ze dne 10.</w:t>
      </w:r>
      <w:r w:rsidR="00BC43C4">
        <w:rPr>
          <w:bCs/>
          <w:sz w:val="22"/>
          <w:szCs w:val="22"/>
        </w:rPr>
        <w:t>0</w:t>
      </w:r>
      <w:r w:rsidR="004B0F9D" w:rsidRPr="004B0F9D">
        <w:rPr>
          <w:bCs/>
          <w:sz w:val="22"/>
          <w:szCs w:val="22"/>
        </w:rPr>
        <w:t>2.2010, Dodatku č. 5 ze dne 11.</w:t>
      </w:r>
      <w:r w:rsidR="00BC43C4">
        <w:rPr>
          <w:bCs/>
          <w:sz w:val="22"/>
          <w:szCs w:val="22"/>
        </w:rPr>
        <w:t>0</w:t>
      </w:r>
      <w:r w:rsidR="004B0F9D" w:rsidRPr="004B0F9D">
        <w:rPr>
          <w:bCs/>
          <w:sz w:val="22"/>
          <w:szCs w:val="22"/>
        </w:rPr>
        <w:t>4.2011, Dodatku č. 6 ze dne 10.</w:t>
      </w:r>
      <w:r w:rsidR="00BC43C4">
        <w:rPr>
          <w:bCs/>
          <w:sz w:val="22"/>
          <w:szCs w:val="22"/>
        </w:rPr>
        <w:t>0</w:t>
      </w:r>
      <w:r w:rsidR="004B0F9D" w:rsidRPr="004B0F9D">
        <w:rPr>
          <w:bCs/>
          <w:sz w:val="22"/>
          <w:szCs w:val="22"/>
        </w:rPr>
        <w:t xml:space="preserve">2.2012, </w:t>
      </w:r>
      <w:r w:rsidR="00BC43C4">
        <w:rPr>
          <w:bCs/>
          <w:sz w:val="22"/>
          <w:szCs w:val="22"/>
        </w:rPr>
        <w:br/>
      </w:r>
      <w:r w:rsidR="004B0F9D" w:rsidRPr="004B0F9D">
        <w:rPr>
          <w:bCs/>
          <w:sz w:val="22"/>
          <w:szCs w:val="22"/>
        </w:rPr>
        <w:t>Dodatku č. 7 ze dne 11.</w:t>
      </w:r>
      <w:r w:rsidR="00BC43C4">
        <w:rPr>
          <w:bCs/>
          <w:sz w:val="22"/>
          <w:szCs w:val="22"/>
        </w:rPr>
        <w:t>0</w:t>
      </w:r>
      <w:r w:rsidR="004B0F9D" w:rsidRPr="004B0F9D">
        <w:rPr>
          <w:bCs/>
          <w:sz w:val="22"/>
          <w:szCs w:val="22"/>
        </w:rPr>
        <w:t xml:space="preserve">2.2013, Dodatku č. 8 ze dne </w:t>
      </w:r>
      <w:r w:rsidR="00BC43C4">
        <w:rPr>
          <w:bCs/>
          <w:sz w:val="22"/>
          <w:szCs w:val="22"/>
        </w:rPr>
        <w:t>0</w:t>
      </w:r>
      <w:r w:rsidR="004B0F9D" w:rsidRPr="004B0F9D">
        <w:rPr>
          <w:bCs/>
          <w:sz w:val="22"/>
          <w:szCs w:val="22"/>
        </w:rPr>
        <w:t>1.</w:t>
      </w:r>
      <w:r w:rsidR="00BC43C4">
        <w:rPr>
          <w:bCs/>
          <w:sz w:val="22"/>
          <w:szCs w:val="22"/>
        </w:rPr>
        <w:t>0</w:t>
      </w:r>
      <w:r w:rsidR="004B0F9D" w:rsidRPr="004B0F9D">
        <w:rPr>
          <w:bCs/>
          <w:sz w:val="22"/>
          <w:szCs w:val="22"/>
        </w:rPr>
        <w:t>2.2014, Dodatku č. 9 ze dne 11.</w:t>
      </w:r>
      <w:r w:rsidR="00BC43C4">
        <w:rPr>
          <w:bCs/>
          <w:sz w:val="22"/>
          <w:szCs w:val="22"/>
        </w:rPr>
        <w:t>0</w:t>
      </w:r>
      <w:r w:rsidR="004B0F9D" w:rsidRPr="004B0F9D">
        <w:rPr>
          <w:bCs/>
          <w:sz w:val="22"/>
          <w:szCs w:val="22"/>
        </w:rPr>
        <w:t xml:space="preserve">2.2015, </w:t>
      </w:r>
      <w:r w:rsidR="00BC43C4">
        <w:rPr>
          <w:bCs/>
          <w:sz w:val="22"/>
          <w:szCs w:val="22"/>
        </w:rPr>
        <w:br/>
      </w:r>
      <w:r w:rsidR="004B0F9D" w:rsidRPr="004B0F9D">
        <w:rPr>
          <w:bCs/>
          <w:sz w:val="22"/>
          <w:szCs w:val="22"/>
        </w:rPr>
        <w:t>Dodatku č. 1</w:t>
      </w:r>
      <w:r w:rsidR="004A245F">
        <w:rPr>
          <w:bCs/>
          <w:sz w:val="22"/>
          <w:szCs w:val="22"/>
        </w:rPr>
        <w:t>0</w:t>
      </w:r>
      <w:r w:rsidR="004B0F9D" w:rsidRPr="004B0F9D">
        <w:rPr>
          <w:bCs/>
          <w:sz w:val="22"/>
          <w:szCs w:val="22"/>
        </w:rPr>
        <w:t xml:space="preserve"> ze dne </w:t>
      </w:r>
      <w:r w:rsidR="00BC43C4">
        <w:rPr>
          <w:bCs/>
          <w:sz w:val="22"/>
          <w:szCs w:val="22"/>
        </w:rPr>
        <w:t>0</w:t>
      </w:r>
      <w:r w:rsidR="004B0F9D" w:rsidRPr="004B0F9D">
        <w:rPr>
          <w:bCs/>
          <w:sz w:val="22"/>
          <w:szCs w:val="22"/>
        </w:rPr>
        <w:t>9.</w:t>
      </w:r>
      <w:r w:rsidR="00BC43C4">
        <w:rPr>
          <w:bCs/>
          <w:sz w:val="22"/>
          <w:szCs w:val="22"/>
        </w:rPr>
        <w:t>0</w:t>
      </w:r>
      <w:r w:rsidR="004B0F9D" w:rsidRPr="004B0F9D">
        <w:rPr>
          <w:bCs/>
          <w:sz w:val="22"/>
          <w:szCs w:val="22"/>
        </w:rPr>
        <w:t>2.2016, Dodatku č. 11 ze dne 10.</w:t>
      </w:r>
      <w:r w:rsidR="00BC43C4">
        <w:rPr>
          <w:bCs/>
          <w:sz w:val="22"/>
          <w:szCs w:val="22"/>
        </w:rPr>
        <w:t>0</w:t>
      </w:r>
      <w:r w:rsidR="004B0F9D" w:rsidRPr="004B0F9D">
        <w:rPr>
          <w:bCs/>
          <w:sz w:val="22"/>
          <w:szCs w:val="22"/>
        </w:rPr>
        <w:t>2.2017, Dodatku č. 12 ze dne 16.</w:t>
      </w:r>
      <w:r w:rsidR="00BC43C4">
        <w:rPr>
          <w:bCs/>
          <w:sz w:val="22"/>
          <w:szCs w:val="22"/>
        </w:rPr>
        <w:t>0</w:t>
      </w:r>
      <w:r w:rsidR="004B0F9D" w:rsidRPr="004B0F9D">
        <w:rPr>
          <w:bCs/>
          <w:sz w:val="22"/>
          <w:szCs w:val="22"/>
        </w:rPr>
        <w:t xml:space="preserve">3.2018, Dodatku č. 13 ze dne </w:t>
      </w:r>
      <w:r w:rsidR="00BC43C4">
        <w:rPr>
          <w:bCs/>
          <w:sz w:val="22"/>
          <w:szCs w:val="22"/>
        </w:rPr>
        <w:t>0</w:t>
      </w:r>
      <w:r w:rsidR="004B0F9D" w:rsidRPr="004B0F9D">
        <w:rPr>
          <w:bCs/>
          <w:sz w:val="22"/>
          <w:szCs w:val="22"/>
        </w:rPr>
        <w:t>5.</w:t>
      </w:r>
      <w:r w:rsidR="00BC43C4">
        <w:rPr>
          <w:bCs/>
          <w:sz w:val="22"/>
          <w:szCs w:val="22"/>
        </w:rPr>
        <w:t>0</w:t>
      </w:r>
      <w:r w:rsidR="004B0F9D" w:rsidRPr="004B0F9D">
        <w:rPr>
          <w:bCs/>
          <w:sz w:val="22"/>
          <w:szCs w:val="22"/>
        </w:rPr>
        <w:t>3.2019</w:t>
      </w:r>
      <w:r w:rsidR="00897EAC">
        <w:rPr>
          <w:bCs/>
          <w:sz w:val="22"/>
          <w:szCs w:val="22"/>
        </w:rPr>
        <w:t>,</w:t>
      </w:r>
      <w:r w:rsidR="004B0F9D" w:rsidRPr="004B0F9D">
        <w:rPr>
          <w:bCs/>
          <w:sz w:val="22"/>
          <w:szCs w:val="22"/>
        </w:rPr>
        <w:t xml:space="preserve"> Dodatku č. 14 ze dne 30.03.2020, </w:t>
      </w:r>
      <w:r w:rsidR="00897EAC">
        <w:rPr>
          <w:bCs/>
          <w:sz w:val="22"/>
          <w:szCs w:val="22"/>
        </w:rPr>
        <w:t xml:space="preserve">Dodatku č. 15 ze dne 29.03.2021 a Dodatku č. 16 ze dne 29.07.2021, </w:t>
      </w:r>
      <w:r w:rsidR="004B0F9D" w:rsidRPr="004B0F9D">
        <w:rPr>
          <w:bCs/>
          <w:sz w:val="22"/>
          <w:szCs w:val="22"/>
        </w:rPr>
        <w:t>se mění takto:</w:t>
      </w:r>
    </w:p>
    <w:p w14:paraId="06615700" w14:textId="77777777" w:rsidR="004B0F9D" w:rsidRPr="00D6001F" w:rsidRDefault="004B0F9D" w:rsidP="001F6146">
      <w:pPr>
        <w:jc w:val="both"/>
        <w:rPr>
          <w:b/>
          <w:bCs/>
          <w:sz w:val="24"/>
          <w:szCs w:val="24"/>
        </w:rPr>
      </w:pPr>
    </w:p>
    <w:p w14:paraId="4194A808" w14:textId="7882FAC3" w:rsidR="001F6146" w:rsidRPr="001C2EED" w:rsidRDefault="001F6146" w:rsidP="001F6146">
      <w:pPr>
        <w:ind w:left="284"/>
        <w:jc w:val="center"/>
        <w:rPr>
          <w:b/>
          <w:bCs/>
          <w:sz w:val="22"/>
          <w:szCs w:val="22"/>
        </w:rPr>
      </w:pPr>
      <w:r w:rsidRPr="001C2EED">
        <w:rPr>
          <w:b/>
          <w:bCs/>
          <w:sz w:val="22"/>
          <w:szCs w:val="22"/>
        </w:rPr>
        <w:t>I</w:t>
      </w:r>
      <w:r w:rsidR="0048447F" w:rsidRPr="001C2EED">
        <w:rPr>
          <w:b/>
          <w:bCs/>
          <w:sz w:val="22"/>
          <w:szCs w:val="22"/>
        </w:rPr>
        <w:t>I</w:t>
      </w:r>
      <w:r w:rsidRPr="001C2EED">
        <w:rPr>
          <w:b/>
          <w:bCs/>
          <w:sz w:val="22"/>
          <w:szCs w:val="22"/>
        </w:rPr>
        <w:t>.</w:t>
      </w:r>
    </w:p>
    <w:p w14:paraId="46BD15E7" w14:textId="77777777" w:rsidR="00897EAC" w:rsidRPr="001C2EED" w:rsidRDefault="00897EAC" w:rsidP="00BC43C4">
      <w:pPr>
        <w:spacing w:after="120"/>
        <w:ind w:left="284"/>
        <w:jc w:val="center"/>
        <w:rPr>
          <w:b/>
          <w:bCs/>
          <w:sz w:val="22"/>
          <w:szCs w:val="22"/>
        </w:rPr>
      </w:pPr>
      <w:r w:rsidRPr="001C2EED">
        <w:rPr>
          <w:b/>
          <w:bCs/>
          <w:sz w:val="22"/>
          <w:szCs w:val="22"/>
        </w:rPr>
        <w:t>Cena tepelné energie</w:t>
      </w:r>
    </w:p>
    <w:p w14:paraId="56D48775" w14:textId="77777777" w:rsidR="00897EAC" w:rsidRDefault="00897EAC" w:rsidP="00897EAC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tepelné energie je tvořena v souladu se zákonem č. 526/1990 Sb., o cenách, ve znění pozdějších předpisů, s </w:t>
      </w:r>
      <w:r w:rsidRPr="00DC1FDF">
        <w:rPr>
          <w:rFonts w:ascii="Times New Roman" w:hAnsi="Times New Roman" w:cs="Times New Roman"/>
        </w:rPr>
        <w:t>prováděcí vyhláškou č. 450/2009 Sb., ve znění</w:t>
      </w:r>
      <w:r>
        <w:rPr>
          <w:rFonts w:ascii="Times New Roman" w:hAnsi="Times New Roman" w:cs="Times New Roman"/>
        </w:rPr>
        <w:t xml:space="preserve"> pozdějších předpisů, a v souladu s platnými cenovými rozhodnutími Energetického regulačního úřadu.</w:t>
      </w:r>
    </w:p>
    <w:p w14:paraId="325D65B4" w14:textId="77777777" w:rsidR="00897EAC" w:rsidRDefault="00897EAC" w:rsidP="00897EAC">
      <w:pPr>
        <w:ind w:left="426" w:hanging="426"/>
        <w:jc w:val="both"/>
        <w:rPr>
          <w:sz w:val="10"/>
          <w:szCs w:val="10"/>
        </w:rPr>
      </w:pPr>
    </w:p>
    <w:p w14:paraId="441367D5" w14:textId="77777777" w:rsidR="00897EAC" w:rsidRDefault="00897EAC" w:rsidP="00897EAC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Předběžná kalkulovaná cena za tepelnou energii včetně plánovaného odběru tepelné energie a studené vody za kalendářní rok 2022.</w:t>
      </w:r>
    </w:p>
    <w:p w14:paraId="37832E1F" w14:textId="77777777" w:rsidR="00897EAC" w:rsidRPr="00960128" w:rsidRDefault="00897EAC" w:rsidP="00897EAC">
      <w:pPr>
        <w:pStyle w:val="Odstavecseseznamem1"/>
        <w:ind w:left="0"/>
        <w:rPr>
          <w:rFonts w:ascii="Times New Roman" w:hAnsi="Times New Roman" w:cs="Times New Roman"/>
          <w:sz w:val="4"/>
          <w:szCs w:val="4"/>
        </w:rPr>
      </w:pPr>
    </w:p>
    <w:tbl>
      <w:tblPr>
        <w:tblW w:w="881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4"/>
        <w:gridCol w:w="2126"/>
        <w:gridCol w:w="2127"/>
      </w:tblGrid>
      <w:tr w:rsidR="00897EAC" w:rsidRPr="006F5CAC" w14:paraId="643DA615" w14:textId="77777777" w:rsidTr="00B25179">
        <w:tc>
          <w:tcPr>
            <w:tcW w:w="4564" w:type="dxa"/>
          </w:tcPr>
          <w:p w14:paraId="3E8D29A3" w14:textId="77777777" w:rsidR="00897EAC" w:rsidRPr="006F5CAC" w:rsidRDefault="00897EAC" w:rsidP="00B25179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</w:rPr>
            </w:pPr>
            <w:r w:rsidRPr="006F5CAC">
              <w:rPr>
                <w:rFonts w:ascii="Times New Roman" w:hAnsi="Times New Roman" w:cs="Times New Roman"/>
                <w:b/>
                <w:bCs/>
              </w:rPr>
              <w:t>Text</w:t>
            </w:r>
          </w:p>
        </w:tc>
        <w:tc>
          <w:tcPr>
            <w:tcW w:w="2126" w:type="dxa"/>
          </w:tcPr>
          <w:p w14:paraId="48832BE7" w14:textId="77777777" w:rsidR="00897EAC" w:rsidRPr="006F5CAC" w:rsidRDefault="00897EAC" w:rsidP="00B25179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5CAC">
              <w:rPr>
                <w:rFonts w:ascii="Times New Roman" w:hAnsi="Times New Roman" w:cs="Times New Roman"/>
                <w:b/>
                <w:bCs/>
              </w:rPr>
              <w:t>ÚT</w:t>
            </w:r>
          </w:p>
        </w:tc>
        <w:tc>
          <w:tcPr>
            <w:tcW w:w="2127" w:type="dxa"/>
          </w:tcPr>
          <w:p w14:paraId="6B382704" w14:textId="77777777" w:rsidR="00897EAC" w:rsidRPr="006F5CAC" w:rsidRDefault="00897EAC" w:rsidP="00B25179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5CAC">
              <w:rPr>
                <w:rFonts w:ascii="Times New Roman" w:hAnsi="Times New Roman" w:cs="Times New Roman"/>
                <w:b/>
                <w:bCs/>
              </w:rPr>
              <w:t>TV</w:t>
            </w:r>
          </w:p>
        </w:tc>
      </w:tr>
      <w:tr w:rsidR="00897EAC" w:rsidRPr="006F5CAC" w14:paraId="6CD68581" w14:textId="77777777" w:rsidTr="00B25179">
        <w:tc>
          <w:tcPr>
            <w:tcW w:w="4564" w:type="dxa"/>
          </w:tcPr>
          <w:p w14:paraId="2C19678B" w14:textId="77777777" w:rsidR="00897EAC" w:rsidRPr="006F5CAC" w:rsidRDefault="00897EAC" w:rsidP="00B25179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6F5CAC">
              <w:rPr>
                <w:rFonts w:ascii="Times New Roman" w:hAnsi="Times New Roman" w:cs="Times New Roman"/>
              </w:rPr>
              <w:t>Cenové ujednání (bez DPH)</w:t>
            </w:r>
          </w:p>
        </w:tc>
        <w:tc>
          <w:tcPr>
            <w:tcW w:w="2126" w:type="dxa"/>
          </w:tcPr>
          <w:p w14:paraId="65A61942" w14:textId="77777777" w:rsidR="00897EAC" w:rsidRPr="005A419B" w:rsidRDefault="00897EAC" w:rsidP="00B25179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</w:t>
            </w:r>
            <w:r w:rsidRPr="005A41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</w:t>
            </w:r>
            <w:r w:rsidRPr="005A419B">
              <w:rPr>
                <w:rFonts w:ascii="Times New Roman" w:hAnsi="Times New Roman" w:cs="Times New Roman"/>
              </w:rPr>
              <w:t xml:space="preserve"> Kč/GJ</w:t>
            </w:r>
          </w:p>
        </w:tc>
        <w:tc>
          <w:tcPr>
            <w:tcW w:w="2127" w:type="dxa"/>
          </w:tcPr>
          <w:p w14:paraId="3023EA0B" w14:textId="77777777" w:rsidR="00897EAC" w:rsidRPr="005A419B" w:rsidRDefault="00897EAC" w:rsidP="00B25179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</w:t>
            </w:r>
            <w:r w:rsidRPr="005A41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</w:t>
            </w:r>
            <w:r w:rsidRPr="005A419B">
              <w:rPr>
                <w:rFonts w:ascii="Times New Roman" w:hAnsi="Times New Roman" w:cs="Times New Roman"/>
              </w:rPr>
              <w:t xml:space="preserve"> Kč/GJ</w:t>
            </w:r>
          </w:p>
        </w:tc>
      </w:tr>
      <w:tr w:rsidR="00897EAC" w:rsidRPr="006F5CAC" w14:paraId="3283EB41" w14:textId="77777777" w:rsidTr="00B25179">
        <w:tc>
          <w:tcPr>
            <w:tcW w:w="4564" w:type="dxa"/>
          </w:tcPr>
          <w:p w14:paraId="7CCC9A13" w14:textId="77777777" w:rsidR="00897EAC" w:rsidRPr="006F5CAC" w:rsidRDefault="00897EAC" w:rsidP="00B25179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6F5CAC">
              <w:rPr>
                <w:rFonts w:ascii="Times New Roman" w:hAnsi="Times New Roman" w:cs="Times New Roman"/>
              </w:rPr>
              <w:t>Cenové ujednání (s DPH)</w:t>
            </w:r>
          </w:p>
        </w:tc>
        <w:tc>
          <w:tcPr>
            <w:tcW w:w="2126" w:type="dxa"/>
          </w:tcPr>
          <w:p w14:paraId="503FC09D" w14:textId="77777777" w:rsidR="00897EAC" w:rsidRPr="005A419B" w:rsidRDefault="00897EAC" w:rsidP="00B25179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  <w:r w:rsidRPr="005A41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82</w:t>
            </w:r>
            <w:r w:rsidRPr="005A419B">
              <w:rPr>
                <w:rFonts w:ascii="Times New Roman" w:hAnsi="Times New Roman" w:cs="Times New Roman"/>
              </w:rPr>
              <w:t xml:space="preserve"> Kč/GJ</w:t>
            </w:r>
          </w:p>
        </w:tc>
        <w:tc>
          <w:tcPr>
            <w:tcW w:w="2127" w:type="dxa"/>
          </w:tcPr>
          <w:p w14:paraId="38CD2EA9" w14:textId="77777777" w:rsidR="00897EAC" w:rsidRPr="005A419B" w:rsidRDefault="00897EAC" w:rsidP="00B25179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  <w:r w:rsidRPr="005A41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82</w:t>
            </w:r>
            <w:r w:rsidRPr="005A419B">
              <w:rPr>
                <w:rFonts w:ascii="Times New Roman" w:hAnsi="Times New Roman" w:cs="Times New Roman"/>
              </w:rPr>
              <w:t xml:space="preserve"> Kč/GJ</w:t>
            </w:r>
          </w:p>
        </w:tc>
      </w:tr>
      <w:tr w:rsidR="00897EAC" w:rsidRPr="006F5CAC" w14:paraId="5927FB2A" w14:textId="77777777" w:rsidTr="00B25179">
        <w:tc>
          <w:tcPr>
            <w:tcW w:w="4564" w:type="dxa"/>
          </w:tcPr>
          <w:p w14:paraId="09E4D8A2" w14:textId="77777777" w:rsidR="00897EAC" w:rsidRPr="006F5CAC" w:rsidRDefault="00897EAC" w:rsidP="00B25179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6F5CAC">
              <w:rPr>
                <w:rFonts w:ascii="Times New Roman" w:hAnsi="Times New Roman" w:cs="Times New Roman"/>
              </w:rPr>
              <w:t>Předpokládaná spotřeba v GJ /rok</w:t>
            </w:r>
          </w:p>
        </w:tc>
        <w:tc>
          <w:tcPr>
            <w:tcW w:w="2126" w:type="dxa"/>
          </w:tcPr>
          <w:p w14:paraId="2B578549" w14:textId="77777777" w:rsidR="00897EAC" w:rsidRPr="003106A5" w:rsidRDefault="00897EAC" w:rsidP="00B25179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2 207</w:t>
            </w:r>
            <w:r w:rsidRPr="003106A5">
              <w:rPr>
                <w:rFonts w:ascii="Times New Roman" w:hAnsi="Times New Roman" w:cs="Times New Roman"/>
              </w:rPr>
              <w:t xml:space="preserve"> GJ/rok</w:t>
            </w:r>
          </w:p>
        </w:tc>
        <w:tc>
          <w:tcPr>
            <w:tcW w:w="2127" w:type="dxa"/>
          </w:tcPr>
          <w:p w14:paraId="57A11178" w14:textId="77777777" w:rsidR="00897EAC" w:rsidRPr="003106A5" w:rsidRDefault="00897EAC" w:rsidP="00B25179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1 001</w:t>
            </w:r>
            <w:r w:rsidRPr="003106A5">
              <w:rPr>
                <w:rFonts w:ascii="Times New Roman" w:hAnsi="Times New Roman" w:cs="Times New Roman"/>
              </w:rPr>
              <w:t xml:space="preserve"> GJ/rok</w:t>
            </w:r>
          </w:p>
        </w:tc>
      </w:tr>
      <w:tr w:rsidR="00897EAC" w:rsidRPr="006F5CAC" w14:paraId="6D675986" w14:textId="77777777" w:rsidTr="00B25179">
        <w:tc>
          <w:tcPr>
            <w:tcW w:w="4564" w:type="dxa"/>
          </w:tcPr>
          <w:p w14:paraId="6DDB5A8A" w14:textId="77777777" w:rsidR="00897EAC" w:rsidRPr="00A60783" w:rsidRDefault="00897EAC" w:rsidP="00B25179">
            <w:pPr>
              <w:pStyle w:val="Odstavecseseznamem1"/>
              <w:spacing w:after="0" w:line="240" w:lineRule="auto"/>
              <w:ind w:left="426" w:hanging="426"/>
              <w:rPr>
                <w:rFonts w:ascii="Times New Roman" w:hAnsi="Times New Roman" w:cs="Times New Roman"/>
                <w:vertAlign w:val="superscript"/>
              </w:rPr>
            </w:pPr>
            <w:r w:rsidRPr="006F5CAC">
              <w:rPr>
                <w:rFonts w:ascii="Times New Roman" w:hAnsi="Times New Roman" w:cs="Times New Roman"/>
              </w:rPr>
              <w:t>Předpokládaná spotřeba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5CAC">
              <w:rPr>
                <w:rFonts w:ascii="Times New Roman" w:hAnsi="Times New Roman" w:cs="Times New Roman"/>
              </w:rPr>
              <w:t>vody v</w:t>
            </w:r>
            <w:r>
              <w:rPr>
                <w:rFonts w:ascii="Times New Roman" w:hAnsi="Times New Roman" w:cs="Times New Roman"/>
              </w:rPr>
              <w:t xml:space="preserve"> poměrových </w:t>
            </w:r>
            <w:r w:rsidRPr="006F5CAC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</w:tcPr>
          <w:p w14:paraId="132D49A3" w14:textId="77777777" w:rsidR="00897EAC" w:rsidRPr="003106A5" w:rsidRDefault="00897EAC" w:rsidP="00B25179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3106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7" w:type="dxa"/>
          </w:tcPr>
          <w:p w14:paraId="4B6E9C19" w14:textId="6DC76F92" w:rsidR="00897EAC" w:rsidRPr="003106A5" w:rsidRDefault="00897EAC" w:rsidP="00897EAC">
            <w:pPr>
              <w:pStyle w:val="Odstavecseseznamem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Pr="003106A5">
              <w:rPr>
                <w:rFonts w:ascii="Times New Roman" w:hAnsi="Times New Roman" w:cs="Times New Roman"/>
              </w:rPr>
              <w:t xml:space="preserve"> m</w:t>
            </w:r>
            <w:r w:rsidRPr="003106A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14:paraId="30E25FD8" w14:textId="77777777" w:rsidR="00897EAC" w:rsidRDefault="00897EAC" w:rsidP="00897EAC">
      <w:pPr>
        <w:pStyle w:val="Odstavecseseznamem"/>
        <w:ind w:left="425" w:hanging="425"/>
        <w:jc w:val="both"/>
        <w:rPr>
          <w:vanish/>
          <w:sz w:val="22"/>
          <w:szCs w:val="22"/>
        </w:rPr>
      </w:pPr>
    </w:p>
    <w:p w14:paraId="108AFBD8" w14:textId="5CD2B89D" w:rsidR="00897EAC" w:rsidRDefault="00897EAC" w:rsidP="00897EAC">
      <w:pPr>
        <w:pStyle w:val="Odstavecseseznamem1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Budou-li smluvní strany v prodlení jakéhokoliv peněžitého závazku, budou postupovat v souladu s platným nařízením vlády č. 351/2013 Sb.</w:t>
      </w:r>
    </w:p>
    <w:p w14:paraId="3EEC4BBC" w14:textId="77777777" w:rsidR="00897EAC" w:rsidRPr="00AD07F4" w:rsidRDefault="00897EAC" w:rsidP="00897EAC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0A2242F7" w14:textId="148261F6" w:rsidR="00897EAC" w:rsidRPr="00AD07F4" w:rsidRDefault="00897EAC" w:rsidP="00897EAC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Dodávka tepelné energie je během zúčtovacího období, tj. kalendářní rok, hrazena formou záloh s tím, že splátkový kalendář, a tím i</w:t>
      </w:r>
      <w:r w:rsidR="004A245F">
        <w:rPr>
          <w:rFonts w:ascii="Times New Roman" w:hAnsi="Times New Roman" w:cs="Times New Roman"/>
        </w:rPr>
        <w:t xml:space="preserve"> výše záloh je uvedena v čl. III</w:t>
      </w:r>
      <w:r>
        <w:rPr>
          <w:rFonts w:ascii="Times New Roman" w:hAnsi="Times New Roman" w:cs="Times New Roman"/>
        </w:rPr>
        <w:t>. tohoto ”Cenového ujednání”.</w:t>
      </w:r>
    </w:p>
    <w:p w14:paraId="5F6FC523" w14:textId="77777777" w:rsidR="00897EAC" w:rsidRPr="003C1B2E" w:rsidRDefault="00897EAC" w:rsidP="00897EAC">
      <w:pPr>
        <w:jc w:val="center"/>
        <w:rPr>
          <w:b/>
          <w:bCs/>
        </w:rPr>
      </w:pPr>
    </w:p>
    <w:p w14:paraId="51319C17" w14:textId="77777777" w:rsidR="001F6146" w:rsidRPr="003C1B2E" w:rsidRDefault="001F6146" w:rsidP="001F6146">
      <w:pPr>
        <w:jc w:val="center"/>
        <w:rPr>
          <w:b/>
          <w:bCs/>
        </w:rPr>
      </w:pPr>
    </w:p>
    <w:p w14:paraId="74E94DE7" w14:textId="77777777" w:rsidR="00BC43C4" w:rsidRPr="001C2EED" w:rsidRDefault="001F6146" w:rsidP="00897EAC">
      <w:pPr>
        <w:jc w:val="center"/>
        <w:rPr>
          <w:b/>
          <w:bCs/>
          <w:sz w:val="22"/>
          <w:szCs w:val="22"/>
        </w:rPr>
      </w:pPr>
      <w:r w:rsidRPr="001C2EED">
        <w:rPr>
          <w:b/>
          <w:bCs/>
          <w:sz w:val="22"/>
          <w:szCs w:val="22"/>
        </w:rPr>
        <w:t>II</w:t>
      </w:r>
      <w:r w:rsidR="0048447F" w:rsidRPr="001C2EED">
        <w:rPr>
          <w:b/>
          <w:bCs/>
          <w:sz w:val="22"/>
          <w:szCs w:val="22"/>
        </w:rPr>
        <w:t>I</w:t>
      </w:r>
      <w:r w:rsidRPr="001C2EED">
        <w:rPr>
          <w:b/>
          <w:bCs/>
          <w:sz w:val="22"/>
          <w:szCs w:val="22"/>
        </w:rPr>
        <w:t xml:space="preserve">. </w:t>
      </w:r>
      <w:r w:rsidR="00897EAC" w:rsidRPr="001C2EED">
        <w:rPr>
          <w:b/>
          <w:bCs/>
          <w:sz w:val="22"/>
          <w:szCs w:val="22"/>
        </w:rPr>
        <w:t xml:space="preserve"> </w:t>
      </w:r>
    </w:p>
    <w:p w14:paraId="664E7508" w14:textId="355E93D3" w:rsidR="00897EAC" w:rsidRPr="001C2EED" w:rsidRDefault="00897EAC" w:rsidP="001C2EED">
      <w:pPr>
        <w:spacing w:after="120"/>
        <w:jc w:val="center"/>
        <w:rPr>
          <w:b/>
          <w:bCs/>
          <w:sz w:val="22"/>
          <w:szCs w:val="22"/>
        </w:rPr>
      </w:pPr>
      <w:r w:rsidRPr="001C2EED">
        <w:rPr>
          <w:b/>
          <w:bCs/>
          <w:sz w:val="22"/>
          <w:szCs w:val="22"/>
        </w:rPr>
        <w:t>Dohoda o zálohách</w:t>
      </w:r>
    </w:p>
    <w:p w14:paraId="1473371B" w14:textId="77777777" w:rsidR="00897EAC" w:rsidRDefault="00897EAC" w:rsidP="00897EAC">
      <w:pPr>
        <w:jc w:val="both"/>
        <w:rPr>
          <w:sz w:val="22"/>
          <w:szCs w:val="22"/>
        </w:rPr>
      </w:pPr>
      <w:r>
        <w:rPr>
          <w:sz w:val="22"/>
          <w:szCs w:val="22"/>
        </w:rPr>
        <w:t>Návrh dohody o měsíčních zálohách, kde zúčtovacím obdobím je jeden kalendářní rok.</w:t>
      </w:r>
    </w:p>
    <w:p w14:paraId="2315D3C3" w14:textId="77777777" w:rsidR="00897EAC" w:rsidRDefault="00897EAC" w:rsidP="00897EAC">
      <w:pPr>
        <w:ind w:firstLine="284"/>
        <w:jc w:val="both"/>
        <w:rPr>
          <w:sz w:val="10"/>
          <w:szCs w:val="10"/>
        </w:rPr>
      </w:pPr>
    </w:p>
    <w:p w14:paraId="1769A839" w14:textId="77777777" w:rsidR="00897EAC" w:rsidRDefault="00897EAC" w:rsidP="00897EAC">
      <w:pPr>
        <w:pStyle w:val="Odstavecseseznamem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odběratel dodavateli bude poskytovat dílčí platby ročního plnění za dodávku tepelné energie ve formě měsíčních záloh.</w:t>
      </w:r>
    </w:p>
    <w:p w14:paraId="4B675804" w14:textId="77777777" w:rsidR="00897EAC" w:rsidRDefault="00897EAC" w:rsidP="00897EAC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Zálohy jsou stanoveny dle vyhlášky č. 269/2015 Sb., Ministerstva pro místní rozvoj ze dne 30. září 2015, vycházející z průměrných hodnot celkových nákladů na vytápění a na dodávku TV na jednotlivé měsíce během roku. </w:t>
      </w:r>
    </w:p>
    <w:p w14:paraId="56A86BF7" w14:textId="77777777" w:rsidR="00897EAC" w:rsidRDefault="00897EAC" w:rsidP="00897EAC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1642CCC2" w14:textId="77777777" w:rsidR="00897EAC" w:rsidRDefault="00897EAC" w:rsidP="00897EAC">
      <w:pPr>
        <w:pStyle w:val="Odstavecseseznamem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16E29">
        <w:rPr>
          <w:rFonts w:ascii="Times New Roman" w:hAnsi="Times New Roman" w:cs="Times New Roman"/>
          <w:b/>
        </w:rPr>
        <w:t>Celková roční zálohová částka na rok 20</w:t>
      </w:r>
      <w:r>
        <w:rPr>
          <w:rFonts w:ascii="Times New Roman" w:hAnsi="Times New Roman" w:cs="Times New Roman"/>
          <w:b/>
        </w:rPr>
        <w:t>22</w:t>
      </w:r>
      <w:r w:rsidRPr="00F16E29">
        <w:rPr>
          <w:rFonts w:ascii="Times New Roman" w:hAnsi="Times New Roman" w:cs="Times New Roman"/>
          <w:b/>
        </w:rPr>
        <w:t xml:space="preserve"> činí </w:t>
      </w:r>
      <w:r>
        <w:rPr>
          <w:rFonts w:ascii="Times New Roman" w:hAnsi="Times New Roman" w:cs="Times New Roman"/>
          <w:b/>
        </w:rPr>
        <w:t>2</w:t>
      </w:r>
      <w:r w:rsidRPr="005A419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537</w:t>
      </w:r>
      <w:r w:rsidRPr="005A419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30</w:t>
      </w:r>
      <w:r w:rsidRPr="005A419B">
        <w:rPr>
          <w:rFonts w:ascii="Times New Roman" w:hAnsi="Times New Roman" w:cs="Times New Roman"/>
          <w:b/>
        </w:rPr>
        <w:t>0</w:t>
      </w:r>
      <w:r w:rsidRPr="00F16E29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-</w:t>
      </w:r>
      <w:r w:rsidRPr="00F16E29">
        <w:rPr>
          <w:rFonts w:ascii="Times New Roman" w:hAnsi="Times New Roman" w:cs="Times New Roman"/>
          <w:b/>
        </w:rPr>
        <w:t>- Kč</w:t>
      </w:r>
      <w:r>
        <w:rPr>
          <w:rFonts w:ascii="Times New Roman" w:hAnsi="Times New Roman" w:cs="Times New Roman"/>
        </w:rPr>
        <w:t xml:space="preserve"> (včetně DPH). Jednotlivé měsíční zálohy jsou splatné vždy k 15. dni příslušného měsíce na výše uvedený účet dodavatele, variabilní symbol: 428. </w:t>
      </w:r>
      <w:r w:rsidRPr="0031299B">
        <w:rPr>
          <w:rFonts w:ascii="Times New Roman" w:hAnsi="Times New Roman" w:cs="Times New Roman"/>
        </w:rPr>
        <w:t>Daňový doklad bude vystaven po připsání zálohové platby na účet dodavatele v termínu nejpozději do 14 dnů.</w:t>
      </w:r>
    </w:p>
    <w:p w14:paraId="1BB5E2C7" w14:textId="77777777" w:rsidR="00897EAC" w:rsidRDefault="00897EAC" w:rsidP="00897EAC">
      <w:pPr>
        <w:ind w:left="426" w:hanging="426"/>
        <w:jc w:val="both"/>
        <w:rPr>
          <w:sz w:val="10"/>
          <w:szCs w:val="10"/>
        </w:rPr>
      </w:pPr>
    </w:p>
    <w:p w14:paraId="2BC9BDE4" w14:textId="77777777" w:rsidR="00897EAC" w:rsidRPr="007909A8" w:rsidRDefault="00897EAC" w:rsidP="00897EAC">
      <w:pPr>
        <w:pStyle w:val="Odstavecseseznamem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se zavazuje hradit zálohy za dodávku tepelné energie a studené vody podle splátkového kalendáře:</w:t>
      </w:r>
      <w:r w:rsidRPr="007909A8">
        <w:rPr>
          <w:rFonts w:ascii="Times New Roman" w:hAnsi="Times New Roman" w:cs="Times New Roman"/>
        </w:rPr>
        <w:t xml:space="preserve">     </w:t>
      </w:r>
    </w:p>
    <w:p w14:paraId="7586A63F" w14:textId="77777777" w:rsidR="00897EAC" w:rsidRDefault="00897EAC" w:rsidP="00897EAC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8870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1757"/>
        <w:gridCol w:w="1757"/>
        <w:gridCol w:w="1757"/>
        <w:gridCol w:w="1757"/>
      </w:tblGrid>
      <w:tr w:rsidR="00897EAC" w:rsidRPr="007909A8" w14:paraId="7E867605" w14:textId="77777777" w:rsidTr="00B25179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4B799" w14:textId="77777777" w:rsidR="00897EAC" w:rsidRPr="007909A8" w:rsidRDefault="00897EAC" w:rsidP="00B25179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>Období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F243409" w14:textId="77777777" w:rsidR="00897EAC" w:rsidRPr="007909A8" w:rsidRDefault="00897EAC" w:rsidP="00B25179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Teplo</w:t>
            </w: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ED13BD" w14:textId="77777777" w:rsidR="00897EAC" w:rsidRPr="007909A8" w:rsidRDefault="00897EAC" w:rsidP="00B25179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TV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1B04AA" w14:textId="77777777" w:rsidR="00897EAC" w:rsidRPr="007909A8" w:rsidRDefault="00897EAC" w:rsidP="00B25179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Studená voda 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8EC0C8" w14:textId="77777777" w:rsidR="00897EAC" w:rsidRPr="007909A8" w:rsidRDefault="00897EAC" w:rsidP="00B25179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Celkem záloha</w:t>
            </w:r>
          </w:p>
        </w:tc>
      </w:tr>
      <w:tr w:rsidR="00897EAC" w:rsidRPr="007909A8" w14:paraId="086DFAB2" w14:textId="77777777" w:rsidTr="00B25179">
        <w:trPr>
          <w:trHeight w:val="247"/>
        </w:trPr>
        <w:tc>
          <w:tcPr>
            <w:tcW w:w="18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6A94F5" w14:textId="77777777" w:rsidR="00897EAC" w:rsidRPr="007909A8" w:rsidRDefault="00897EAC" w:rsidP="00B25179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Leden 20</w:t>
            </w:r>
            <w:r>
              <w:rPr>
                <w:bCs/>
                <w:snapToGrid w:val="0"/>
                <w:sz w:val="22"/>
                <w:szCs w:val="22"/>
              </w:rPr>
              <w:t>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E1274A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275</w:t>
            </w:r>
            <w:r w:rsidRPr="00CB06C5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1</w:t>
            </w:r>
            <w:r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02C5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48</w:t>
            </w:r>
            <w:r w:rsidRPr="00CB06C5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000</w:t>
            </w:r>
            <w:r w:rsidRPr="00CB06C5">
              <w:rPr>
                <w:snapToGrid w:val="0"/>
                <w:sz w:val="22"/>
                <w:szCs w:val="22"/>
              </w:rPr>
              <w:t>,--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24F3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</w:t>
            </w:r>
            <w:r w:rsidRPr="00CB06C5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1</w:t>
            </w:r>
            <w:r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A6288A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340 20</w:t>
            </w:r>
            <w:r w:rsidRPr="00CB06C5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897EAC" w:rsidRPr="007909A8" w14:paraId="1C310BE7" w14:textId="77777777" w:rsidTr="00B25179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3739DB" w14:textId="77777777" w:rsidR="00897EAC" w:rsidRPr="007909A8" w:rsidRDefault="00897EAC" w:rsidP="00B25179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Únor 20</w:t>
            </w:r>
            <w:r>
              <w:rPr>
                <w:bCs/>
                <w:snapToGrid w:val="0"/>
                <w:sz w:val="22"/>
                <w:szCs w:val="22"/>
              </w:rPr>
              <w:t>22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B3736E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224 1</w:t>
            </w:r>
            <w:r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19F4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43 30</w:t>
            </w:r>
            <w:r w:rsidRPr="00CB06C5">
              <w:rPr>
                <w:snapToGrid w:val="0"/>
                <w:sz w:val="22"/>
                <w:szCs w:val="22"/>
              </w:rPr>
              <w:t>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7B0F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17 1</w:t>
            </w:r>
            <w:r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0DCAFD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284 50</w:t>
            </w:r>
            <w:r w:rsidRPr="00CB06C5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897EAC" w:rsidRPr="007909A8" w14:paraId="191A8274" w14:textId="77777777" w:rsidTr="00B25179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A2550B" w14:textId="77777777" w:rsidR="00897EAC" w:rsidRPr="007909A8" w:rsidRDefault="00897EAC" w:rsidP="00B25179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Březen 20</w:t>
            </w:r>
            <w:r>
              <w:rPr>
                <w:bCs/>
                <w:snapToGrid w:val="0"/>
                <w:sz w:val="22"/>
                <w:szCs w:val="22"/>
              </w:rPr>
              <w:t>22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A53C59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280</w:t>
            </w:r>
            <w:r w:rsidRPr="00CB06C5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0</w:t>
            </w:r>
            <w:r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E265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89</w:t>
            </w:r>
            <w:r w:rsidRPr="00CB06C5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70</w:t>
            </w:r>
            <w:r w:rsidRPr="00CB06C5">
              <w:rPr>
                <w:snapToGrid w:val="0"/>
                <w:sz w:val="22"/>
                <w:szCs w:val="22"/>
              </w:rPr>
              <w:t>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2226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14</w:t>
            </w:r>
            <w:r w:rsidRPr="00CB06C5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7</w:t>
            </w:r>
            <w:r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44BD2E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384 40</w:t>
            </w:r>
            <w:r w:rsidRPr="00CB06C5">
              <w:rPr>
                <w:snapToGrid w:val="0"/>
                <w:sz w:val="22"/>
                <w:szCs w:val="22"/>
              </w:rPr>
              <w:t>0,--</w:t>
            </w:r>
          </w:p>
        </w:tc>
      </w:tr>
      <w:tr w:rsidR="00897EAC" w:rsidRPr="007909A8" w14:paraId="55E42C8A" w14:textId="77777777" w:rsidTr="00B25179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0B4F78" w14:textId="77777777" w:rsidR="00897EAC" w:rsidRPr="007909A8" w:rsidRDefault="00897EAC" w:rsidP="00B25179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Duben 20</w:t>
            </w:r>
            <w:r>
              <w:rPr>
                <w:bCs/>
                <w:snapToGrid w:val="0"/>
                <w:sz w:val="22"/>
                <w:szCs w:val="22"/>
              </w:rPr>
              <w:t>22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F47255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150</w:t>
            </w:r>
            <w:r w:rsidRPr="00CB06C5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0</w:t>
            </w:r>
            <w:r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E227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59</w:t>
            </w:r>
            <w:r w:rsidRPr="00CB06C5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9</w:t>
            </w:r>
            <w:r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9947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16 2</w:t>
            </w:r>
            <w:r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1731F4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226 1</w:t>
            </w:r>
            <w:r w:rsidRPr="00CB06C5">
              <w:rPr>
                <w:snapToGrid w:val="0"/>
                <w:sz w:val="22"/>
                <w:szCs w:val="22"/>
              </w:rPr>
              <w:t>00,--</w:t>
            </w:r>
          </w:p>
        </w:tc>
      </w:tr>
      <w:tr w:rsidR="00897EAC" w:rsidRPr="007909A8" w14:paraId="2144ACA8" w14:textId="77777777" w:rsidTr="00B25179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8D8E3D" w14:textId="77777777" w:rsidR="00897EAC" w:rsidRPr="007909A8" w:rsidRDefault="00897EAC" w:rsidP="00B25179">
            <w:pPr>
              <w:rPr>
                <w:bCs/>
                <w:snapToGrid w:val="0"/>
                <w:sz w:val="22"/>
                <w:szCs w:val="22"/>
              </w:rPr>
            </w:pPr>
            <w:r w:rsidRPr="007909A8">
              <w:rPr>
                <w:bCs/>
                <w:snapToGrid w:val="0"/>
                <w:sz w:val="22"/>
                <w:szCs w:val="22"/>
              </w:rPr>
              <w:t>Květen 2</w:t>
            </w:r>
            <w:r>
              <w:rPr>
                <w:bCs/>
                <w:snapToGrid w:val="0"/>
                <w:sz w:val="22"/>
                <w:szCs w:val="22"/>
              </w:rPr>
              <w:t>022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96876A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35 0</w:t>
            </w:r>
            <w:r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AB65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62 1</w:t>
            </w:r>
            <w:r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433D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16 2</w:t>
            </w:r>
            <w:r w:rsidRPr="00CB06C5">
              <w:rPr>
                <w:snapToGrid w:val="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A97D9D" w14:textId="77777777" w:rsidR="00897EAC" w:rsidRPr="00CB06C5" w:rsidRDefault="00897EAC" w:rsidP="00B25179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113 3</w:t>
            </w:r>
            <w:r w:rsidRPr="00CB06C5">
              <w:rPr>
                <w:snapToGrid w:val="0"/>
                <w:sz w:val="22"/>
                <w:szCs w:val="22"/>
              </w:rPr>
              <w:t>00,--</w:t>
            </w:r>
          </w:p>
        </w:tc>
      </w:tr>
      <w:tr w:rsidR="00897EAC" w:rsidRPr="007909A8" w14:paraId="2F5402E2" w14:textId="77777777" w:rsidTr="00B25179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A05A7B" w14:textId="77777777" w:rsidR="00897EAC" w:rsidRPr="007909A8" w:rsidRDefault="00897EAC" w:rsidP="00B25179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Červen 20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BC1C64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CB06C5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FDE6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59 9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24AB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16 2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C16BDD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76 1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897EAC" w:rsidRPr="007909A8" w14:paraId="3D29A77B" w14:textId="77777777" w:rsidTr="00B25179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FF6CD8" w14:textId="77777777" w:rsidR="00897EAC" w:rsidRPr="007909A8" w:rsidRDefault="00897EAC" w:rsidP="00B25179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Červenec 2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022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FF8505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CB06C5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CF89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62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6F86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16 2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9F165C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78 3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897EAC" w:rsidRPr="007909A8" w14:paraId="49E4810B" w14:textId="77777777" w:rsidTr="00B25179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0AEE48" w14:textId="77777777" w:rsidR="00897EAC" w:rsidRPr="007909A8" w:rsidRDefault="00897EAC" w:rsidP="00B25179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Srpen 20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63F667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CB06C5">
              <w:rPr>
                <w:snapToGrid w:val="0"/>
                <w:color w:val="000000"/>
                <w:sz w:val="22"/>
                <w:szCs w:val="22"/>
              </w:rPr>
              <w:t>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BABE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62 1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D608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16 2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779D91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78 3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897EAC" w:rsidRPr="007909A8" w14:paraId="75E87AFA" w14:textId="77777777" w:rsidTr="00B25179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3753C4" w14:textId="77777777" w:rsidR="00897EAC" w:rsidRPr="007909A8" w:rsidRDefault="00897EAC" w:rsidP="00B25179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Září 20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957F11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18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6222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59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9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533E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16 2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9B67C3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94 1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897EAC" w:rsidRPr="007909A8" w14:paraId="4AADA79E" w14:textId="77777777" w:rsidTr="00B25179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C2D289" w14:textId="77777777" w:rsidR="00897EAC" w:rsidRPr="007909A8" w:rsidRDefault="00897EAC" w:rsidP="00B25179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Říjen 20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13CC94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129 0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1885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62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561F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16 3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A5B8C2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207 4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897EAC" w:rsidRPr="007909A8" w14:paraId="4AC7856F" w14:textId="77777777" w:rsidTr="00B25179">
        <w:trPr>
          <w:trHeight w:val="247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043AA2" w14:textId="77777777" w:rsidR="00897EAC" w:rsidRPr="007909A8" w:rsidRDefault="00897EAC" w:rsidP="00B25179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Listopad 20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4A1159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226 0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5B87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59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9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0C81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16 3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E88F1F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302 2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897EAC" w:rsidRPr="007909A8" w14:paraId="106DF4A3" w14:textId="77777777" w:rsidTr="00B25179">
        <w:trPr>
          <w:trHeight w:val="262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56BFC0" w14:textId="77777777" w:rsidR="00897EAC" w:rsidRPr="007909A8" w:rsidRDefault="00897EAC" w:rsidP="00B25179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Prosinec 20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2070D15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274 0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8D9A6C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62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69F920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16 3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E871CF0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352 4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897EAC" w:rsidRPr="007909A8" w14:paraId="53B55CA1" w14:textId="77777777" w:rsidTr="00B25179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ED5B3" w14:textId="77777777" w:rsidR="00897EAC" w:rsidRPr="007909A8" w:rsidRDefault="00897EAC" w:rsidP="00B25179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/>
                <w:bCs/>
                <w:snapToGrid w:val="0"/>
                <w:color w:val="000000"/>
                <w:sz w:val="22"/>
                <w:szCs w:val="22"/>
              </w:rPr>
              <w:t>Celkem 20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C690E9E" w14:textId="77777777" w:rsidR="00897EAC" w:rsidRPr="00CB06C5" w:rsidRDefault="00897EAC" w:rsidP="00B25179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1 611</w:t>
            </w:r>
            <w:r w:rsidRPr="00CB06C5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2</w:t>
            </w:r>
            <w:r w:rsidRPr="00CB06C5">
              <w:rPr>
                <w:b/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628E08" w14:textId="77777777" w:rsidR="00897EAC" w:rsidRPr="00CB06C5" w:rsidRDefault="00897EAC" w:rsidP="00B25179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731</w:t>
            </w:r>
            <w:r w:rsidRPr="00CB06C5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10</w:t>
            </w:r>
            <w:r w:rsidRPr="00CB06C5">
              <w:rPr>
                <w:b/>
                <w:snapToGrid w:val="0"/>
                <w:color w:val="000000"/>
                <w:sz w:val="22"/>
                <w:szCs w:val="22"/>
              </w:rPr>
              <w:t>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EF7916" w14:textId="77777777" w:rsidR="00897EAC" w:rsidRPr="00CB06C5" w:rsidRDefault="00897EAC" w:rsidP="00B25179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195</w:t>
            </w:r>
            <w:r w:rsidRPr="00CB06C5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0</w:t>
            </w:r>
            <w:r w:rsidRPr="00CB06C5">
              <w:rPr>
                <w:b/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0512F6" w14:textId="77777777" w:rsidR="00897EAC" w:rsidRPr="00CB06C5" w:rsidRDefault="00897EAC" w:rsidP="00B25179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2 537</w:t>
            </w:r>
            <w:r w:rsidRPr="00CB06C5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30</w:t>
            </w:r>
            <w:r w:rsidRPr="00CB06C5">
              <w:rPr>
                <w:b/>
                <w:snapToGrid w:val="0"/>
                <w:color w:val="000000"/>
                <w:sz w:val="22"/>
                <w:szCs w:val="22"/>
              </w:rPr>
              <w:t>0,--</w:t>
            </w:r>
          </w:p>
        </w:tc>
      </w:tr>
      <w:tr w:rsidR="00897EAC" w:rsidRPr="007909A8" w14:paraId="7A213199" w14:textId="77777777" w:rsidTr="00B25179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F70AA" w14:textId="77777777" w:rsidR="00897EAC" w:rsidRPr="007909A8" w:rsidRDefault="00897EAC" w:rsidP="00B25179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Leden 20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8822457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310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B8FDBC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62 1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EB173A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16 3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E6BE59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388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  <w:tr w:rsidR="00897EAC" w:rsidRPr="007909A8" w14:paraId="7CA0207C" w14:textId="77777777" w:rsidTr="00B25179">
        <w:trPr>
          <w:trHeight w:val="26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678AF8B" w14:textId="77777777" w:rsidR="00897EAC" w:rsidRPr="007909A8" w:rsidRDefault="00897EAC" w:rsidP="00B25179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7909A8">
              <w:rPr>
                <w:bCs/>
                <w:snapToGrid w:val="0"/>
                <w:color w:val="000000"/>
                <w:sz w:val="22"/>
                <w:szCs w:val="22"/>
              </w:rPr>
              <w:t>Únor 20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3EF3562A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261 5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83D6DF7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57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B05501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16 3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12B9CAA7" w14:textId="77777777" w:rsidR="00897EAC" w:rsidRPr="00CB06C5" w:rsidRDefault="00897EAC" w:rsidP="00B25179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334 8</w:t>
            </w:r>
            <w:r w:rsidRPr="00CB06C5">
              <w:rPr>
                <w:snapToGrid w:val="0"/>
                <w:color w:val="000000"/>
                <w:sz w:val="22"/>
                <w:szCs w:val="22"/>
              </w:rPr>
              <w:t>00,--</w:t>
            </w:r>
          </w:p>
        </w:tc>
      </w:tr>
    </w:tbl>
    <w:p w14:paraId="260B419D" w14:textId="77777777" w:rsidR="00897EAC" w:rsidRDefault="00897EAC" w:rsidP="00897EAC">
      <w:pPr>
        <w:jc w:val="both"/>
      </w:pPr>
    </w:p>
    <w:p w14:paraId="3F9257D5" w14:textId="79B4C3E4" w:rsidR="00897EAC" w:rsidRDefault="00897EAC" w:rsidP="00BC43C4">
      <w:pPr>
        <w:pStyle w:val="Odstavecseseznamem1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provést konečné vyúčtování zálohových faktur do 28. 02. následujícího roku.</w:t>
      </w:r>
    </w:p>
    <w:p w14:paraId="6C4060D1" w14:textId="77777777" w:rsidR="00897EAC" w:rsidRPr="003D2F5C" w:rsidRDefault="00897EAC" w:rsidP="00897EAC">
      <w:pPr>
        <w:rPr>
          <w:b/>
          <w:bCs/>
        </w:rPr>
      </w:pPr>
    </w:p>
    <w:p w14:paraId="758A8667" w14:textId="093C3874" w:rsidR="001F6146" w:rsidRDefault="001F6146" w:rsidP="00897EAC">
      <w:pPr>
        <w:jc w:val="center"/>
      </w:pPr>
      <w:r>
        <w:t>.</w:t>
      </w:r>
    </w:p>
    <w:p w14:paraId="5E532470" w14:textId="77777777" w:rsidR="001F6146" w:rsidRPr="003D2F5C" w:rsidRDefault="001F6146" w:rsidP="001F6146">
      <w:pPr>
        <w:rPr>
          <w:b/>
          <w:bCs/>
        </w:rPr>
      </w:pPr>
    </w:p>
    <w:p w14:paraId="364A8586" w14:textId="77777777" w:rsidR="00EE544B" w:rsidRDefault="00EE544B" w:rsidP="003D2F5C">
      <w:pPr>
        <w:jc w:val="center"/>
        <w:rPr>
          <w:b/>
          <w:bCs/>
          <w:sz w:val="22"/>
          <w:szCs w:val="22"/>
        </w:rPr>
      </w:pPr>
    </w:p>
    <w:p w14:paraId="09847BB1" w14:textId="77777777" w:rsidR="00BC43C4" w:rsidRPr="001C2EED" w:rsidRDefault="003D2F5C" w:rsidP="003D2F5C">
      <w:pPr>
        <w:jc w:val="center"/>
        <w:rPr>
          <w:b/>
          <w:bCs/>
          <w:sz w:val="22"/>
          <w:szCs w:val="22"/>
        </w:rPr>
      </w:pPr>
      <w:r w:rsidRPr="001C2EED">
        <w:rPr>
          <w:b/>
          <w:bCs/>
          <w:sz w:val="22"/>
          <w:szCs w:val="22"/>
        </w:rPr>
        <w:t>I</w:t>
      </w:r>
      <w:r w:rsidR="0048447F" w:rsidRPr="001C2EED">
        <w:rPr>
          <w:b/>
          <w:bCs/>
          <w:sz w:val="22"/>
          <w:szCs w:val="22"/>
        </w:rPr>
        <w:t>V</w:t>
      </w:r>
      <w:r w:rsidRPr="001C2EED">
        <w:rPr>
          <w:b/>
          <w:bCs/>
          <w:sz w:val="22"/>
          <w:szCs w:val="22"/>
        </w:rPr>
        <w:t xml:space="preserve">. </w:t>
      </w:r>
    </w:p>
    <w:p w14:paraId="29A39582" w14:textId="3A89FC1C" w:rsidR="003D2F5C" w:rsidRPr="001C2EED" w:rsidRDefault="003D2F5C" w:rsidP="001C2EED">
      <w:pPr>
        <w:spacing w:after="120"/>
        <w:jc w:val="center"/>
        <w:rPr>
          <w:b/>
          <w:bCs/>
          <w:sz w:val="22"/>
          <w:szCs w:val="22"/>
        </w:rPr>
      </w:pPr>
      <w:r w:rsidRPr="001C2EED">
        <w:rPr>
          <w:b/>
          <w:bCs/>
          <w:sz w:val="22"/>
          <w:szCs w:val="22"/>
        </w:rPr>
        <w:t>Ostatní ujednání</w:t>
      </w:r>
    </w:p>
    <w:p w14:paraId="4D3DF426" w14:textId="68C429E9" w:rsidR="004F4FC6" w:rsidRPr="004F4FC6" w:rsidRDefault="00E6613E" w:rsidP="003D2F5C">
      <w:pPr>
        <w:pStyle w:val="Odstavecseseznamem"/>
        <w:numPr>
          <w:ilvl w:val="0"/>
          <w:numId w:val="7"/>
        </w:numPr>
        <w:ind w:left="426" w:hanging="426"/>
        <w:jc w:val="both"/>
        <w:rPr>
          <w:bCs/>
          <w:sz w:val="22"/>
          <w:szCs w:val="22"/>
        </w:rPr>
      </w:pPr>
      <w:r w:rsidRPr="004F4FC6">
        <w:rPr>
          <w:bCs/>
          <w:sz w:val="22"/>
          <w:szCs w:val="22"/>
        </w:rPr>
        <w:t xml:space="preserve">Ustanovení </w:t>
      </w:r>
      <w:r w:rsidR="00EE544B">
        <w:rPr>
          <w:bCs/>
          <w:sz w:val="22"/>
          <w:szCs w:val="22"/>
        </w:rPr>
        <w:t>S</w:t>
      </w:r>
      <w:r w:rsidRPr="004F4FC6">
        <w:rPr>
          <w:bCs/>
          <w:sz w:val="22"/>
          <w:szCs w:val="22"/>
        </w:rPr>
        <w:t xml:space="preserve">mlouvy č. 7/2006 ze dne </w:t>
      </w:r>
      <w:proofErr w:type="gramStart"/>
      <w:r w:rsidRPr="004F4FC6">
        <w:rPr>
          <w:bCs/>
          <w:sz w:val="22"/>
          <w:szCs w:val="22"/>
        </w:rPr>
        <w:t>06.09.2006</w:t>
      </w:r>
      <w:proofErr w:type="gramEnd"/>
      <w:r w:rsidR="00EE544B">
        <w:rPr>
          <w:bCs/>
          <w:sz w:val="22"/>
          <w:szCs w:val="22"/>
        </w:rPr>
        <w:t>,</w:t>
      </w:r>
      <w:r w:rsidRPr="004F4FC6">
        <w:rPr>
          <w:bCs/>
          <w:sz w:val="22"/>
          <w:szCs w:val="22"/>
        </w:rPr>
        <w:t xml:space="preserve"> ve znění </w:t>
      </w:r>
      <w:r w:rsidR="00EE544B">
        <w:rPr>
          <w:bCs/>
          <w:sz w:val="22"/>
          <w:szCs w:val="22"/>
        </w:rPr>
        <w:t>D</w:t>
      </w:r>
      <w:r w:rsidRPr="004F4FC6">
        <w:rPr>
          <w:bCs/>
          <w:sz w:val="22"/>
          <w:szCs w:val="22"/>
        </w:rPr>
        <w:t xml:space="preserve">odatku č. 1 ze dne 10.02.2007, </w:t>
      </w:r>
      <w:r w:rsidR="00EE544B">
        <w:rPr>
          <w:bCs/>
          <w:sz w:val="22"/>
          <w:szCs w:val="22"/>
        </w:rPr>
        <w:t>D</w:t>
      </w:r>
      <w:r w:rsidR="00EE544B" w:rsidRPr="004F4FC6">
        <w:rPr>
          <w:bCs/>
          <w:sz w:val="22"/>
          <w:szCs w:val="22"/>
        </w:rPr>
        <w:t xml:space="preserve">odatku </w:t>
      </w:r>
      <w:r w:rsidRPr="004F4FC6">
        <w:rPr>
          <w:bCs/>
          <w:sz w:val="22"/>
          <w:szCs w:val="22"/>
        </w:rPr>
        <w:t>č. 2 ze dne 10.02.20</w:t>
      </w:r>
      <w:r w:rsidR="00E3345C">
        <w:rPr>
          <w:bCs/>
          <w:sz w:val="22"/>
          <w:szCs w:val="22"/>
        </w:rPr>
        <w:t>0</w:t>
      </w:r>
      <w:r w:rsidRPr="004F4FC6">
        <w:rPr>
          <w:bCs/>
          <w:sz w:val="22"/>
          <w:szCs w:val="22"/>
        </w:rPr>
        <w:t xml:space="preserve">8, </w:t>
      </w:r>
      <w:r w:rsidR="00EE544B">
        <w:rPr>
          <w:bCs/>
          <w:sz w:val="22"/>
          <w:szCs w:val="22"/>
        </w:rPr>
        <w:t>D</w:t>
      </w:r>
      <w:r w:rsidRPr="004F4FC6">
        <w:rPr>
          <w:bCs/>
          <w:sz w:val="22"/>
          <w:szCs w:val="22"/>
        </w:rPr>
        <w:t xml:space="preserve">odatku č. 3 ze dne 10.02.2009, </w:t>
      </w:r>
      <w:r w:rsidR="00EE544B">
        <w:rPr>
          <w:bCs/>
          <w:sz w:val="22"/>
          <w:szCs w:val="22"/>
        </w:rPr>
        <w:t>D</w:t>
      </w:r>
      <w:r w:rsidRPr="004F4FC6">
        <w:rPr>
          <w:bCs/>
          <w:sz w:val="22"/>
          <w:szCs w:val="22"/>
        </w:rPr>
        <w:t xml:space="preserve">odatku č. 4 </w:t>
      </w:r>
      <w:r w:rsidRPr="004F4FC6">
        <w:rPr>
          <w:sz w:val="22"/>
          <w:szCs w:val="22"/>
        </w:rPr>
        <w:t xml:space="preserve">ze dne 10.2.2010, </w:t>
      </w:r>
      <w:r w:rsidR="00EE544B">
        <w:rPr>
          <w:sz w:val="22"/>
          <w:szCs w:val="22"/>
        </w:rPr>
        <w:t>D</w:t>
      </w:r>
      <w:r w:rsidRPr="004F4FC6">
        <w:rPr>
          <w:sz w:val="22"/>
          <w:szCs w:val="22"/>
        </w:rPr>
        <w:t xml:space="preserve">odatku č. 5 ze dne 11.4.2011, </w:t>
      </w:r>
      <w:r w:rsidR="00EE544B">
        <w:rPr>
          <w:sz w:val="22"/>
          <w:szCs w:val="22"/>
        </w:rPr>
        <w:t>D</w:t>
      </w:r>
      <w:r w:rsidRPr="004F4FC6">
        <w:rPr>
          <w:sz w:val="22"/>
          <w:szCs w:val="22"/>
        </w:rPr>
        <w:t xml:space="preserve">odatku č. 6 ze dne 10.02.2012, </w:t>
      </w:r>
      <w:r w:rsidR="00EE544B">
        <w:rPr>
          <w:sz w:val="22"/>
          <w:szCs w:val="22"/>
        </w:rPr>
        <w:t>D</w:t>
      </w:r>
      <w:r w:rsidRPr="004F4FC6">
        <w:rPr>
          <w:sz w:val="22"/>
          <w:szCs w:val="22"/>
        </w:rPr>
        <w:t xml:space="preserve">odatku č. 7 ze dne 11.02.2013, </w:t>
      </w:r>
      <w:r w:rsidR="00EE544B">
        <w:rPr>
          <w:sz w:val="22"/>
          <w:szCs w:val="22"/>
        </w:rPr>
        <w:t>D</w:t>
      </w:r>
      <w:r w:rsidRPr="004F4FC6">
        <w:rPr>
          <w:sz w:val="22"/>
          <w:szCs w:val="22"/>
        </w:rPr>
        <w:t xml:space="preserve">odatku č. 8 </w:t>
      </w:r>
      <w:r w:rsidR="001C2EED">
        <w:rPr>
          <w:sz w:val="22"/>
          <w:szCs w:val="22"/>
        </w:rPr>
        <w:br/>
      </w:r>
      <w:r w:rsidRPr="004F4FC6">
        <w:rPr>
          <w:sz w:val="22"/>
          <w:szCs w:val="22"/>
        </w:rPr>
        <w:t xml:space="preserve">ze dne 11.02.2014, </w:t>
      </w:r>
      <w:r w:rsidR="00EE544B">
        <w:rPr>
          <w:sz w:val="22"/>
          <w:szCs w:val="22"/>
        </w:rPr>
        <w:t>D</w:t>
      </w:r>
      <w:r w:rsidRPr="004F4FC6">
        <w:rPr>
          <w:sz w:val="22"/>
          <w:szCs w:val="22"/>
        </w:rPr>
        <w:t xml:space="preserve">odatku č. 9 ze dne 11.02.2015, </w:t>
      </w:r>
      <w:r w:rsidR="00EE544B">
        <w:rPr>
          <w:sz w:val="22"/>
          <w:szCs w:val="22"/>
        </w:rPr>
        <w:t>D</w:t>
      </w:r>
      <w:r w:rsidRPr="004F4FC6">
        <w:rPr>
          <w:sz w:val="22"/>
          <w:szCs w:val="22"/>
        </w:rPr>
        <w:t xml:space="preserve">odatku č. 10 ze dne </w:t>
      </w:r>
      <w:r w:rsidR="004F4FC6" w:rsidRPr="004F4FC6">
        <w:rPr>
          <w:sz w:val="22"/>
          <w:szCs w:val="22"/>
        </w:rPr>
        <w:t>0</w:t>
      </w:r>
      <w:r w:rsidRPr="004F4FC6">
        <w:rPr>
          <w:sz w:val="22"/>
          <w:szCs w:val="22"/>
        </w:rPr>
        <w:t>9.</w:t>
      </w:r>
      <w:r w:rsidR="004F4FC6" w:rsidRPr="004F4FC6">
        <w:rPr>
          <w:sz w:val="22"/>
          <w:szCs w:val="22"/>
        </w:rPr>
        <w:t>0</w:t>
      </w:r>
      <w:r w:rsidRPr="004F4FC6">
        <w:rPr>
          <w:sz w:val="22"/>
          <w:szCs w:val="22"/>
        </w:rPr>
        <w:t>2.2016</w:t>
      </w:r>
      <w:r w:rsidR="004F4FC6" w:rsidRPr="004F4FC6">
        <w:rPr>
          <w:sz w:val="22"/>
          <w:szCs w:val="22"/>
        </w:rPr>
        <w:t>,</w:t>
      </w:r>
      <w:r w:rsidRPr="004F4FC6">
        <w:rPr>
          <w:bCs/>
          <w:sz w:val="22"/>
          <w:szCs w:val="22"/>
        </w:rPr>
        <w:t xml:space="preserve"> </w:t>
      </w:r>
      <w:r w:rsidR="00EE544B">
        <w:rPr>
          <w:sz w:val="22"/>
          <w:szCs w:val="22"/>
        </w:rPr>
        <w:t>D</w:t>
      </w:r>
      <w:r w:rsidR="004F4FC6" w:rsidRPr="004F4FC6">
        <w:rPr>
          <w:sz w:val="22"/>
          <w:szCs w:val="22"/>
        </w:rPr>
        <w:t>odatku č. 11 ze dne 30.03.2017</w:t>
      </w:r>
      <w:r w:rsidR="00505B6F">
        <w:rPr>
          <w:sz w:val="22"/>
          <w:szCs w:val="22"/>
        </w:rPr>
        <w:t xml:space="preserve">, </w:t>
      </w:r>
      <w:r w:rsidR="00EE544B">
        <w:rPr>
          <w:sz w:val="22"/>
          <w:szCs w:val="22"/>
        </w:rPr>
        <w:t>D</w:t>
      </w:r>
      <w:r w:rsidR="004F4FC6" w:rsidRPr="004F4FC6">
        <w:rPr>
          <w:sz w:val="22"/>
          <w:szCs w:val="22"/>
        </w:rPr>
        <w:t>odatku č. 12 ze dne 16.03.2018</w:t>
      </w:r>
      <w:r w:rsidR="00505B6F">
        <w:rPr>
          <w:sz w:val="22"/>
          <w:szCs w:val="22"/>
        </w:rPr>
        <w:t xml:space="preserve">, </w:t>
      </w:r>
      <w:r w:rsidR="00EE544B">
        <w:rPr>
          <w:sz w:val="22"/>
          <w:szCs w:val="22"/>
        </w:rPr>
        <w:t>D</w:t>
      </w:r>
      <w:r w:rsidR="00505B6F">
        <w:rPr>
          <w:sz w:val="22"/>
          <w:szCs w:val="22"/>
        </w:rPr>
        <w:t>odatku č. 13</w:t>
      </w:r>
      <w:r w:rsidR="005752DF">
        <w:rPr>
          <w:sz w:val="22"/>
          <w:szCs w:val="22"/>
        </w:rPr>
        <w:t xml:space="preserve"> ze dne</w:t>
      </w:r>
      <w:r w:rsidR="00505B6F">
        <w:rPr>
          <w:sz w:val="22"/>
          <w:szCs w:val="22"/>
        </w:rPr>
        <w:t xml:space="preserve"> </w:t>
      </w:r>
      <w:r w:rsidR="005752DF">
        <w:rPr>
          <w:sz w:val="22"/>
          <w:szCs w:val="22"/>
        </w:rPr>
        <w:t>5.3.2019</w:t>
      </w:r>
      <w:r w:rsidR="00BC43C4">
        <w:rPr>
          <w:sz w:val="22"/>
          <w:szCs w:val="22"/>
        </w:rPr>
        <w:t>,</w:t>
      </w:r>
      <w:r w:rsidR="00505B6F">
        <w:rPr>
          <w:sz w:val="22"/>
          <w:szCs w:val="22"/>
        </w:rPr>
        <w:t xml:space="preserve"> </w:t>
      </w:r>
      <w:r w:rsidR="00EE544B">
        <w:rPr>
          <w:sz w:val="22"/>
          <w:szCs w:val="22"/>
        </w:rPr>
        <w:t>D</w:t>
      </w:r>
      <w:r w:rsidR="00505B6F">
        <w:rPr>
          <w:sz w:val="22"/>
          <w:szCs w:val="22"/>
        </w:rPr>
        <w:t>odatku č. 14 ze dne 3</w:t>
      </w:r>
      <w:r w:rsidR="005752DF">
        <w:rPr>
          <w:sz w:val="22"/>
          <w:szCs w:val="22"/>
        </w:rPr>
        <w:t>0</w:t>
      </w:r>
      <w:r w:rsidR="00505B6F">
        <w:rPr>
          <w:sz w:val="22"/>
          <w:szCs w:val="22"/>
        </w:rPr>
        <w:t>.3.2020,</w:t>
      </w:r>
      <w:r w:rsidR="004F4FC6" w:rsidRPr="004F4FC6">
        <w:rPr>
          <w:sz w:val="22"/>
          <w:szCs w:val="22"/>
        </w:rPr>
        <w:t xml:space="preserve"> </w:t>
      </w:r>
      <w:r w:rsidR="00BC43C4">
        <w:rPr>
          <w:sz w:val="22"/>
          <w:szCs w:val="22"/>
        </w:rPr>
        <w:t xml:space="preserve">Dodatku č. 15 ze dne 29.03.2021 a Dodatku č. 16 ze dne 29.07.2021, </w:t>
      </w:r>
      <w:r w:rsidR="004F4FC6" w:rsidRPr="004F4FC6">
        <w:rPr>
          <w:sz w:val="22"/>
          <w:szCs w:val="22"/>
        </w:rPr>
        <w:t xml:space="preserve">nedotčená tímto </w:t>
      </w:r>
      <w:r w:rsidR="00EE544B">
        <w:rPr>
          <w:sz w:val="22"/>
          <w:szCs w:val="22"/>
        </w:rPr>
        <w:t>d</w:t>
      </w:r>
      <w:r w:rsidR="004F4FC6" w:rsidRPr="004F4FC6">
        <w:rPr>
          <w:sz w:val="22"/>
          <w:szCs w:val="22"/>
        </w:rPr>
        <w:t>odatkem č. 1</w:t>
      </w:r>
      <w:r w:rsidR="00BC43C4">
        <w:rPr>
          <w:sz w:val="22"/>
          <w:szCs w:val="22"/>
        </w:rPr>
        <w:t>7</w:t>
      </w:r>
      <w:r w:rsidR="004F4FC6" w:rsidRPr="004F4FC6">
        <w:rPr>
          <w:sz w:val="22"/>
          <w:szCs w:val="22"/>
        </w:rPr>
        <w:t xml:space="preserve"> zůstávají nadále v platnosti beze změn.</w:t>
      </w:r>
    </w:p>
    <w:p w14:paraId="1FF0A2C1" w14:textId="77777777" w:rsidR="004F4FC6" w:rsidRPr="00E3345C" w:rsidRDefault="004F4FC6" w:rsidP="004F4FC6">
      <w:pPr>
        <w:pStyle w:val="Odstavecseseznamem"/>
        <w:rPr>
          <w:bCs/>
          <w:sz w:val="10"/>
          <w:szCs w:val="10"/>
        </w:rPr>
      </w:pPr>
    </w:p>
    <w:p w14:paraId="1635E626" w14:textId="77777777" w:rsidR="004F4FC6" w:rsidRDefault="004F4FC6" w:rsidP="00E3345C">
      <w:pPr>
        <w:pStyle w:val="Odstavecseseznamem"/>
        <w:numPr>
          <w:ilvl w:val="0"/>
          <w:numId w:val="7"/>
        </w:numPr>
        <w:ind w:left="425" w:hanging="425"/>
        <w:jc w:val="both"/>
        <w:rPr>
          <w:bCs/>
          <w:sz w:val="22"/>
          <w:szCs w:val="22"/>
        </w:rPr>
      </w:pPr>
      <w:r w:rsidRPr="004F4FC6">
        <w:rPr>
          <w:bCs/>
          <w:sz w:val="22"/>
          <w:szCs w:val="22"/>
        </w:rPr>
        <w:t>Tento dodatek nabývá platnosti dnem podpisu oběma smluvními stranami a účinnosti dnem zveřejnění v registru smluv.</w:t>
      </w:r>
    </w:p>
    <w:p w14:paraId="3B56B883" w14:textId="77777777" w:rsidR="004F4FC6" w:rsidRPr="001C2EED" w:rsidRDefault="004F4FC6" w:rsidP="004F4FC6">
      <w:pPr>
        <w:pStyle w:val="Odstavecseseznamem"/>
        <w:ind w:left="425"/>
        <w:rPr>
          <w:bCs/>
          <w:sz w:val="10"/>
          <w:szCs w:val="10"/>
        </w:rPr>
      </w:pPr>
    </w:p>
    <w:p w14:paraId="56F42338" w14:textId="0FF16906" w:rsidR="004F4FC6" w:rsidRDefault="004F4FC6" w:rsidP="003D2F5C">
      <w:pPr>
        <w:pStyle w:val="Odstavecseseznamem"/>
        <w:numPr>
          <w:ilvl w:val="0"/>
          <w:numId w:val="7"/>
        </w:numPr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Tento dodatek je vyhotoven ve dvou stejnopisech s platností originálu, z nichž každá smluvní strana obdrží po jednom vyhotovení.</w:t>
      </w:r>
    </w:p>
    <w:p w14:paraId="6EF7ED63" w14:textId="77777777" w:rsidR="004F4FC6" w:rsidRPr="00E3345C" w:rsidRDefault="004F4FC6" w:rsidP="004F4FC6">
      <w:pPr>
        <w:pStyle w:val="Odstavecseseznamem"/>
        <w:rPr>
          <w:bCs/>
          <w:sz w:val="10"/>
          <w:szCs w:val="10"/>
        </w:rPr>
      </w:pPr>
    </w:p>
    <w:p w14:paraId="68389A8F" w14:textId="77777777" w:rsidR="00642E57" w:rsidRDefault="00642E57" w:rsidP="00642E57">
      <w:pPr>
        <w:pStyle w:val="Odstavecseseznamem"/>
        <w:numPr>
          <w:ilvl w:val="0"/>
          <w:numId w:val="7"/>
        </w:numPr>
        <w:ind w:left="426" w:hanging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Osobní údaje uvedené v této smlouvě budou zpracovávány pouze za účelem plnění této smlouvy.</w:t>
      </w:r>
    </w:p>
    <w:p w14:paraId="5E8E5237" w14:textId="77777777" w:rsidR="003D2F5C" w:rsidRPr="00642E57" w:rsidRDefault="003D2F5C" w:rsidP="00642E57">
      <w:pPr>
        <w:jc w:val="both"/>
        <w:rPr>
          <w:bCs/>
          <w:sz w:val="10"/>
          <w:szCs w:val="10"/>
        </w:rPr>
      </w:pPr>
    </w:p>
    <w:p w14:paraId="14F4E1E6" w14:textId="7E325106" w:rsidR="003D2F5C" w:rsidRDefault="003D2F5C" w:rsidP="003D2F5C">
      <w:pPr>
        <w:pStyle w:val="Odstavecseseznamem"/>
        <w:numPr>
          <w:ilvl w:val="0"/>
          <w:numId w:val="7"/>
        </w:numPr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Tento dodatek byl schválen usnesením </w:t>
      </w:r>
      <w:r w:rsidR="00EE544B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 xml:space="preserve">ady Český Těšín </w:t>
      </w:r>
      <w:proofErr w:type="gramStart"/>
      <w:r>
        <w:rPr>
          <w:bCs/>
          <w:sz w:val="22"/>
          <w:szCs w:val="22"/>
        </w:rPr>
        <w:t>č.</w:t>
      </w:r>
      <w:r w:rsidR="00EE544B">
        <w:rPr>
          <w:sz w:val="22"/>
          <w:szCs w:val="22"/>
        </w:rPr>
        <w:t>j.</w:t>
      </w:r>
      <w:proofErr w:type="gramEnd"/>
      <w:r w:rsidR="00EE544B">
        <w:rPr>
          <w:sz w:val="22"/>
          <w:szCs w:val="22"/>
        </w:rPr>
        <w:t xml:space="preserve"> </w:t>
      </w:r>
      <w:r w:rsidR="00225139">
        <w:rPr>
          <w:sz w:val="22"/>
          <w:szCs w:val="22"/>
        </w:rPr>
        <w:t>3038</w:t>
      </w:r>
      <w:r w:rsidR="004B739B">
        <w:rPr>
          <w:sz w:val="22"/>
          <w:szCs w:val="22"/>
        </w:rPr>
        <w:t>/</w:t>
      </w:r>
      <w:r w:rsidR="00BC43C4">
        <w:rPr>
          <w:sz w:val="22"/>
          <w:szCs w:val="22"/>
        </w:rPr>
        <w:t>51</w:t>
      </w:r>
      <w:r w:rsidR="004B739B">
        <w:rPr>
          <w:sz w:val="22"/>
          <w:szCs w:val="22"/>
        </w:rPr>
        <w:t>./RM</w:t>
      </w:r>
      <w:r w:rsidR="00EE544B">
        <w:rPr>
          <w:bCs/>
          <w:sz w:val="22"/>
          <w:szCs w:val="22"/>
        </w:rPr>
        <w:t xml:space="preserve"> </w:t>
      </w:r>
      <w:r w:rsidR="004B739B">
        <w:rPr>
          <w:bCs/>
          <w:sz w:val="22"/>
          <w:szCs w:val="22"/>
        </w:rPr>
        <w:t xml:space="preserve"> ze dne </w:t>
      </w:r>
      <w:r w:rsidR="00BC43C4">
        <w:rPr>
          <w:bCs/>
          <w:sz w:val="22"/>
          <w:szCs w:val="22"/>
        </w:rPr>
        <w:t>03</w:t>
      </w:r>
      <w:r w:rsidR="004B739B">
        <w:rPr>
          <w:bCs/>
          <w:sz w:val="22"/>
          <w:szCs w:val="22"/>
        </w:rPr>
        <w:t>.03.202</w:t>
      </w:r>
      <w:r w:rsidR="00BC43C4">
        <w:rPr>
          <w:bCs/>
          <w:sz w:val="22"/>
          <w:szCs w:val="22"/>
        </w:rPr>
        <w:t>2</w:t>
      </w:r>
      <w:r w:rsidR="004B739B">
        <w:rPr>
          <w:bCs/>
          <w:sz w:val="22"/>
          <w:szCs w:val="22"/>
        </w:rPr>
        <w:t>.</w:t>
      </w:r>
    </w:p>
    <w:p w14:paraId="118AE6D6" w14:textId="77777777" w:rsidR="003D2F5C" w:rsidRDefault="003D2F5C" w:rsidP="003D2F5C">
      <w:pPr>
        <w:jc w:val="both"/>
        <w:rPr>
          <w:b/>
          <w:bCs/>
          <w:sz w:val="22"/>
          <w:szCs w:val="22"/>
        </w:rPr>
      </w:pPr>
    </w:p>
    <w:p w14:paraId="18C64EA6" w14:textId="77777777" w:rsidR="003D2F5C" w:rsidRDefault="003D2F5C" w:rsidP="003D2F5C">
      <w:pPr>
        <w:jc w:val="center"/>
        <w:rPr>
          <w:b/>
          <w:bCs/>
          <w:sz w:val="22"/>
          <w:szCs w:val="22"/>
        </w:rPr>
      </w:pPr>
    </w:p>
    <w:p w14:paraId="0AC404E8" w14:textId="77777777" w:rsidR="003D2F5C" w:rsidRDefault="003D2F5C" w:rsidP="003D2F5C">
      <w:pPr>
        <w:jc w:val="both"/>
      </w:pPr>
    </w:p>
    <w:p w14:paraId="1CFD0084" w14:textId="77777777" w:rsidR="003D2F5C" w:rsidRDefault="003D2F5C" w:rsidP="003D2F5C">
      <w:pPr>
        <w:jc w:val="both"/>
      </w:pPr>
    </w:p>
    <w:p w14:paraId="31097F54" w14:textId="77777777" w:rsidR="003D2F5C" w:rsidRDefault="003D2F5C" w:rsidP="003D2F5C">
      <w:pPr>
        <w:jc w:val="both"/>
      </w:pPr>
    </w:p>
    <w:p w14:paraId="546675E8" w14:textId="77777777" w:rsidR="003D2F5C" w:rsidRDefault="003D2F5C" w:rsidP="003D2F5C">
      <w:pPr>
        <w:jc w:val="both"/>
      </w:pPr>
    </w:p>
    <w:p w14:paraId="79C62E8D" w14:textId="77777777" w:rsidR="003D2F5C" w:rsidRDefault="003D2F5C" w:rsidP="003D2F5C">
      <w:pPr>
        <w:jc w:val="both"/>
      </w:pPr>
    </w:p>
    <w:p w14:paraId="42F4DF4B" w14:textId="77777777" w:rsidR="003D2F5C" w:rsidRDefault="003D2F5C" w:rsidP="003D2F5C">
      <w:pPr>
        <w:jc w:val="both"/>
      </w:pPr>
    </w:p>
    <w:p w14:paraId="472714B1" w14:textId="1BFF8FF8" w:rsidR="003D2F5C" w:rsidRDefault="003D2F5C" w:rsidP="003D2F5C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4F4FC6">
        <w:rPr>
          <w:sz w:val="22"/>
          <w:szCs w:val="22"/>
        </w:rPr>
        <w:t xml:space="preserve"> Českém Těšíně dne </w:t>
      </w:r>
    </w:p>
    <w:p w14:paraId="415198FA" w14:textId="77777777" w:rsidR="003D2F5C" w:rsidRDefault="003D2F5C" w:rsidP="003D2F5C">
      <w:pPr>
        <w:jc w:val="both"/>
        <w:rPr>
          <w:sz w:val="22"/>
          <w:szCs w:val="22"/>
        </w:rPr>
      </w:pPr>
    </w:p>
    <w:p w14:paraId="72667E04" w14:textId="77777777" w:rsidR="003D2F5C" w:rsidRDefault="003D2F5C" w:rsidP="003D2F5C">
      <w:pPr>
        <w:jc w:val="both"/>
        <w:rPr>
          <w:sz w:val="22"/>
          <w:szCs w:val="22"/>
        </w:rPr>
      </w:pPr>
    </w:p>
    <w:p w14:paraId="60FD5F6E" w14:textId="77777777" w:rsidR="003D2F5C" w:rsidRDefault="003D2F5C" w:rsidP="003D2F5C">
      <w:pPr>
        <w:jc w:val="both"/>
        <w:rPr>
          <w:sz w:val="22"/>
          <w:szCs w:val="22"/>
        </w:rPr>
      </w:pPr>
    </w:p>
    <w:p w14:paraId="7342E217" w14:textId="77777777" w:rsidR="003D2F5C" w:rsidRDefault="003D2F5C" w:rsidP="003D2F5C">
      <w:pPr>
        <w:jc w:val="both"/>
        <w:rPr>
          <w:sz w:val="22"/>
          <w:szCs w:val="22"/>
        </w:rPr>
      </w:pPr>
    </w:p>
    <w:p w14:paraId="655FB2E5" w14:textId="77777777" w:rsidR="000F7AB3" w:rsidRDefault="000F7AB3" w:rsidP="003D2F5C">
      <w:pPr>
        <w:jc w:val="both"/>
        <w:rPr>
          <w:sz w:val="22"/>
          <w:szCs w:val="22"/>
        </w:rPr>
      </w:pPr>
    </w:p>
    <w:p w14:paraId="03DDC4B7" w14:textId="45B2547A" w:rsidR="000F7AB3" w:rsidRDefault="000F7AB3" w:rsidP="003D2F5C">
      <w:pPr>
        <w:jc w:val="both"/>
        <w:rPr>
          <w:sz w:val="22"/>
          <w:szCs w:val="22"/>
        </w:rPr>
      </w:pPr>
      <w:r>
        <w:rPr>
          <w:sz w:val="22"/>
          <w:szCs w:val="22"/>
        </w:rPr>
        <w:t>za odběratele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dodavatele</w:t>
      </w:r>
    </w:p>
    <w:p w14:paraId="67E8721B" w14:textId="72E86D61" w:rsidR="003D2F5C" w:rsidRDefault="004F4FC6" w:rsidP="003D2F5C">
      <w:pPr>
        <w:jc w:val="both"/>
        <w:rPr>
          <w:sz w:val="22"/>
          <w:szCs w:val="22"/>
        </w:rPr>
      </w:pPr>
      <w:r>
        <w:rPr>
          <w:sz w:val="22"/>
          <w:szCs w:val="22"/>
        </w:rPr>
        <w:t>Mgr. Gabriela Hřebačková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E65B5C">
        <w:rPr>
          <w:sz w:val="22"/>
          <w:szCs w:val="22"/>
        </w:rPr>
        <w:t>xxxxx</w:t>
      </w:r>
      <w:proofErr w:type="spellEnd"/>
    </w:p>
    <w:p w14:paraId="159EF5A4" w14:textId="2A0FCCFA" w:rsidR="004538E6" w:rsidRDefault="000F7AB3" w:rsidP="003D2F5C">
      <w:pPr>
        <w:jc w:val="both"/>
        <w:rPr>
          <w:sz w:val="22"/>
          <w:szCs w:val="22"/>
        </w:rPr>
      </w:pPr>
      <w:r>
        <w:rPr>
          <w:sz w:val="22"/>
          <w:szCs w:val="22"/>
        </w:rPr>
        <w:t>starostka 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65B5C">
        <w:rPr>
          <w:sz w:val="22"/>
          <w:szCs w:val="22"/>
        </w:rPr>
        <w:t xml:space="preserve"> </w:t>
      </w:r>
      <w:bookmarkStart w:id="0" w:name="_GoBack"/>
      <w:bookmarkEnd w:id="0"/>
    </w:p>
    <w:p w14:paraId="35CF387D" w14:textId="77777777" w:rsidR="003D2F5C" w:rsidRDefault="003D2F5C" w:rsidP="001F6146">
      <w:pPr>
        <w:jc w:val="center"/>
        <w:rPr>
          <w:b/>
          <w:bCs/>
          <w:sz w:val="22"/>
          <w:szCs w:val="22"/>
        </w:rPr>
      </w:pPr>
    </w:p>
    <w:p w14:paraId="69B6EE98" w14:textId="77777777" w:rsidR="001F6146" w:rsidRDefault="001F6146" w:rsidP="001F6146">
      <w:pPr>
        <w:jc w:val="both"/>
      </w:pPr>
    </w:p>
    <w:sectPr w:rsidR="001F6146" w:rsidSect="0066273E">
      <w:headerReference w:type="first" r:id="rId9"/>
      <w:pgSz w:w="11906" w:h="16838"/>
      <w:pgMar w:top="1417" w:right="1133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E41D6" w14:textId="77777777" w:rsidR="008B6095" w:rsidRDefault="008B6095" w:rsidP="004B739B">
      <w:r>
        <w:separator/>
      </w:r>
    </w:p>
  </w:endnote>
  <w:endnote w:type="continuationSeparator" w:id="0">
    <w:p w14:paraId="314F8681" w14:textId="77777777" w:rsidR="008B6095" w:rsidRDefault="008B6095" w:rsidP="004B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B92C0" w14:textId="77777777" w:rsidR="008B6095" w:rsidRDefault="008B6095" w:rsidP="004B739B">
      <w:r>
        <w:separator/>
      </w:r>
    </w:p>
  </w:footnote>
  <w:footnote w:type="continuationSeparator" w:id="0">
    <w:p w14:paraId="60056BA5" w14:textId="77777777" w:rsidR="008B6095" w:rsidRDefault="008B6095" w:rsidP="004B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9F344" w14:textId="1E7852A8" w:rsidR="004B739B" w:rsidRPr="0066273E" w:rsidRDefault="00C52632" w:rsidP="0066273E">
    <w:pPr>
      <w:pStyle w:val="Zhlav"/>
      <w:jc w:val="right"/>
      <w:rPr>
        <w:sz w:val="24"/>
        <w:szCs w:val="24"/>
      </w:rPr>
    </w:pPr>
    <w:r>
      <w:rPr>
        <w:sz w:val="24"/>
        <w:szCs w:val="24"/>
      </w:rPr>
      <w:t xml:space="preserve">         </w:t>
    </w:r>
    <w:r w:rsidR="006371BB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BC1"/>
    <w:multiLevelType w:val="hybridMultilevel"/>
    <w:tmpl w:val="F63C1484"/>
    <w:lvl w:ilvl="0" w:tplc="3C3C33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56B2"/>
    <w:multiLevelType w:val="multilevel"/>
    <w:tmpl w:val="EE6C633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2" w15:restartNumberingAfterBreak="0">
    <w:nsid w:val="14315449"/>
    <w:multiLevelType w:val="hybridMultilevel"/>
    <w:tmpl w:val="6D6C2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5F2C"/>
    <w:multiLevelType w:val="hybridMultilevel"/>
    <w:tmpl w:val="264ED64C"/>
    <w:lvl w:ilvl="0" w:tplc="161A67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26891"/>
    <w:multiLevelType w:val="hybridMultilevel"/>
    <w:tmpl w:val="5994F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5A51EC"/>
    <w:multiLevelType w:val="multilevel"/>
    <w:tmpl w:val="2C0C0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B93B81"/>
    <w:multiLevelType w:val="multilevel"/>
    <w:tmpl w:val="370A0380"/>
    <w:lvl w:ilvl="0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7" w15:restartNumberingAfterBreak="0">
    <w:nsid w:val="59846C3E"/>
    <w:multiLevelType w:val="multilevel"/>
    <w:tmpl w:val="BA8C27F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73375CAE"/>
    <w:multiLevelType w:val="hybridMultilevel"/>
    <w:tmpl w:val="B10EE9D8"/>
    <w:lvl w:ilvl="0" w:tplc="98D802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46"/>
    <w:rsid w:val="00002121"/>
    <w:rsid w:val="000075E5"/>
    <w:rsid w:val="000619A5"/>
    <w:rsid w:val="0008709C"/>
    <w:rsid w:val="000F7AB3"/>
    <w:rsid w:val="000F7E8F"/>
    <w:rsid w:val="00103471"/>
    <w:rsid w:val="00104FEE"/>
    <w:rsid w:val="001444CE"/>
    <w:rsid w:val="001C2EED"/>
    <w:rsid w:val="001D1E46"/>
    <w:rsid w:val="001F6146"/>
    <w:rsid w:val="00225139"/>
    <w:rsid w:val="002A29D7"/>
    <w:rsid w:val="002C6600"/>
    <w:rsid w:val="003D2F5C"/>
    <w:rsid w:val="004538E6"/>
    <w:rsid w:val="0048447F"/>
    <w:rsid w:val="004A245F"/>
    <w:rsid w:val="004B0F9D"/>
    <w:rsid w:val="004B739B"/>
    <w:rsid w:val="004F4FC6"/>
    <w:rsid w:val="00505B6F"/>
    <w:rsid w:val="0051039D"/>
    <w:rsid w:val="005752DF"/>
    <w:rsid w:val="005A41A8"/>
    <w:rsid w:val="005B2976"/>
    <w:rsid w:val="005B60D0"/>
    <w:rsid w:val="006371BB"/>
    <w:rsid w:val="00642E57"/>
    <w:rsid w:val="0066273E"/>
    <w:rsid w:val="00684D87"/>
    <w:rsid w:val="006A6BA4"/>
    <w:rsid w:val="007006F6"/>
    <w:rsid w:val="00745A1A"/>
    <w:rsid w:val="007F2A02"/>
    <w:rsid w:val="0083591E"/>
    <w:rsid w:val="00867F44"/>
    <w:rsid w:val="0088286E"/>
    <w:rsid w:val="00897EAC"/>
    <w:rsid w:val="008B6095"/>
    <w:rsid w:val="008C5109"/>
    <w:rsid w:val="00945625"/>
    <w:rsid w:val="0095529A"/>
    <w:rsid w:val="009F47FD"/>
    <w:rsid w:val="00A13689"/>
    <w:rsid w:val="00A71F96"/>
    <w:rsid w:val="00A94B0C"/>
    <w:rsid w:val="00AF4E72"/>
    <w:rsid w:val="00B15C66"/>
    <w:rsid w:val="00B16DD9"/>
    <w:rsid w:val="00BA158B"/>
    <w:rsid w:val="00BC43C4"/>
    <w:rsid w:val="00BE0BE2"/>
    <w:rsid w:val="00C2187A"/>
    <w:rsid w:val="00C27E55"/>
    <w:rsid w:val="00C52632"/>
    <w:rsid w:val="00C8273E"/>
    <w:rsid w:val="00CD73B0"/>
    <w:rsid w:val="00D05FA0"/>
    <w:rsid w:val="00D6001F"/>
    <w:rsid w:val="00DD6ECB"/>
    <w:rsid w:val="00E3345C"/>
    <w:rsid w:val="00E3777D"/>
    <w:rsid w:val="00E65B5C"/>
    <w:rsid w:val="00E6613E"/>
    <w:rsid w:val="00E84BA7"/>
    <w:rsid w:val="00EE34A9"/>
    <w:rsid w:val="00EE544B"/>
    <w:rsid w:val="00F00BB7"/>
    <w:rsid w:val="00F456F5"/>
    <w:rsid w:val="00F8481F"/>
    <w:rsid w:val="00F92E71"/>
    <w:rsid w:val="00F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1671"/>
  <w15:docId w15:val="{18A66521-3002-45FA-8596-5845D53C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1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1F614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1F6146"/>
    <w:pPr>
      <w:ind w:left="708"/>
    </w:pPr>
  </w:style>
  <w:style w:type="character" w:customStyle="1" w:styleId="Bodytext2">
    <w:name w:val="Body text (2)_"/>
    <w:basedOn w:val="Standardnpsmoodstavce"/>
    <w:link w:val="Bodytext20"/>
    <w:rsid w:val="00E6613E"/>
    <w:rPr>
      <w:sz w:val="20"/>
      <w:szCs w:val="20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E6613E"/>
    <w:pPr>
      <w:widowControl w:val="0"/>
      <w:shd w:val="clear" w:color="auto" w:fill="FFFFFF"/>
      <w:autoSpaceDE/>
      <w:autoSpaceDN/>
      <w:spacing w:before="460" w:after="460" w:line="259" w:lineRule="exact"/>
      <w:ind w:hanging="640"/>
      <w:jc w:val="center"/>
    </w:pPr>
    <w:rPr>
      <w:rFonts w:asciiTheme="minorHAnsi" w:eastAsiaTheme="minorHAnsi" w:hAnsiTheme="minorHAnsi" w:cstheme="minorBidi"/>
      <w:lang w:eastAsia="en-US"/>
    </w:rPr>
  </w:style>
  <w:style w:type="character" w:styleId="Hypertextovodkaz">
    <w:name w:val="Hyperlink"/>
    <w:basedOn w:val="Standardnpsmoodstavce"/>
    <w:unhideWhenUsed/>
    <w:rsid w:val="0008709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4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47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73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3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73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39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eplotesi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plotes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Macurová</dc:creator>
  <cp:lastModifiedBy>Humeličová Iveta</cp:lastModifiedBy>
  <cp:revision>4</cp:revision>
  <cp:lastPrinted>2022-03-09T08:07:00Z</cp:lastPrinted>
  <dcterms:created xsi:type="dcterms:W3CDTF">2022-03-28T07:15:00Z</dcterms:created>
  <dcterms:modified xsi:type="dcterms:W3CDTF">2022-03-28T07:19:00Z</dcterms:modified>
</cp:coreProperties>
</file>