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Základní škola, Praha 10, Hostýnská 2100/2,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47611171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Hostýnská 2100/2, Strašnice (Praha 10), 108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Albert Hotový, statutárním zástupcem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CZ.02.3.68/0.0/0.0/18_064/0015349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Podpora inkluzivního vzdělávání a vzájemné spolupráce pedagogů na ZŠ Hostýnská 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CZ.02.3.X/0.0/0.0/20_081/0021240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Podpora inkluzivního vzdělávání a vzájemné spolupráce pedagogů na ZŠ Hostýnská III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Výzkum, vývoj a vzdělávání ve Výzvě č. 02_20_081 Šablony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CZ.07.4.67/0.0/0.0/19_073/0002226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Odborná učebna přírodních věd na ZŠ Hostýnská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předložený v Operačním programu Praha – pól růstu ČR ve Výzvě č. 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HZPR9Z/W2PxvEYeq3LlxCQAoMg==">AMUW2mXB6yW//SqC4LDkHhigALDd0ZiFTo4TRU6s0kRi7n83vdmqF9HlwwR2zFclHbj7TS5pwp8RP1Nu3LGhkUIyloy1w/AQn4N1oLFT+p80MgwZTbXxOAU=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