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shd w:fill="DFDFDF" w:val="clear"/>
        <w:rPr>
          <w:sz w:val="26"/>
          <w:szCs w:val="26"/>
        </w:rPr>
      </w:pPr>
      <w:r>
        <w:rPr>
          <w:sz w:val="26"/>
          <w:szCs w:val="26"/>
        </w:rPr>
        <w:t xml:space="preserve">Smlouva o zájezdovém představení </w:t>
      </w:r>
    </w:p>
    <w:p>
      <w:pPr>
        <w:pStyle w:val="Normal"/>
        <w:widowControl/>
        <w:spacing w:before="120" w:after="0"/>
        <w:jc w:val="center"/>
        <w:rPr>
          <w:color w:val="000000"/>
        </w:rPr>
      </w:pPr>
      <w:r>
        <w:rPr>
          <w:color w:val="000000"/>
        </w:rPr>
        <w:t xml:space="preserve">je uzavřená ve smyslu § 1746 odst. 2 zák. č. 89/2012 Sb., občanského zákoníku, ve znění pozdějších předpisů </w:t>
      </w:r>
    </w:p>
    <w:p>
      <w:pPr>
        <w:pStyle w:val="Normal"/>
        <w:spacing w:before="120" w:after="0"/>
        <w:rPr>
          <w:sz w:val="24"/>
          <w:szCs w:val="24"/>
        </w:rPr>
      </w:pPr>
      <w:r>
        <w:rPr>
          <w:sz w:val="24"/>
          <w:szCs w:val="24"/>
        </w:rPr>
      </w:r>
    </w:p>
    <w:p>
      <w:pPr>
        <w:pStyle w:val="Normal"/>
        <w:rPr>
          <w:b/>
          <w:b/>
          <w:sz w:val="24"/>
          <w:szCs w:val="24"/>
        </w:rPr>
      </w:pPr>
      <w:r>
        <w:rPr>
          <w:b/>
          <w:sz w:val="24"/>
          <w:szCs w:val="24"/>
        </w:rPr>
        <w:t>Sedmá divadelní s. r. o.</w:t>
      </w:r>
    </w:p>
    <w:p>
      <w:pPr>
        <w:pStyle w:val="Normal"/>
        <w:rPr>
          <w:b/>
          <w:b/>
          <w:sz w:val="24"/>
          <w:szCs w:val="24"/>
        </w:rPr>
      </w:pPr>
      <w:r>
        <w:rPr>
          <w:sz w:val="24"/>
          <w:szCs w:val="24"/>
        </w:rPr>
        <w:t>se sídlem Heřmanova 1313/32, Praha 7, 170 00</w:t>
      </w:r>
    </w:p>
    <w:p>
      <w:pPr>
        <w:pStyle w:val="Normal"/>
        <w:spacing w:before="120" w:after="0"/>
        <w:rPr>
          <w:sz w:val="24"/>
          <w:szCs w:val="24"/>
        </w:rPr>
      </w:pPr>
      <w:r>
        <w:rPr>
          <w:sz w:val="24"/>
          <w:szCs w:val="24"/>
        </w:rPr>
        <w:t>IČ: 04341058, DIČ: CZ04341058</w:t>
      </w:r>
    </w:p>
    <w:p>
      <w:pPr>
        <w:pStyle w:val="Normal"/>
        <w:spacing w:before="120" w:after="0"/>
        <w:rPr>
          <w:sz w:val="24"/>
          <w:szCs w:val="24"/>
        </w:rPr>
      </w:pPr>
      <w:r>
        <w:rPr>
          <w:sz w:val="24"/>
          <w:szCs w:val="24"/>
        </w:rPr>
        <w:t>Plátce DPH</w:t>
      </w:r>
    </w:p>
    <w:p>
      <w:pPr>
        <w:pStyle w:val="Normal"/>
        <w:spacing w:before="120" w:after="0"/>
        <w:rPr>
          <w:sz w:val="24"/>
          <w:szCs w:val="24"/>
        </w:rPr>
      </w:pPr>
      <w:r>
        <w:rPr>
          <w:sz w:val="24"/>
          <w:szCs w:val="24"/>
        </w:rPr>
        <w:t>zastoupená Gabrielou Kolečkovou, jednatelkou</w:t>
      </w:r>
    </w:p>
    <w:p>
      <w:pPr>
        <w:pStyle w:val="Normal"/>
        <w:spacing w:before="120" w:after="0"/>
        <w:rPr>
          <w:sz w:val="24"/>
          <w:szCs w:val="24"/>
        </w:rPr>
      </w:pPr>
      <w:r>
        <w:rPr>
          <w:sz w:val="24"/>
          <w:szCs w:val="24"/>
        </w:rPr>
        <w:t>bankovní spojení: Komerční banka, a.s., č.ú. 115-743620227/0100</w:t>
      </w:r>
    </w:p>
    <w:p>
      <w:pPr>
        <w:pStyle w:val="Normal"/>
        <w:spacing w:before="120" w:after="0"/>
        <w:rPr>
          <w:b/>
          <w:b/>
          <w:sz w:val="24"/>
          <w:szCs w:val="24"/>
        </w:rPr>
      </w:pPr>
      <w:r>
        <w:rPr>
          <w:sz w:val="24"/>
          <w:szCs w:val="24"/>
        </w:rPr>
        <w:t>dále jen „</w:t>
      </w:r>
      <w:r>
        <w:rPr>
          <w:b/>
          <w:sz w:val="24"/>
          <w:szCs w:val="24"/>
        </w:rPr>
        <w:t xml:space="preserve">Sedmá divadelní“  </w:t>
      </w:r>
    </w:p>
    <w:p>
      <w:pPr>
        <w:pStyle w:val="Normal"/>
        <w:spacing w:before="120" w:after="0"/>
        <w:jc w:val="both"/>
        <w:rPr>
          <w:b/>
          <w:b/>
          <w:sz w:val="24"/>
          <w:szCs w:val="24"/>
        </w:rPr>
      </w:pPr>
      <w:r>
        <w:rPr>
          <w:b/>
          <w:sz w:val="24"/>
          <w:szCs w:val="24"/>
        </w:rPr>
        <w:t>a</w:t>
      </w:r>
    </w:p>
    <w:p>
      <w:pPr>
        <w:pStyle w:val="Normal"/>
        <w:spacing w:before="120" w:after="0"/>
        <w:jc w:val="both"/>
        <w:rPr>
          <w:b/>
          <w:b/>
          <w:sz w:val="24"/>
          <w:szCs w:val="24"/>
        </w:rPr>
      </w:pPr>
      <w:r>
        <w:rPr>
          <w:b/>
          <w:sz w:val="24"/>
          <w:szCs w:val="24"/>
        </w:rPr>
      </w:r>
    </w:p>
    <w:p>
      <w:pPr>
        <w:pStyle w:val="Normal"/>
        <w:spacing w:before="120" w:after="0"/>
        <w:jc w:val="both"/>
        <w:rPr>
          <w:b/>
          <w:b/>
          <w:sz w:val="24"/>
          <w:szCs w:val="24"/>
        </w:rPr>
      </w:pPr>
      <w:r>
        <w:rPr>
          <w:b/>
          <w:sz w:val="24"/>
          <w:szCs w:val="24"/>
        </w:rPr>
        <w:t>Národní dům Frýdek-Místek, p.o.</w:t>
      </w:r>
    </w:p>
    <w:p>
      <w:pPr>
        <w:pStyle w:val="Normal"/>
        <w:spacing w:before="120" w:after="0"/>
        <w:jc w:val="both"/>
        <w:rPr>
          <w:sz w:val="24"/>
          <w:szCs w:val="24"/>
        </w:rPr>
      </w:pPr>
      <w:r>
        <w:rPr>
          <w:sz w:val="24"/>
          <w:szCs w:val="24"/>
        </w:rPr>
        <w:t>se sídlem Palackého 134, 738 01 Frýdek-Místek</w:t>
      </w:r>
    </w:p>
    <w:p>
      <w:pPr>
        <w:pStyle w:val="Normal"/>
        <w:spacing w:before="120" w:after="0"/>
        <w:jc w:val="both"/>
        <w:rPr>
          <w:sz w:val="24"/>
          <w:szCs w:val="24"/>
        </w:rPr>
      </w:pPr>
      <w:r>
        <w:rPr>
          <w:sz w:val="24"/>
          <w:szCs w:val="24"/>
        </w:rPr>
        <w:t>IČ: 70632405, CZ70632405</w:t>
      </w:r>
    </w:p>
    <w:p>
      <w:pPr>
        <w:pStyle w:val="Normal"/>
        <w:spacing w:before="120" w:after="0"/>
        <w:jc w:val="both"/>
        <w:rPr>
          <w:sz w:val="24"/>
          <w:szCs w:val="24"/>
        </w:rPr>
      </w:pPr>
      <w:r>
        <w:rPr>
          <w:sz w:val="24"/>
          <w:szCs w:val="24"/>
        </w:rPr>
        <w:t>Zastoupené Gabrielou Kocichovou, ředitelkou</w:t>
      </w:r>
    </w:p>
    <w:p>
      <w:pPr>
        <w:pStyle w:val="Normal"/>
        <w:spacing w:before="120" w:after="0"/>
        <w:jc w:val="both"/>
        <w:rPr>
          <w:sz w:val="24"/>
          <w:szCs w:val="24"/>
        </w:rPr>
      </w:pPr>
      <w:r>
        <w:rPr>
          <w:sz w:val="24"/>
          <w:szCs w:val="24"/>
        </w:rPr>
        <w:t>dále jen „</w:t>
      </w:r>
      <w:r>
        <w:rPr>
          <w:b/>
          <w:sz w:val="24"/>
          <w:szCs w:val="24"/>
        </w:rPr>
        <w:t xml:space="preserve">Pořadatel“ </w:t>
      </w:r>
    </w:p>
    <w:p>
      <w:pPr>
        <w:pStyle w:val="Normal"/>
        <w:spacing w:before="120" w:after="0"/>
        <w:jc w:val="both"/>
        <w:rPr>
          <w:b/>
          <w:b/>
          <w:sz w:val="24"/>
          <w:szCs w:val="24"/>
        </w:rPr>
      </w:pPr>
      <w:r>
        <w:rPr>
          <w:sz w:val="24"/>
          <w:szCs w:val="24"/>
        </w:rPr>
        <w:t xml:space="preserve">společně dále jen také </w:t>
      </w:r>
      <w:r>
        <w:rPr>
          <w:b/>
          <w:sz w:val="24"/>
          <w:szCs w:val="24"/>
        </w:rPr>
        <w:t>„smluvní strany”</w:t>
      </w:r>
    </w:p>
    <w:p>
      <w:pPr>
        <w:pStyle w:val="Normal"/>
        <w:spacing w:before="120" w:after="0"/>
        <w:jc w:val="both"/>
        <w:rPr>
          <w:b/>
          <w:b/>
          <w:sz w:val="24"/>
          <w:szCs w:val="24"/>
        </w:rPr>
      </w:pPr>
      <w:r>
        <w:rPr>
          <w:b/>
          <w:sz w:val="24"/>
          <w:szCs w:val="24"/>
        </w:rPr>
      </w:r>
    </w:p>
    <w:p>
      <w:pPr>
        <w:pStyle w:val="Normal"/>
        <w:spacing w:before="120" w:after="0"/>
        <w:jc w:val="both"/>
        <w:rPr>
          <w:sz w:val="24"/>
          <w:szCs w:val="24"/>
        </w:rPr>
      </w:pPr>
      <w:r>
        <w:rPr>
          <w:sz w:val="24"/>
          <w:szCs w:val="24"/>
        </w:rPr>
      </w:r>
    </w:p>
    <w:p>
      <w:pPr>
        <w:pStyle w:val="Normal"/>
        <w:spacing w:before="120" w:after="0"/>
        <w:jc w:val="both"/>
        <w:rPr>
          <w:sz w:val="24"/>
          <w:szCs w:val="24"/>
        </w:rPr>
      </w:pPr>
      <w:r>
        <w:rPr>
          <w:sz w:val="24"/>
          <w:szCs w:val="24"/>
        </w:rPr>
        <w:t xml:space="preserve">uzavřely níže uvedeného dne následující </w:t>
      </w:r>
      <w:r>
        <w:rPr>
          <w:b/>
          <w:sz w:val="24"/>
          <w:szCs w:val="24"/>
        </w:rPr>
        <w:t>smlouvu</w:t>
      </w:r>
      <w:r>
        <w:rPr>
          <w:sz w:val="24"/>
          <w:szCs w:val="24"/>
        </w:rPr>
        <w:t>:</w:t>
      </w:r>
    </w:p>
    <w:p>
      <w:pPr>
        <w:pStyle w:val="Nadpis5"/>
        <w:spacing w:before="120" w:after="0"/>
        <w:rPr/>
      </w:pPr>
      <w:r>
        <w:rPr/>
        <w:t xml:space="preserve">I. </w:t>
      </w:r>
    </w:p>
    <w:p>
      <w:pPr>
        <w:pStyle w:val="Nadpis5"/>
        <w:rPr/>
      </w:pPr>
      <w:r>
        <w:rPr/>
        <w:t xml:space="preserve">Předmět smlouvy </w:t>
      </w:r>
    </w:p>
    <w:p>
      <w:pPr>
        <w:pStyle w:val="Normal"/>
        <w:spacing w:before="120" w:after="0"/>
        <w:ind w:left="390" w:hanging="390"/>
        <w:jc w:val="both"/>
        <w:rPr>
          <w:sz w:val="24"/>
          <w:szCs w:val="24"/>
        </w:rPr>
      </w:pPr>
      <w:r>
        <w:rPr>
          <w:sz w:val="24"/>
          <w:szCs w:val="24"/>
        </w:rPr>
        <w:t>1.</w:t>
        <w:tab/>
        <w:t>Sedmá divadelní se touto smlouvou zavazuje za podmínek stanovených v této smlouvě zajistit živé provozování níže uvedeného divadelního představení :</w:t>
      </w:r>
    </w:p>
    <w:p>
      <w:pPr>
        <w:pStyle w:val="Normal"/>
        <w:spacing w:before="120" w:after="0"/>
        <w:ind w:left="390" w:hanging="390"/>
        <w:jc w:val="both"/>
        <w:rPr>
          <w:b/>
          <w:b/>
          <w:sz w:val="24"/>
          <w:szCs w:val="24"/>
        </w:rPr>
      </w:pPr>
      <w:r>
        <w:rPr>
          <w:sz w:val="24"/>
          <w:szCs w:val="24"/>
        </w:rPr>
        <w:tab/>
      </w:r>
      <w:r>
        <w:rPr>
          <w:b/>
          <w:sz w:val="24"/>
          <w:szCs w:val="24"/>
        </w:rPr>
        <w:t>Název představení: Kleopatra</w:t>
      </w:r>
    </w:p>
    <w:p>
      <w:pPr>
        <w:pStyle w:val="Normal"/>
        <w:spacing w:before="120" w:after="0"/>
        <w:ind w:left="390" w:hanging="390"/>
        <w:jc w:val="both"/>
        <w:rPr>
          <w:b/>
          <w:b/>
          <w:sz w:val="24"/>
          <w:szCs w:val="24"/>
        </w:rPr>
      </w:pPr>
      <w:r>
        <w:rPr>
          <w:b/>
          <w:sz w:val="24"/>
          <w:szCs w:val="24"/>
        </w:rPr>
        <w:tab/>
        <w:t>Autor: Petr Kolečko</w:t>
        <w:tab/>
        <w:tab/>
      </w:r>
    </w:p>
    <w:p>
      <w:pPr>
        <w:pStyle w:val="Normal"/>
        <w:spacing w:before="120" w:after="0"/>
        <w:ind w:left="390" w:hanging="390"/>
        <w:jc w:val="both"/>
        <w:rPr>
          <w:b/>
          <w:b/>
          <w:sz w:val="24"/>
          <w:szCs w:val="24"/>
        </w:rPr>
      </w:pPr>
      <w:r>
        <w:rPr>
          <w:b/>
          <w:sz w:val="24"/>
          <w:szCs w:val="24"/>
        </w:rPr>
        <w:tab/>
        <w:t>Režie: Ondřej Pavelka</w:t>
        <w:tab/>
        <w:tab/>
        <w:tab/>
      </w:r>
    </w:p>
    <w:p>
      <w:pPr>
        <w:pStyle w:val="Normal"/>
        <w:spacing w:before="120" w:after="0"/>
        <w:ind w:left="390" w:hanging="390"/>
        <w:jc w:val="both"/>
        <w:rPr/>
      </w:pPr>
      <w:r>
        <w:rPr>
          <w:b/>
          <w:sz w:val="24"/>
          <w:szCs w:val="24"/>
        </w:rPr>
        <w:tab/>
        <w:t>Místo konání: Nová scéna Vlast, Hlavní třída 112, 738 01 Frýdek-Místek</w:t>
      </w:r>
    </w:p>
    <w:p>
      <w:pPr>
        <w:pStyle w:val="Normal"/>
        <w:spacing w:before="120" w:after="0"/>
        <w:ind w:left="390" w:hanging="390"/>
        <w:jc w:val="both"/>
        <w:rPr>
          <w:b/>
          <w:b/>
          <w:sz w:val="24"/>
          <w:szCs w:val="24"/>
        </w:rPr>
      </w:pPr>
      <w:r>
        <w:rPr>
          <w:b/>
          <w:sz w:val="24"/>
          <w:szCs w:val="24"/>
        </w:rPr>
        <w:tab/>
        <w:t>Datum a čas konání: 10. 5. 2022 v 19:00</w:t>
      </w:r>
    </w:p>
    <w:p>
      <w:pPr>
        <w:pStyle w:val="Normal"/>
        <w:spacing w:before="120" w:after="0"/>
        <w:ind w:left="390" w:hanging="390"/>
        <w:jc w:val="both"/>
        <w:rPr>
          <w:sz w:val="24"/>
          <w:szCs w:val="24"/>
        </w:rPr>
      </w:pPr>
      <w:r>
        <w:rPr>
          <w:sz w:val="24"/>
          <w:szCs w:val="24"/>
        </w:rPr>
        <w:tab/>
        <w:t>dále jen „</w:t>
      </w:r>
      <w:r>
        <w:rPr>
          <w:b/>
          <w:sz w:val="24"/>
          <w:szCs w:val="24"/>
        </w:rPr>
        <w:t>divadelní představení“</w:t>
      </w:r>
    </w:p>
    <w:p>
      <w:pPr>
        <w:pStyle w:val="Normal"/>
        <w:spacing w:before="120" w:after="0"/>
        <w:ind w:left="390" w:hanging="390"/>
        <w:jc w:val="center"/>
        <w:rPr>
          <w:b/>
          <w:b/>
          <w:sz w:val="24"/>
          <w:szCs w:val="24"/>
        </w:rPr>
      </w:pPr>
      <w:r>
        <w:rPr>
          <w:b/>
          <w:sz w:val="24"/>
          <w:szCs w:val="24"/>
        </w:rPr>
        <w:t>II.</w:t>
      </w:r>
    </w:p>
    <w:p>
      <w:pPr>
        <w:pStyle w:val="Nadpis6"/>
        <w:rPr/>
      </w:pPr>
      <w:r>
        <w:rPr/>
        <w:t>Odměna</w:t>
      </w:r>
    </w:p>
    <w:p>
      <w:pPr>
        <w:pStyle w:val="Normal"/>
        <w:spacing w:before="120" w:after="0"/>
        <w:jc w:val="both"/>
        <w:rPr>
          <w:color w:val="000000"/>
          <w:sz w:val="24"/>
          <w:szCs w:val="24"/>
        </w:rPr>
      </w:pPr>
      <w:r>
        <w:rPr>
          <w:color w:val="000000"/>
          <w:sz w:val="24"/>
          <w:szCs w:val="24"/>
        </w:rPr>
        <w:t>1.</w:t>
        <w:tab/>
        <w:t>Pořadatel se zavazuje zaplatit Sedmé divadelní za živé provozování div. představení smluvní odměnu ve výši</w:t>
      </w:r>
    </w:p>
    <w:p>
      <w:pPr>
        <w:pStyle w:val="Normal"/>
        <w:tabs>
          <w:tab w:val="clear" w:pos="720"/>
          <w:tab w:val="left" w:pos="567" w:leader="none"/>
        </w:tabs>
        <w:spacing w:before="120" w:after="0"/>
        <w:jc w:val="center"/>
        <w:rPr>
          <w:b/>
          <w:b/>
          <w:sz w:val="24"/>
          <w:szCs w:val="24"/>
        </w:rPr>
      </w:pPr>
      <w:r>
        <w:rPr>
          <w:b/>
          <w:sz w:val="24"/>
          <w:szCs w:val="24"/>
        </w:rPr>
        <w:t xml:space="preserve">55. 000,- Kč </w:t>
      </w:r>
      <w:r>
        <w:rPr>
          <w:sz w:val="24"/>
          <w:szCs w:val="24"/>
        </w:rPr>
        <w:t>(padesát-pět-tisíc-korun-českých )</w:t>
      </w:r>
      <w:r>
        <w:rPr>
          <w:b/>
          <w:sz w:val="24"/>
          <w:szCs w:val="24"/>
        </w:rPr>
        <w:t xml:space="preserve"> + DPH 21%.</w:t>
      </w:r>
    </w:p>
    <w:p>
      <w:pPr>
        <w:pStyle w:val="Normal"/>
        <w:tabs>
          <w:tab w:val="clear" w:pos="720"/>
          <w:tab w:val="left" w:pos="567" w:leader="none"/>
        </w:tabs>
        <w:jc w:val="center"/>
        <w:rPr>
          <w:sz w:val="24"/>
          <w:szCs w:val="24"/>
        </w:rPr>
      </w:pPr>
      <w:r>
        <w:rPr>
          <w:sz w:val="24"/>
          <w:szCs w:val="24"/>
        </w:rPr>
      </w:r>
    </w:p>
    <w:p>
      <w:pPr>
        <w:pStyle w:val="Normal"/>
        <w:spacing w:before="120" w:after="0"/>
        <w:ind w:left="390" w:hanging="390"/>
        <w:jc w:val="both"/>
        <w:rPr>
          <w:color w:val="000000"/>
          <w:sz w:val="24"/>
          <w:szCs w:val="24"/>
        </w:rPr>
      </w:pPr>
      <w:r>
        <w:rPr>
          <w:color w:val="000000"/>
          <w:sz w:val="24"/>
          <w:szCs w:val="24"/>
        </w:rPr>
        <w:t>2.</w:t>
        <w:tab/>
        <w:t>Pořadatel se zavazuje zaplatit náklady Sedmé divadelní na přepravu divadelního souboru, techniky a přepravu dekorací, jejichž výše bude připočtena k celkové faktuře + DPH 21%.</w:t>
      </w:r>
    </w:p>
    <w:p>
      <w:pPr>
        <w:pStyle w:val="Normal"/>
        <w:spacing w:before="120" w:after="0"/>
        <w:ind w:left="390" w:hanging="390"/>
        <w:jc w:val="both"/>
        <w:rPr>
          <w:color w:val="000000"/>
          <w:sz w:val="24"/>
          <w:szCs w:val="24"/>
        </w:rPr>
      </w:pPr>
      <w:r>
        <w:rPr>
          <w:color w:val="000000"/>
          <w:sz w:val="24"/>
          <w:szCs w:val="24"/>
        </w:rPr>
        <w:t xml:space="preserve">3. </w:t>
        <w:tab/>
        <w:t>Pořadatel se také zavazuje uhradit náklady na techniku, jejichž maximální výše nepřekročí částku       4. 000 (čtyři-tisíce-korun-českých) + DPH 21%.</w:t>
      </w:r>
    </w:p>
    <w:p>
      <w:pPr>
        <w:pStyle w:val="Normal"/>
        <w:spacing w:before="120" w:after="0"/>
        <w:ind w:left="390" w:hanging="390"/>
        <w:jc w:val="both"/>
        <w:rPr>
          <w:color w:val="000000"/>
          <w:sz w:val="24"/>
          <w:szCs w:val="24"/>
        </w:rPr>
      </w:pPr>
      <w:r>
        <w:rPr>
          <w:color w:val="000000"/>
          <w:sz w:val="24"/>
          <w:szCs w:val="24"/>
        </w:rPr>
        <w:t xml:space="preserve">3.  Sedmá divadelní vystaví </w:t>
      </w:r>
      <w:r>
        <w:rPr>
          <w:sz w:val="24"/>
          <w:szCs w:val="24"/>
        </w:rPr>
        <w:t>po odehraném</w:t>
      </w:r>
      <w:r>
        <w:rPr>
          <w:color w:val="000000"/>
          <w:sz w:val="24"/>
          <w:szCs w:val="24"/>
        </w:rPr>
        <w:t xml:space="preserve"> představení fakturu, kterou pořadatel </w:t>
      </w:r>
      <w:r>
        <w:rPr>
          <w:sz w:val="24"/>
          <w:szCs w:val="24"/>
        </w:rPr>
        <w:t>za</w:t>
      </w:r>
      <w:r>
        <w:rPr>
          <w:color w:val="000000"/>
          <w:sz w:val="24"/>
          <w:szCs w:val="24"/>
        </w:rPr>
        <w:t xml:space="preserve">platí do 10  pracovních dnů po </w:t>
      </w:r>
      <w:r>
        <w:rPr>
          <w:sz w:val="24"/>
          <w:szCs w:val="24"/>
        </w:rPr>
        <w:t>jejím obdržení</w:t>
      </w:r>
      <w:r>
        <w:rPr>
          <w:color w:val="000000"/>
          <w:sz w:val="24"/>
          <w:szCs w:val="24"/>
        </w:rPr>
        <w:t xml:space="preserve"> bezhotovostním převodem na účet Sedmé divadelní.</w:t>
      </w:r>
    </w:p>
    <w:p>
      <w:pPr>
        <w:pStyle w:val="Normal"/>
        <w:spacing w:before="120" w:after="0"/>
        <w:ind w:left="390" w:hanging="390"/>
        <w:jc w:val="both"/>
        <w:rPr>
          <w:color w:val="000000"/>
          <w:sz w:val="24"/>
          <w:szCs w:val="24"/>
        </w:rPr>
      </w:pPr>
      <w:r>
        <w:rPr>
          <w:color w:val="000000"/>
          <w:sz w:val="24"/>
          <w:szCs w:val="24"/>
        </w:rPr>
        <w:t>4.   Pořadatel se zavazuje do pěti pracovních dnů uhradit dohodnuté autorské honoráře v celkové výši 10% z ce</w:t>
      </w:r>
      <w:r>
        <w:rPr>
          <w:sz w:val="24"/>
          <w:szCs w:val="24"/>
        </w:rPr>
        <w:t>lkových hrubých tržeb</w:t>
      </w:r>
      <w:r>
        <w:rPr>
          <w:color w:val="000000"/>
          <w:sz w:val="24"/>
          <w:szCs w:val="24"/>
        </w:rPr>
        <w:t xml:space="preserve"> + DPH 21% . Autorské honoráře budou uhrazeny na základě faktur vystavených autory nejpozději 10 pracovních dnů po převzetí faktur.</w:t>
      </w:r>
    </w:p>
    <w:p>
      <w:pPr>
        <w:pStyle w:val="Normal"/>
        <w:spacing w:before="120" w:after="0"/>
        <w:jc w:val="both"/>
        <w:rPr>
          <w:b/>
          <w:b/>
          <w:sz w:val="24"/>
          <w:szCs w:val="24"/>
        </w:rPr>
      </w:pPr>
      <w:r>
        <w:rPr>
          <w:color w:val="000000"/>
          <w:sz w:val="24"/>
          <w:szCs w:val="24"/>
        </w:rPr>
        <w:t xml:space="preserve">5.  Pořadatel zajistí ubytování na dvě noci od 9. 5. do 11.5.2022 a to 3 jednolůžkové pokoje a 1    dvoulůžkový. Alikvotní část ubytování uhradí Beskydské divadlo Nový Jičín, paní Alena Svobodová a kulturní dům AKORD </w:t>
      </w:r>
      <w:r>
        <w:rPr>
          <w:rFonts w:cs="Calibri" w:ascii="Calibri" w:hAnsi="Calibri"/>
          <w:color w:val="000000"/>
        </w:rPr>
        <w:t xml:space="preserve">&amp; </w:t>
      </w:r>
      <w:r>
        <w:rPr>
          <w:color w:val="000000"/>
          <w:sz w:val="24"/>
          <w:szCs w:val="24"/>
        </w:rPr>
        <w:t xml:space="preserve">POKLAD s. r. o., paní Taťána Strakošová. </w:t>
      </w:r>
    </w:p>
    <w:p>
      <w:pPr>
        <w:pStyle w:val="Normal"/>
        <w:spacing w:before="120" w:after="0"/>
        <w:ind w:left="390" w:hanging="390"/>
        <w:jc w:val="both"/>
        <w:rPr>
          <w:color w:val="000000"/>
          <w:sz w:val="24"/>
          <w:szCs w:val="24"/>
        </w:rPr>
      </w:pPr>
      <w:r>
        <w:rPr>
          <w:color w:val="000000"/>
          <w:sz w:val="24"/>
          <w:szCs w:val="24"/>
        </w:rPr>
      </w:r>
    </w:p>
    <w:p>
      <w:pPr>
        <w:pStyle w:val="Normal"/>
        <w:spacing w:before="120" w:after="0"/>
        <w:ind w:left="390" w:hanging="390"/>
        <w:jc w:val="center"/>
        <w:rPr>
          <w:b/>
          <w:b/>
          <w:color w:val="000000"/>
          <w:sz w:val="24"/>
          <w:szCs w:val="24"/>
        </w:rPr>
      </w:pPr>
      <w:r>
        <w:rPr>
          <w:b/>
          <w:color w:val="000000"/>
          <w:sz w:val="24"/>
          <w:szCs w:val="24"/>
        </w:rPr>
        <w:t>III.</w:t>
      </w:r>
    </w:p>
    <w:p>
      <w:pPr>
        <w:pStyle w:val="Normal"/>
        <w:ind w:left="390" w:hanging="390"/>
        <w:jc w:val="center"/>
        <w:rPr>
          <w:b/>
          <w:b/>
          <w:color w:val="000000"/>
          <w:sz w:val="24"/>
          <w:szCs w:val="24"/>
        </w:rPr>
      </w:pPr>
      <w:r>
        <w:rPr>
          <w:b/>
          <w:color w:val="000000"/>
          <w:sz w:val="24"/>
          <w:szCs w:val="24"/>
        </w:rPr>
        <w:t>Práva a povinnosti Pořadatele</w:t>
      </w:r>
    </w:p>
    <w:p>
      <w:pPr>
        <w:pStyle w:val="Normal"/>
        <w:spacing w:before="120" w:after="0"/>
        <w:ind w:left="390" w:hanging="390"/>
        <w:jc w:val="both"/>
        <w:rPr>
          <w:color w:val="000000"/>
          <w:sz w:val="24"/>
          <w:szCs w:val="24"/>
        </w:rPr>
      </w:pPr>
      <w:r>
        <w:rPr>
          <w:color w:val="000000"/>
          <w:sz w:val="24"/>
          <w:szCs w:val="24"/>
        </w:rPr>
        <w:t>1.</w:t>
        <w:tab/>
        <w:t xml:space="preserve">Pořadatel se zavazuje zajistit: </w:t>
      </w:r>
    </w:p>
    <w:p>
      <w:pPr>
        <w:pStyle w:val="Normal"/>
        <w:numPr>
          <w:ilvl w:val="0"/>
          <w:numId w:val="1"/>
        </w:numPr>
        <w:spacing w:before="120" w:after="0"/>
        <w:jc w:val="both"/>
        <w:rPr>
          <w:color w:val="000000"/>
          <w:sz w:val="24"/>
          <w:szCs w:val="24"/>
        </w:rPr>
      </w:pPr>
      <w:r>
        <w:rPr>
          <w:color w:val="000000"/>
          <w:sz w:val="24"/>
          <w:szCs w:val="24"/>
        </w:rPr>
        <w:t>volné přístupové cesty k jevišti a vyklizené jeviště,</w:t>
      </w:r>
    </w:p>
    <w:p>
      <w:pPr>
        <w:pStyle w:val="Normal"/>
        <w:numPr>
          <w:ilvl w:val="0"/>
          <w:numId w:val="1"/>
        </w:numPr>
        <w:spacing w:before="120" w:after="0"/>
        <w:jc w:val="both"/>
        <w:rPr>
          <w:color w:val="000000"/>
          <w:sz w:val="24"/>
          <w:szCs w:val="24"/>
        </w:rPr>
      </w:pPr>
      <w:r>
        <w:rPr>
          <w:color w:val="000000"/>
          <w:sz w:val="24"/>
          <w:szCs w:val="24"/>
        </w:rPr>
        <w:t>volné jeviště v den konání 6 hodin před začátkem divadelního představení, (po stavbě je nutná herecká zkouška)</w:t>
      </w:r>
    </w:p>
    <w:p>
      <w:pPr>
        <w:pStyle w:val="Normal"/>
        <w:numPr>
          <w:ilvl w:val="0"/>
          <w:numId w:val="1"/>
        </w:numPr>
        <w:spacing w:before="120" w:after="0"/>
        <w:jc w:val="both"/>
        <w:rPr>
          <w:color w:val="000000"/>
          <w:sz w:val="24"/>
          <w:szCs w:val="24"/>
        </w:rPr>
      </w:pPr>
      <w:r>
        <w:rPr>
          <w:color w:val="000000"/>
          <w:sz w:val="24"/>
          <w:szCs w:val="24"/>
        </w:rPr>
        <w:t>úklid jeviště po postavení scény,</w:t>
      </w:r>
    </w:p>
    <w:p>
      <w:pPr>
        <w:pStyle w:val="Normal"/>
        <w:numPr>
          <w:ilvl w:val="0"/>
          <w:numId w:val="1"/>
        </w:numPr>
        <w:spacing w:before="120" w:after="0"/>
        <w:jc w:val="both"/>
        <w:rPr>
          <w:color w:val="000000"/>
          <w:sz w:val="24"/>
          <w:szCs w:val="24"/>
        </w:rPr>
      </w:pPr>
      <w:r>
        <w:rPr>
          <w:color w:val="000000"/>
          <w:sz w:val="24"/>
          <w:szCs w:val="24"/>
        </w:rPr>
        <w:t>čisté a vyklizené šatny pro 1 ženu a 1 muže a nezbytné hygienické zařízení,</w:t>
      </w:r>
    </w:p>
    <w:p>
      <w:pPr>
        <w:pStyle w:val="Normal"/>
        <w:numPr>
          <w:ilvl w:val="0"/>
          <w:numId w:val="1"/>
        </w:numPr>
        <w:spacing w:before="120" w:after="0"/>
        <w:jc w:val="both"/>
        <w:rPr>
          <w:color w:val="000000"/>
          <w:sz w:val="24"/>
          <w:szCs w:val="24"/>
        </w:rPr>
      </w:pPr>
      <w:r>
        <w:rPr>
          <w:color w:val="000000"/>
          <w:sz w:val="24"/>
          <w:szCs w:val="24"/>
        </w:rPr>
        <w:t>alespoň jednu místnost s tekoucí vodou a el. příkonem 220V,</w:t>
      </w:r>
    </w:p>
    <w:p>
      <w:pPr>
        <w:pStyle w:val="Normal"/>
        <w:numPr>
          <w:ilvl w:val="0"/>
          <w:numId w:val="1"/>
        </w:numPr>
        <w:spacing w:before="120" w:after="0"/>
        <w:jc w:val="both"/>
        <w:rPr>
          <w:color w:val="000000"/>
          <w:sz w:val="24"/>
          <w:szCs w:val="24"/>
        </w:rPr>
      </w:pPr>
      <w:r>
        <w:rPr>
          <w:color w:val="000000"/>
          <w:sz w:val="24"/>
          <w:szCs w:val="24"/>
        </w:rPr>
        <w:t>přítomnost jevištního mistra, zvukaře a osvětlovače (v jedné osobě) 6 hodin před začátkem divadelního představení,</w:t>
      </w:r>
    </w:p>
    <w:p>
      <w:pPr>
        <w:pStyle w:val="Normal"/>
        <w:numPr>
          <w:ilvl w:val="0"/>
          <w:numId w:val="1"/>
        </w:numPr>
        <w:spacing w:before="120" w:after="0"/>
        <w:jc w:val="both"/>
        <w:rPr>
          <w:color w:val="000000"/>
          <w:sz w:val="24"/>
          <w:szCs w:val="24"/>
        </w:rPr>
      </w:pPr>
      <w:r>
        <w:rPr>
          <w:color w:val="000000"/>
          <w:sz w:val="24"/>
          <w:szCs w:val="24"/>
        </w:rPr>
        <w:t>na vlastní náklady pořadatelskou, technickou a požární službu,</w:t>
      </w:r>
    </w:p>
    <w:p>
      <w:pPr>
        <w:pStyle w:val="Normal"/>
        <w:numPr>
          <w:ilvl w:val="0"/>
          <w:numId w:val="1"/>
        </w:numPr>
        <w:spacing w:before="120" w:after="0"/>
        <w:jc w:val="both"/>
        <w:rPr>
          <w:color w:val="000000"/>
          <w:sz w:val="24"/>
          <w:szCs w:val="24"/>
        </w:rPr>
      </w:pPr>
      <w:r>
        <w:rPr>
          <w:color w:val="000000"/>
          <w:sz w:val="24"/>
          <w:szCs w:val="24"/>
        </w:rPr>
        <w:t>co nejúčinněji propagovat zakoupené divadelní představení,</w:t>
      </w:r>
    </w:p>
    <w:p>
      <w:pPr>
        <w:pStyle w:val="Normal"/>
        <w:numPr>
          <w:ilvl w:val="0"/>
          <w:numId w:val="1"/>
        </w:numPr>
        <w:spacing w:before="120" w:after="0"/>
        <w:jc w:val="both"/>
        <w:rPr>
          <w:color w:val="000000"/>
          <w:sz w:val="24"/>
          <w:szCs w:val="24"/>
        </w:rPr>
      </w:pPr>
      <w:r>
        <w:rPr>
          <w:color w:val="000000"/>
          <w:sz w:val="24"/>
          <w:szCs w:val="24"/>
        </w:rPr>
        <w:t>povolení k vjezdu k místu konání divadelního představení a vhodné parkovací prostory pro vozidla Sedmé divadelní</w:t>
      </w:r>
    </w:p>
    <w:p>
      <w:pPr>
        <w:pStyle w:val="Normal"/>
        <w:numPr>
          <w:ilvl w:val="0"/>
          <w:numId w:val="1"/>
        </w:numPr>
        <w:spacing w:before="120" w:after="0"/>
        <w:jc w:val="both"/>
        <w:rPr/>
      </w:pPr>
      <w:r>
        <w:rPr>
          <w:color w:val="000000"/>
          <w:sz w:val="24"/>
          <w:szCs w:val="24"/>
        </w:rPr>
        <w:t>čtyři volná místa v hledišti pro zástupce Sedmé divadelní</w:t>
      </w:r>
    </w:p>
    <w:p>
      <w:pPr>
        <w:pStyle w:val="Normal"/>
        <w:numPr>
          <w:ilvl w:val="0"/>
          <w:numId w:val="1"/>
        </w:numPr>
        <w:spacing w:before="120" w:after="0"/>
        <w:jc w:val="both"/>
        <w:rPr/>
      </w:pPr>
      <w:r>
        <w:rPr>
          <w:color w:val="000000"/>
          <w:sz w:val="24"/>
          <w:szCs w:val="24"/>
        </w:rPr>
        <w:t>zajistit drobné občerstvení pro soubor</w:t>
      </w:r>
    </w:p>
    <w:p>
      <w:pPr>
        <w:pStyle w:val="Normal"/>
        <w:numPr>
          <w:ilvl w:val="0"/>
          <w:numId w:val="1"/>
        </w:numPr>
        <w:spacing w:before="120" w:after="0"/>
        <w:jc w:val="both"/>
        <w:rPr>
          <w:color w:val="000000"/>
          <w:sz w:val="24"/>
          <w:szCs w:val="24"/>
        </w:rPr>
      </w:pPr>
      <w:r>
        <w:rPr>
          <w:color w:val="000000"/>
          <w:sz w:val="24"/>
          <w:szCs w:val="24"/>
        </w:rPr>
        <w:t>základní světelný park, odpovídající ozvučení sálu, světelný a zvukový pult musí být u sebe, dělá jeden technik</w:t>
      </w:r>
    </w:p>
    <w:p>
      <w:pPr>
        <w:pStyle w:val="Normal"/>
        <w:spacing w:before="120" w:after="0"/>
        <w:ind w:left="390" w:hanging="0"/>
        <w:jc w:val="both"/>
        <w:rPr>
          <w:color w:val="000000"/>
          <w:sz w:val="24"/>
          <w:szCs w:val="24"/>
        </w:rPr>
      </w:pPr>
      <w:r>
        <w:rPr>
          <w:color w:val="000000"/>
          <w:sz w:val="24"/>
          <w:szCs w:val="24"/>
        </w:rPr>
      </w:r>
    </w:p>
    <w:p>
      <w:pPr>
        <w:pStyle w:val="Normal"/>
        <w:spacing w:before="120" w:after="0"/>
        <w:ind w:left="390" w:hanging="390"/>
        <w:jc w:val="both"/>
        <w:rPr>
          <w:color w:val="000000"/>
          <w:sz w:val="24"/>
          <w:szCs w:val="24"/>
        </w:rPr>
      </w:pPr>
      <w:r>
        <w:rPr>
          <w:color w:val="000000"/>
          <w:sz w:val="24"/>
          <w:szCs w:val="24"/>
        </w:rPr>
        <w:t>2.</w:t>
        <w:tab/>
        <w:t xml:space="preserve">Pořadatel má právo na poskytnutí veškerého dostupného propagačního materiálu, který se vztahuje k divadelnímu představení. </w:t>
      </w:r>
    </w:p>
    <w:p>
      <w:pPr>
        <w:pStyle w:val="Normal"/>
        <w:spacing w:before="120" w:after="0"/>
        <w:jc w:val="both"/>
        <w:rPr>
          <w:color w:val="000000"/>
          <w:sz w:val="24"/>
          <w:szCs w:val="24"/>
        </w:rPr>
      </w:pPr>
      <w:r>
        <w:rPr>
          <w:color w:val="000000"/>
          <w:sz w:val="24"/>
          <w:szCs w:val="24"/>
        </w:rPr>
        <w:t xml:space="preserve">        </w:t>
      </w:r>
    </w:p>
    <w:p>
      <w:pPr>
        <w:pStyle w:val="Normal"/>
        <w:spacing w:before="120" w:after="0"/>
        <w:ind w:left="390" w:hanging="390"/>
        <w:jc w:val="center"/>
        <w:rPr>
          <w:b/>
          <w:b/>
          <w:color w:val="000000"/>
          <w:sz w:val="24"/>
          <w:szCs w:val="24"/>
        </w:rPr>
      </w:pPr>
      <w:r>
        <w:rPr>
          <w:b/>
          <w:color w:val="000000"/>
          <w:sz w:val="24"/>
          <w:szCs w:val="24"/>
        </w:rPr>
        <w:t>IV.</w:t>
      </w:r>
    </w:p>
    <w:p>
      <w:pPr>
        <w:pStyle w:val="Normal"/>
        <w:ind w:left="390" w:hanging="390"/>
        <w:jc w:val="center"/>
        <w:rPr>
          <w:b/>
          <w:b/>
          <w:color w:val="000000"/>
          <w:sz w:val="24"/>
          <w:szCs w:val="24"/>
        </w:rPr>
      </w:pPr>
      <w:r>
        <w:rPr>
          <w:b/>
          <w:color w:val="000000"/>
          <w:sz w:val="24"/>
          <w:szCs w:val="24"/>
        </w:rPr>
        <w:t>Práva a povinnosti Sedmé divadelní</w:t>
      </w:r>
    </w:p>
    <w:p>
      <w:pPr>
        <w:pStyle w:val="Normal"/>
        <w:ind w:left="390" w:hanging="390"/>
        <w:jc w:val="center"/>
        <w:rPr>
          <w:b/>
          <w:b/>
          <w:color w:val="000000"/>
          <w:sz w:val="24"/>
          <w:szCs w:val="24"/>
        </w:rPr>
      </w:pPr>
      <w:r>
        <w:rPr>
          <w:b/>
          <w:color w:val="000000"/>
          <w:sz w:val="24"/>
          <w:szCs w:val="24"/>
        </w:rPr>
      </w:r>
    </w:p>
    <w:p>
      <w:pPr>
        <w:pStyle w:val="Normal"/>
        <w:spacing w:before="120" w:after="0"/>
        <w:ind w:left="390" w:hanging="390"/>
        <w:jc w:val="both"/>
        <w:rPr>
          <w:color w:val="000000"/>
          <w:sz w:val="24"/>
          <w:szCs w:val="24"/>
        </w:rPr>
      </w:pPr>
      <w:r>
        <w:rPr>
          <w:color w:val="000000"/>
          <w:sz w:val="24"/>
          <w:szCs w:val="24"/>
        </w:rPr>
        <w:t>1.</w:t>
        <w:tab/>
        <w:t>Sedmá divadelní se zavazuje zajistit živé provozování divadelního představení v dohodnutém termínu s plnou uměleckou odpovědností.</w:t>
      </w:r>
    </w:p>
    <w:p>
      <w:pPr>
        <w:pStyle w:val="Normal"/>
        <w:spacing w:before="120" w:after="0"/>
        <w:ind w:left="390" w:hanging="390"/>
        <w:jc w:val="both"/>
        <w:rPr>
          <w:color w:val="000000"/>
          <w:sz w:val="24"/>
          <w:szCs w:val="24"/>
        </w:rPr>
      </w:pPr>
      <w:r>
        <w:rPr>
          <w:color w:val="000000"/>
          <w:sz w:val="24"/>
          <w:szCs w:val="24"/>
        </w:rPr>
        <w:t>2.</w:t>
        <w:tab/>
        <w:t>Sedmá divadelní se zavazuje, že její vlastní technická a elektrická zařízení používaná při divadelním představení splňují podmínky ČSN 331610 a ČSN 331600.</w:t>
      </w:r>
    </w:p>
    <w:p>
      <w:pPr>
        <w:pStyle w:val="Normal"/>
        <w:spacing w:before="120" w:after="0"/>
        <w:ind w:left="390" w:hanging="390"/>
        <w:jc w:val="both"/>
        <w:rPr>
          <w:color w:val="000000"/>
          <w:sz w:val="24"/>
          <w:szCs w:val="24"/>
        </w:rPr>
      </w:pPr>
      <w:r>
        <w:rPr>
          <w:color w:val="000000"/>
          <w:sz w:val="24"/>
          <w:szCs w:val="24"/>
        </w:rPr>
        <w:t>3.</w:t>
        <w:tab/>
        <w:t xml:space="preserve">Sedmá divadelní je oprávněna odstoupit od této smlouvy, pokud Pořadatel nesplní některou z povinností uvedenou v čl. III., odst. 1 této smlouvy. </w:t>
      </w:r>
    </w:p>
    <w:p>
      <w:pPr>
        <w:pStyle w:val="Normal"/>
        <w:spacing w:before="120" w:after="0"/>
        <w:ind w:left="390" w:hanging="390"/>
        <w:jc w:val="center"/>
        <w:rPr>
          <w:b/>
          <w:b/>
          <w:color w:val="000000"/>
          <w:sz w:val="24"/>
          <w:szCs w:val="24"/>
        </w:rPr>
      </w:pPr>
      <w:r>
        <w:rPr>
          <w:b/>
          <w:color w:val="000000"/>
          <w:sz w:val="24"/>
          <w:szCs w:val="24"/>
        </w:rPr>
      </w:r>
    </w:p>
    <w:p>
      <w:pPr>
        <w:pStyle w:val="Normal"/>
        <w:spacing w:before="120" w:after="0"/>
        <w:ind w:left="390" w:hanging="390"/>
        <w:jc w:val="center"/>
        <w:rPr>
          <w:b/>
          <w:b/>
          <w:color w:val="000000"/>
          <w:sz w:val="24"/>
          <w:szCs w:val="24"/>
        </w:rPr>
      </w:pPr>
      <w:r>
        <w:rPr>
          <w:b/>
          <w:color w:val="000000"/>
          <w:sz w:val="24"/>
          <w:szCs w:val="24"/>
        </w:rPr>
      </w:r>
    </w:p>
    <w:p>
      <w:pPr>
        <w:pStyle w:val="Normal"/>
        <w:spacing w:before="120" w:after="0"/>
        <w:ind w:left="390" w:hanging="390"/>
        <w:jc w:val="center"/>
        <w:rPr>
          <w:b/>
          <w:b/>
          <w:color w:val="000000"/>
          <w:sz w:val="24"/>
          <w:szCs w:val="24"/>
        </w:rPr>
      </w:pPr>
      <w:r>
        <w:rPr>
          <w:b/>
          <w:color w:val="000000"/>
          <w:sz w:val="24"/>
          <w:szCs w:val="24"/>
        </w:rPr>
        <w:t>V.</w:t>
      </w:r>
    </w:p>
    <w:p>
      <w:pPr>
        <w:pStyle w:val="Normal"/>
        <w:ind w:left="390" w:hanging="390"/>
        <w:jc w:val="center"/>
        <w:rPr>
          <w:b/>
          <w:b/>
          <w:color w:val="000000"/>
          <w:sz w:val="24"/>
          <w:szCs w:val="24"/>
        </w:rPr>
      </w:pPr>
      <w:r>
        <w:rPr>
          <w:b/>
          <w:color w:val="000000"/>
          <w:sz w:val="24"/>
          <w:szCs w:val="24"/>
        </w:rPr>
        <w:t xml:space="preserve">Neuskutečnění představení </w:t>
      </w:r>
    </w:p>
    <w:p>
      <w:pPr>
        <w:pStyle w:val="Normal"/>
        <w:spacing w:before="120" w:after="0"/>
        <w:ind w:left="390" w:hanging="390"/>
        <w:jc w:val="both"/>
        <w:rPr>
          <w:color w:val="000000"/>
          <w:sz w:val="24"/>
          <w:szCs w:val="24"/>
        </w:rPr>
      </w:pPr>
      <w:r>
        <w:rPr>
          <w:color w:val="000000"/>
          <w:sz w:val="24"/>
          <w:szCs w:val="24"/>
        </w:rPr>
        <w:t>1.</w:t>
        <w:tab/>
        <w:t xml:space="preserve">Odřekne-li Pořadatel živé provozování divadelního přestavení bez závažných dokladovaných důvodů v době od účinnosti této smlouvy do 1 měsíce před termínem konáním divadelního představení, je povinen zaplatit Sedmé divadelní 20% z odměny. Odřekne-li Pořadatel živé provozování divadelního přestavení v rozmezí jednoho měsíce až jednoho týdne před termínem konání divadelního představení, je povinen zaplatit Sedmé divadelní 50% z odměny. Odřekne-li Pořadatel živé provozování divadelního představení v době kratší než jeden týden před termínem konání divadelního představení, je povinen zaplatit Sedmé divadelní 100% odměny. </w:t>
      </w:r>
    </w:p>
    <w:p>
      <w:pPr>
        <w:pStyle w:val="Normal"/>
        <w:spacing w:before="120" w:after="0"/>
        <w:ind w:left="390" w:hanging="390"/>
        <w:jc w:val="both"/>
        <w:rPr>
          <w:color w:val="000000"/>
          <w:sz w:val="24"/>
          <w:szCs w:val="24"/>
        </w:rPr>
      </w:pPr>
      <w:r>
        <w:rPr>
          <w:color w:val="000000"/>
          <w:sz w:val="24"/>
          <w:szCs w:val="24"/>
        </w:rPr>
        <w:t>2.</w:t>
        <w:tab/>
        <w:t>Smluvní strany se dohodly, že nízký počet prodaných vstupenek na divadelní představení nebo malá účast diváků není důvodem k odřeknutí představení.</w:t>
      </w:r>
    </w:p>
    <w:p>
      <w:pPr>
        <w:pStyle w:val="Normal"/>
        <w:spacing w:before="120" w:after="0"/>
        <w:ind w:left="390" w:hanging="390"/>
        <w:jc w:val="both"/>
        <w:rPr>
          <w:color w:val="000000"/>
          <w:sz w:val="24"/>
          <w:szCs w:val="24"/>
        </w:rPr>
      </w:pPr>
      <w:r>
        <w:rPr>
          <w:color w:val="000000"/>
          <w:sz w:val="24"/>
          <w:szCs w:val="24"/>
        </w:rPr>
        <w:t>3.</w:t>
        <w:tab/>
        <w:t>Odřekne-li Sedmá divadelní živé provozování divadelního přestavení bez závažných dokladovaných důvodů v rozmezí jednoho měsíce až jednoho týdne před termínem konání divadelního představení, je Sedmá divadelní povinna zaplatit pořadateli smluvní pokutu ve výši 5.000,- Kč. Odřekne-li Sedmá divadelní živé provozování divadelního představení v době kratší než jeden týden před termínem konání divadelního představení, je Sedmá divadelní povinna zaplatit pořadateli smluvní pokutu ve výši 10.000,- Kč.</w:t>
      </w:r>
    </w:p>
    <w:p>
      <w:pPr>
        <w:pStyle w:val="Normal"/>
        <w:spacing w:before="120" w:after="0"/>
        <w:ind w:left="390" w:hanging="390"/>
        <w:jc w:val="both"/>
        <w:rPr>
          <w:color w:val="000000"/>
          <w:sz w:val="24"/>
          <w:szCs w:val="24"/>
        </w:rPr>
      </w:pPr>
      <w:r>
        <w:rPr>
          <w:color w:val="000000"/>
          <w:sz w:val="24"/>
          <w:szCs w:val="24"/>
        </w:rPr>
        <w:t xml:space="preserve">4. </w:t>
        <w:tab/>
        <w:t>Bude-li živé provozování divadelního představení znemožněno v důsledku vyšší moci, kterou smluvní strany rozumí objektivní neodvratitelnou událost, kteráí nemohla být v době vzniku závazku předvídatelná, mají obě strany po předchozím vyrozumění právo od smlouvy odstoupit bez nároků na finanční náhradu škody. Smluvní stany rozumí vyšší mocí pro účely této smlouvy zejména přírodní katastrofy, požár, dopravní nehody, nařízení vlády či místní samosprávy, pandemie, úmrtí, úraz či nemoc umělce.</w:t>
      </w:r>
    </w:p>
    <w:p>
      <w:pPr>
        <w:pStyle w:val="Normal"/>
        <w:spacing w:before="120" w:after="0"/>
        <w:jc w:val="center"/>
        <w:rPr>
          <w:b/>
          <w:b/>
          <w:sz w:val="24"/>
          <w:szCs w:val="24"/>
        </w:rPr>
      </w:pPr>
      <w:r>
        <w:rPr>
          <w:b/>
          <w:sz w:val="24"/>
          <w:szCs w:val="24"/>
        </w:rPr>
        <w:t xml:space="preserve">VI. </w:t>
      </w:r>
    </w:p>
    <w:p>
      <w:pPr>
        <w:pStyle w:val="Normal"/>
        <w:jc w:val="center"/>
        <w:rPr>
          <w:b/>
          <w:b/>
          <w:sz w:val="24"/>
          <w:szCs w:val="24"/>
        </w:rPr>
      </w:pPr>
      <w:r>
        <w:rPr>
          <w:b/>
          <w:sz w:val="24"/>
          <w:szCs w:val="24"/>
        </w:rPr>
        <w:t>Závěrečná ustanovení</w:t>
      </w:r>
    </w:p>
    <w:p>
      <w:pPr>
        <w:pStyle w:val="Normal"/>
        <w:spacing w:before="120" w:after="0"/>
        <w:ind w:left="390" w:hanging="390"/>
        <w:jc w:val="both"/>
        <w:rPr>
          <w:color w:val="000000"/>
          <w:sz w:val="24"/>
          <w:szCs w:val="24"/>
        </w:rPr>
      </w:pPr>
      <w:r>
        <w:rPr>
          <w:color w:val="000000"/>
          <w:sz w:val="24"/>
          <w:szCs w:val="24"/>
        </w:rPr>
        <w:t>1.</w:t>
        <w:tab/>
        <w:t xml:space="preserve">Smluvní strany se zavazují, že veškeré případné spory budou přednostně řešit dohodou, a to s ohledem na jejich společný zájem a účel této smlouvy. </w:t>
      </w:r>
    </w:p>
    <w:p>
      <w:pPr>
        <w:pStyle w:val="Normal"/>
        <w:spacing w:before="120" w:after="0"/>
        <w:ind w:left="390" w:hanging="390"/>
        <w:jc w:val="both"/>
        <w:rPr>
          <w:color w:val="000000"/>
          <w:sz w:val="24"/>
          <w:szCs w:val="24"/>
        </w:rPr>
      </w:pPr>
      <w:r>
        <w:rPr>
          <w:color w:val="000000"/>
          <w:sz w:val="24"/>
          <w:szCs w:val="24"/>
        </w:rPr>
        <w:t>2.</w:t>
        <w:tab/>
        <w:t>Smluvní strany se dohodly, že jakékoli změny této smlouvy lze činit pouze písemnou formou.</w:t>
      </w:r>
    </w:p>
    <w:p>
      <w:pPr>
        <w:pStyle w:val="Normal"/>
        <w:spacing w:before="120" w:after="0"/>
        <w:ind w:left="390" w:hanging="390"/>
        <w:jc w:val="both"/>
        <w:rPr>
          <w:sz w:val="24"/>
          <w:szCs w:val="24"/>
        </w:rPr>
      </w:pPr>
      <w:r>
        <w:rPr>
          <w:color w:val="000000"/>
          <w:sz w:val="24"/>
          <w:szCs w:val="24"/>
        </w:rPr>
        <w:t>3.</w:t>
        <w:tab/>
        <w:t xml:space="preserve">Tato smlouva je sepsána ve dvou vyhotoveních, z nichž po jednom vyhotovení obdrží každá smluvní strana. </w:t>
      </w:r>
    </w:p>
    <w:p>
      <w:pPr>
        <w:pStyle w:val="Normal"/>
        <w:spacing w:before="120" w:after="0"/>
        <w:ind w:left="390" w:hanging="390"/>
        <w:jc w:val="both"/>
        <w:rPr>
          <w:color w:val="000000"/>
          <w:sz w:val="24"/>
          <w:szCs w:val="24"/>
        </w:rPr>
      </w:pPr>
      <w:r>
        <w:rPr>
          <w:sz w:val="24"/>
          <w:szCs w:val="24"/>
        </w:rPr>
        <w:t xml:space="preserve">4. </w:t>
        <w:tab/>
        <w:t>T</w:t>
      </w:r>
      <w:r>
        <w:rPr>
          <w:color w:val="000000"/>
          <w:sz w:val="24"/>
          <w:szCs w:val="24"/>
        </w:rPr>
        <w:t xml:space="preserve">ato smlouva nabývá účinnosti dnem jejího podpisu smluvními stranami. </w:t>
      </w:r>
    </w:p>
    <w:p>
      <w:pPr>
        <w:pStyle w:val="Normal"/>
        <w:spacing w:before="120" w:after="0"/>
        <w:jc w:val="both"/>
        <w:rPr>
          <w:sz w:val="24"/>
          <w:szCs w:val="24"/>
        </w:rPr>
      </w:pPr>
      <w:r>
        <w:rPr>
          <w:sz w:val="24"/>
          <w:szCs w:val="24"/>
        </w:rPr>
      </w:r>
    </w:p>
    <w:p>
      <w:pPr>
        <w:pStyle w:val="Normal"/>
        <w:spacing w:before="120" w:after="0"/>
        <w:jc w:val="both"/>
        <w:rPr>
          <w:sz w:val="24"/>
          <w:szCs w:val="24"/>
        </w:rPr>
      </w:pPr>
      <w:r>
        <w:rPr>
          <w:sz w:val="24"/>
          <w:szCs w:val="24"/>
        </w:rPr>
        <w:t>V Praze dne 8. 3. 2022</w:t>
        <w:tab/>
        <w:tab/>
        <w:tab/>
        <w:tab/>
        <w:tab/>
        <w:tab/>
        <w:tab/>
      </w:r>
    </w:p>
    <w:p>
      <w:pPr>
        <w:pStyle w:val="Normal"/>
        <w:spacing w:before="120" w:after="0"/>
        <w:ind w:firstLine="397"/>
        <w:jc w:val="both"/>
        <w:rPr>
          <w:sz w:val="24"/>
          <w:szCs w:val="24"/>
        </w:rPr>
      </w:pPr>
      <w:r>
        <w:rPr>
          <w:sz w:val="24"/>
          <w:szCs w:val="24"/>
        </w:rPr>
      </w:r>
    </w:p>
    <w:p>
      <w:pPr>
        <w:pStyle w:val="Normal"/>
        <w:spacing w:before="120" w:after="0"/>
        <w:jc w:val="both"/>
        <w:rPr>
          <w:sz w:val="24"/>
          <w:szCs w:val="24"/>
        </w:rPr>
      </w:pPr>
      <w:r>
        <w:rPr>
          <w:sz w:val="24"/>
          <w:szCs w:val="24"/>
        </w:rPr>
      </w:r>
    </w:p>
    <w:p>
      <w:pPr>
        <w:pStyle w:val="Normal"/>
        <w:spacing w:before="120" w:after="0"/>
        <w:jc w:val="both"/>
        <w:rPr>
          <w:sz w:val="24"/>
          <w:szCs w:val="24"/>
        </w:rPr>
      </w:pPr>
      <w:r>
        <w:rPr>
          <w:sz w:val="24"/>
          <w:szCs w:val="24"/>
        </w:rPr>
      </w:r>
    </w:p>
    <w:p>
      <w:pPr>
        <w:pStyle w:val="Normal"/>
        <w:spacing w:before="120" w:after="0"/>
        <w:jc w:val="both"/>
        <w:rPr>
          <w:sz w:val="24"/>
          <w:szCs w:val="24"/>
        </w:rPr>
      </w:pPr>
      <w:r>
        <w:rPr>
          <w:sz w:val="24"/>
          <w:szCs w:val="24"/>
        </w:rPr>
        <w:t>…………………………</w:t>
      </w:r>
      <w:r>
        <w:rPr>
          <w:sz w:val="24"/>
          <w:szCs w:val="24"/>
        </w:rPr>
        <w:t>..</w:t>
        <w:tab/>
        <w:tab/>
        <w:tab/>
        <w:tab/>
        <w:tab/>
        <w:t xml:space="preserve">              ……………………………..</w:t>
      </w:r>
    </w:p>
    <w:p>
      <w:pPr>
        <w:pStyle w:val="Normal"/>
        <w:spacing w:before="120" w:after="0"/>
        <w:rPr>
          <w:b/>
          <w:b/>
          <w:sz w:val="24"/>
          <w:szCs w:val="24"/>
        </w:rPr>
      </w:pPr>
      <w:r>
        <w:rPr>
          <w:b/>
          <w:sz w:val="24"/>
          <w:szCs w:val="24"/>
        </w:rPr>
        <w:t>Gabriela Kolečková</w:t>
        <w:tab/>
        <w:tab/>
        <w:tab/>
        <w:tab/>
        <w:tab/>
        <w:t xml:space="preserve">                               Gabriela Kocichová</w:t>
      </w:r>
    </w:p>
    <w:p>
      <w:pPr>
        <w:pStyle w:val="Normal"/>
        <w:jc w:val="both"/>
        <w:rPr/>
      </w:pPr>
      <w:r>
        <w:rPr>
          <w:b/>
          <w:sz w:val="24"/>
          <w:szCs w:val="24"/>
        </w:rPr>
        <w:t xml:space="preserve">    </w:t>
      </w:r>
      <w:r>
        <w:rPr>
          <w:b/>
          <w:sz w:val="24"/>
          <w:szCs w:val="24"/>
        </w:rPr>
        <w:t>Sedmá divadelní</w:t>
        <w:tab/>
        <w:tab/>
        <w:tab/>
        <w:tab/>
        <w:tab/>
        <w:tab/>
        <w:t xml:space="preserve">         Národní dům Frýdek-Místek                </w:t>
      </w:r>
    </w:p>
    <w:sectPr>
      <w:footerReference w:type="default" r:id="rId2"/>
      <w:type w:val="nextPage"/>
      <w:pgSz w:w="11906" w:h="16838"/>
      <w:pgMar w:left="850" w:right="992" w:header="0" w:top="1135" w:footer="728" w:bottom="851" w:gutter="0"/>
      <w:pgNumType w:start="1" w:fmt="decimal"/>
      <w:formProt w:val="false"/>
      <w:titlePg/>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Georgia">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before="120" w:after="0"/>
      <w:jc w:val="center"/>
      <w:rPr/>
    </w:pPr>
    <w:r>
      <w:rPr/>
      <w:fldChar w:fldCharType="begin"/>
    </w:r>
    <w:r>
      <w:rPr/>
      <w:instrText> PAGE </w:instrText>
    </w:r>
    <w:r>
      <w:rPr/>
      <w:fldChar w:fldCharType="separate"/>
    </w:r>
    <w:r>
      <w:rPr/>
      <w:t>3</w:t>
    </w:r>
    <w:r>
      <w:rPr/>
      <w:fldChar w:fldCharType="end"/>
    </w:r>
  </w:p>
  <w:p>
    <w:pPr>
      <w:pStyle w:val="Normal"/>
      <w:tabs>
        <w:tab w:val="clear" w:pos="720"/>
        <w:tab w:val="center" w:pos="4536" w:leader="none"/>
        <w:tab w:val="left" w:pos="9072" w:leader="none"/>
      </w:tabs>
      <w:ind w:right="360" w:hanging="0"/>
      <w:rPr>
        <w:color w:val="000000"/>
      </w:rPr>
    </w:pPr>
    <w:r>
      <w:rPr>
        <w:color w:val="000000"/>
      </w:rPr>
    </w:r>
  </w:p>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6"/>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left"/>
    </w:pPr>
    <w:rPr>
      <w:rFonts w:ascii="Times New Roman" w:hAnsi="Times New Roman" w:eastAsia="Times New Roman" w:cs="Times New Roman"/>
      <w:color w:val="auto"/>
      <w:kern w:val="0"/>
      <w:sz w:val="20"/>
      <w:szCs w:val="20"/>
      <w:lang w:val="cs-CZ" w:eastAsia="cs-CZ" w:bidi="ar-SA"/>
    </w:rPr>
  </w:style>
  <w:style w:type="paragraph" w:styleId="Nadpis1">
    <w:name w:val="Heading 1"/>
    <w:basedOn w:val="Normal"/>
    <w:next w:val="Normal"/>
    <w:uiPriority w:val="9"/>
    <w:qFormat/>
    <w:pPr>
      <w:keepNext w:val="true"/>
      <w:jc w:val="both"/>
      <w:outlineLvl w:val="0"/>
    </w:pPr>
    <w:rPr>
      <w:b/>
      <w:sz w:val="24"/>
      <w:szCs w:val="24"/>
    </w:rPr>
  </w:style>
  <w:style w:type="paragraph" w:styleId="Nadpis2">
    <w:name w:val="Heading 2"/>
    <w:basedOn w:val="Normal"/>
    <w:next w:val="Normal"/>
    <w:uiPriority w:val="9"/>
    <w:unhideWhenUsed/>
    <w:qFormat/>
    <w:pPr>
      <w:keepNext w:val="true"/>
      <w:jc w:val="center"/>
      <w:outlineLvl w:val="1"/>
    </w:pPr>
    <w:rPr>
      <w:sz w:val="24"/>
      <w:szCs w:val="24"/>
    </w:rPr>
  </w:style>
  <w:style w:type="paragraph" w:styleId="Nadpis3">
    <w:name w:val="Heading 3"/>
    <w:basedOn w:val="Normal"/>
    <w:next w:val="Normal"/>
    <w:uiPriority w:val="9"/>
    <w:unhideWhenUsed/>
    <w:qFormat/>
    <w:pPr>
      <w:keepNext w:val="true"/>
      <w:jc w:val="both"/>
      <w:outlineLvl w:val="2"/>
    </w:pPr>
    <w:rPr>
      <w:b/>
    </w:rPr>
  </w:style>
  <w:style w:type="paragraph" w:styleId="Nadpis4">
    <w:name w:val="Heading 4"/>
    <w:basedOn w:val="Normal"/>
    <w:next w:val="Normal"/>
    <w:uiPriority w:val="9"/>
    <w:unhideWhenUsed/>
    <w:qFormat/>
    <w:pPr>
      <w:keepNext w:val="true"/>
      <w:jc w:val="both"/>
      <w:outlineLvl w:val="3"/>
    </w:pPr>
    <w:rPr>
      <w:sz w:val="24"/>
      <w:szCs w:val="24"/>
      <w:u w:val="single"/>
    </w:rPr>
  </w:style>
  <w:style w:type="paragraph" w:styleId="Nadpis5">
    <w:name w:val="Heading 5"/>
    <w:basedOn w:val="Normal"/>
    <w:next w:val="Normal"/>
    <w:uiPriority w:val="9"/>
    <w:unhideWhenUsed/>
    <w:qFormat/>
    <w:pPr>
      <w:keepNext w:val="true"/>
      <w:jc w:val="center"/>
      <w:outlineLvl w:val="4"/>
    </w:pPr>
    <w:rPr>
      <w:b/>
      <w:sz w:val="24"/>
      <w:szCs w:val="24"/>
    </w:rPr>
  </w:style>
  <w:style w:type="paragraph" w:styleId="Nadpis6">
    <w:name w:val="Heading 6"/>
    <w:basedOn w:val="Normal"/>
    <w:next w:val="Normal"/>
    <w:uiPriority w:val="9"/>
    <w:unhideWhenUsed/>
    <w:qFormat/>
    <w:pPr>
      <w:keepNext w:val="true"/>
      <w:ind w:left="720" w:hanging="720"/>
      <w:jc w:val="center"/>
      <w:outlineLvl w:val="5"/>
    </w:pPr>
    <w:rPr>
      <w:b/>
      <w:sz w:val="24"/>
      <w:szCs w:val="24"/>
    </w:rPr>
  </w:style>
  <w:style w:type="character" w:styleId="DefaultParagraphFont" w:default="1">
    <w:name w:val="Default Paragraph Font"/>
    <w:uiPriority w:val="1"/>
    <w:semiHidden/>
    <w:unhideWhenUsed/>
    <w:qFormat/>
    <w:rPr/>
  </w:style>
  <w:style w:type="character" w:styleId="TextkomenteChar" w:customStyle="1">
    <w:name w:val="Text komentáře Char"/>
    <w:basedOn w:val="DefaultParagraphFont"/>
    <w:link w:val="Textkomente"/>
    <w:uiPriority w:val="99"/>
    <w:semiHidden/>
    <w:qFormat/>
    <w:rPr/>
  </w:style>
  <w:style w:type="character" w:styleId="Annotationreference">
    <w:name w:val="annotation reference"/>
    <w:basedOn w:val="DefaultParagraphFont"/>
    <w:uiPriority w:val="99"/>
    <w:semiHidden/>
    <w:unhideWhenUsed/>
    <w:qFormat/>
    <w:rPr>
      <w:sz w:val="16"/>
      <w:szCs w:val="16"/>
    </w:rPr>
  </w:style>
  <w:style w:type="character" w:styleId="TextbublinyChar" w:customStyle="1">
    <w:name w:val="Text bubliny Char"/>
    <w:basedOn w:val="DefaultParagraphFont"/>
    <w:link w:val="Textbubliny"/>
    <w:uiPriority w:val="99"/>
    <w:semiHidden/>
    <w:qFormat/>
    <w:rsid w:val="007d7740"/>
    <w:rPr>
      <w:rFonts w:ascii="Segoe UI" w:hAnsi="Segoe UI" w:cs="Segoe UI"/>
      <w:sz w:val="18"/>
      <w:szCs w:val="18"/>
    </w:rPr>
  </w:style>
  <w:style w:type="paragraph" w:styleId="Nadpis" w:customStyle="1">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zev">
    <w:name w:val="Title"/>
    <w:basedOn w:val="Normal"/>
    <w:next w:val="Normal"/>
    <w:uiPriority w:val="10"/>
    <w:qFormat/>
    <w:pPr>
      <w:shd w:val="clear" w:color="auto" w:fill="DFDFDF"/>
      <w:jc w:val="center"/>
    </w:pPr>
    <w:rPr>
      <w:b/>
      <w:sz w:val="24"/>
      <w:szCs w:val="24"/>
    </w:rPr>
  </w:style>
  <w:style w:type="paragraph" w:styleId="Podtitul">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TextkomenteChar"/>
    <w:uiPriority w:val="99"/>
    <w:semiHidden/>
    <w:unhideWhenUsed/>
    <w:qFormat/>
    <w:pPr/>
    <w:rPr/>
  </w:style>
  <w:style w:type="paragraph" w:styleId="BalloonText">
    <w:name w:val="Balloon Text"/>
    <w:basedOn w:val="Normal"/>
    <w:link w:val="TextbublinyChar"/>
    <w:uiPriority w:val="99"/>
    <w:semiHidden/>
    <w:unhideWhenUsed/>
    <w:qFormat/>
    <w:rsid w:val="007d7740"/>
    <w:pPr/>
    <w:rPr>
      <w:rFonts w:ascii="Segoe UI" w:hAnsi="Segoe UI" w:cs="Segoe UI"/>
      <w:sz w:val="18"/>
      <w:szCs w:val="18"/>
    </w:rPr>
  </w:style>
  <w:style w:type="paragraph" w:styleId="NormalWeb">
    <w:name w:val="Normal (Web)"/>
    <w:basedOn w:val="Normal"/>
    <w:uiPriority w:val="99"/>
    <w:semiHidden/>
    <w:unhideWhenUsed/>
    <w:qFormat/>
    <w:rsid w:val="00b47c00"/>
    <w:pPr>
      <w:widowControl/>
      <w:spacing w:beforeAutospacing="1" w:afterAutospacing="1"/>
    </w:pPr>
    <w:rPr>
      <w:sz w:val="24"/>
      <w:szCs w:val="24"/>
    </w:rPr>
  </w:style>
  <w:style w:type="paragraph" w:styleId="Revision">
    <w:name w:val="Revision"/>
    <w:uiPriority w:val="99"/>
    <w:semiHidden/>
    <w:qFormat/>
    <w:rsid w:val="00ce6a59"/>
    <w:pPr>
      <w:widowControl/>
      <w:bidi w:val="0"/>
      <w:jc w:val="left"/>
    </w:pPr>
    <w:rPr>
      <w:rFonts w:ascii="Times New Roman" w:hAnsi="Times New Roman" w:eastAsia="Times New Roman" w:cs="Times New Roman"/>
      <w:color w:val="auto"/>
      <w:kern w:val="0"/>
      <w:sz w:val="20"/>
      <w:szCs w:val="20"/>
      <w:lang w:val="cs-CZ" w:eastAsia="cs-CZ" w:bidi="ar-SA"/>
    </w:rPr>
  </w:style>
  <w:style w:type="paragraph" w:styleId="Zhlavazpat" w:customStyle="1">
    <w:name w:val="Záhlaví a zápatí"/>
    <w:basedOn w:val="Normal"/>
    <w:qFormat/>
    <w:pPr/>
    <w:rPr/>
  </w:style>
  <w:style w:type="paragraph" w:styleId="Zpat">
    <w:name w:val="Footer"/>
    <w:basedOn w:val="Zhlavazpat"/>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Application>LibreOffice/6.3.0.4$Windows_X86_64 LibreOffice_project/057fc023c990d676a43019934386b85b21a9ee99</Application>
  <Pages>3</Pages>
  <Words>893</Words>
  <Characters>5329</Characters>
  <CharactersWithSpaces>6284</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2022-03-09T09:17:00Z</dcterms:created>
  <dc:creator/>
  <dc:description/>
  <dc:language>cs-CZ</dc:language>
  <cp:lastModifiedBy/>
  <cp:lastPrinted>2022-03-22T17:40:45Z</cp:lastPrinted>
  <dcterms:modified xsi:type="dcterms:W3CDTF">2022-03-22T20:12:48Z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