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Smlouva o technickém zajištění kulturních akcí 2022</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28"/>
        <w:rPr>
          <w:b w:val="1"/>
          <w:sz w:val="24"/>
          <w:szCs w:val="24"/>
        </w:rPr>
      </w:pPr>
      <w:r w:rsidDel="00000000" w:rsidR="00000000" w:rsidRPr="00000000">
        <w:rPr>
          <w:b w:val="1"/>
          <w:sz w:val="24"/>
          <w:szCs w:val="24"/>
          <w:rtl w:val="0"/>
        </w:rPr>
        <w:t xml:space="preserve">Kulturní služby města Moravská Třebová</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IČ: 0371769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sídlem: Svitavská 18, 571 01 Moravská Třebová</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zastoupené ředitelkou: MgA. Marií Blažkovou</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(dále jako „odběratel“ na straně jedné)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right="28"/>
        <w:rPr>
          <w:b w:val="1"/>
          <w:sz w:val="12"/>
          <w:szCs w:val="12"/>
        </w:rPr>
      </w:pPr>
      <w:r w:rsidDel="00000000" w:rsidR="00000000" w:rsidRPr="00000000">
        <w:rPr>
          <w:b w:val="1"/>
          <w:color w:val="202124"/>
          <w:sz w:val="24"/>
          <w:szCs w:val="24"/>
          <w:highlight w:val="white"/>
          <w:rtl w:val="0"/>
        </w:rPr>
        <w:t xml:space="preserve">Technické služby Moravská Třebová s.r.o.</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right="28"/>
        <w:rPr>
          <w:sz w:val="30"/>
          <w:szCs w:val="30"/>
        </w:rPr>
      </w:pPr>
      <w:r w:rsidDel="00000000" w:rsidR="00000000" w:rsidRPr="00000000">
        <w:rPr>
          <w:sz w:val="24"/>
          <w:szCs w:val="24"/>
          <w:rtl w:val="0"/>
        </w:rPr>
        <w:t xml:space="preserve">IČ: </w:t>
      </w:r>
      <w:r w:rsidDel="00000000" w:rsidR="00000000" w:rsidRPr="00000000">
        <w:rPr>
          <w:sz w:val="24"/>
          <w:szCs w:val="24"/>
          <w:highlight w:val="white"/>
          <w:rtl w:val="0"/>
        </w:rPr>
        <w:t xml:space="preserve">25970399</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sídlem: </w:t>
      </w:r>
      <w:r w:rsidDel="00000000" w:rsidR="00000000" w:rsidRPr="00000000">
        <w:rPr>
          <w:sz w:val="24"/>
          <w:szCs w:val="24"/>
          <w:highlight w:val="white"/>
          <w:rtl w:val="0"/>
        </w:rPr>
        <w:t xml:space="preserve">Zahradnická 21, 571 01</w:t>
      </w:r>
      <w:r w:rsidDel="00000000" w:rsidR="00000000" w:rsidRPr="00000000">
        <w:rPr>
          <w:sz w:val="24"/>
          <w:szCs w:val="24"/>
          <w:rtl w:val="0"/>
        </w:rPr>
        <w:t xml:space="preserve"> </w:t>
      </w:r>
      <w:r w:rsidDel="00000000" w:rsidR="00000000" w:rsidRPr="00000000">
        <w:rPr>
          <w:sz w:val="24"/>
          <w:szCs w:val="24"/>
          <w:highlight w:val="white"/>
          <w:rtl w:val="0"/>
        </w:rPr>
        <w:t xml:space="preserve">Moravská Třebová</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(dále jako ,,dodavatel“ na straně druhé)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 (odběratel a dodavatel dále též společně jako „s</w:t>
      </w:r>
      <w:r w:rsidDel="00000000" w:rsidR="00000000" w:rsidRPr="00000000">
        <w:rPr>
          <w:b w:val="1"/>
          <w:sz w:val="24"/>
          <w:szCs w:val="24"/>
          <w:rtl w:val="0"/>
        </w:rPr>
        <w:t xml:space="preserve">mluvní stran</w:t>
      </w:r>
      <w:r w:rsidDel="00000000" w:rsidR="00000000" w:rsidRPr="00000000">
        <w:rPr>
          <w:sz w:val="24"/>
          <w:szCs w:val="24"/>
          <w:rtl w:val="0"/>
        </w:rPr>
        <w:t xml:space="preserve">y“ nebo každý samostatně jako </w:t>
      </w:r>
      <w:r w:rsidDel="00000000" w:rsidR="00000000" w:rsidRPr="00000000">
        <w:rPr>
          <w:b w:val="1"/>
          <w:sz w:val="24"/>
          <w:szCs w:val="24"/>
          <w:rtl w:val="0"/>
        </w:rPr>
        <w:t xml:space="preserve">„smluvní strana") </w:t>
      </w:r>
      <w:r w:rsidDel="00000000" w:rsidR="00000000" w:rsidRPr="00000000">
        <w:rPr>
          <w:sz w:val="24"/>
          <w:szCs w:val="24"/>
          <w:rtl w:val="0"/>
        </w:rPr>
        <w:t xml:space="preserve">uzavírají níže uvedeného dne měsíce a roku podle ustanovení § 1724 a násl. občanského zákoníku (dále jako „občanský zákoník"), tuto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smlouvu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I.</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Předmět smlouvy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right="28"/>
        <w:rPr>
          <w:sz w:val="24"/>
          <w:szCs w:val="24"/>
        </w:rPr>
      </w:pPr>
      <w:bookmarkStart w:colFirst="0" w:colLast="0" w:name="_heading=h.gjdgxs" w:id="0"/>
      <w:bookmarkEnd w:id="0"/>
      <w:r w:rsidDel="00000000" w:rsidR="00000000" w:rsidRPr="00000000">
        <w:rPr>
          <w:sz w:val="24"/>
          <w:szCs w:val="24"/>
          <w:rtl w:val="0"/>
        </w:rPr>
        <w:t xml:space="preserve">Tato smlouva upravuje zajištění technického zajištění kulturních akcí (převoz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right="28"/>
        <w:rPr>
          <w:sz w:val="24"/>
          <w:szCs w:val="24"/>
        </w:rPr>
      </w:pPr>
      <w:bookmarkStart w:colFirst="0" w:colLast="0" w:name="_heading=h.vk32ko47yhpp" w:id="1"/>
      <w:bookmarkEnd w:id="1"/>
      <w:r w:rsidDel="00000000" w:rsidR="00000000" w:rsidRPr="00000000">
        <w:rPr>
          <w:sz w:val="24"/>
          <w:szCs w:val="24"/>
          <w:rtl w:val="0"/>
        </w:rPr>
        <w:t xml:space="preserve">elektrikář), výlepu plakátů, úklidu od dodavatele na dobu určitou a to od podpisu smlouvy do konce roku 2022.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Dodavatel se touto smlouvou zavazuje zajištovat odběrateli ozvučení, osvětlení a technické zajištění kulturních akcí včetně pódií dle objednávek.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II.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Objednávky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Objednávky budou přímo zadány odběratelem v rámci pravidelného plánování.</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2. Objednávky budou uskutečňovány v dostatečném časovém předstihu tak, aby je dodavatel měl možnost uskutečnit, tzn. nejméně 14 kalendářních (10 pracovních dnů).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3. Smluvní strany se dohodly, že pro urychlení komunikace lze využít elektronickou poštu.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III.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Místo plnění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Místo konání akce bude vždy specifikováno v rámci objednávky, a to na území města Moravská Třebová nebo blízkého okolí.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IV. Kvalita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Požadavky na zajištění technického zabezpečení budou rovněž specifikovány v objednávce dle požadavků KSMT nebo agentur (umělců).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2. Dodavatel ručí za to, že dodané služby budou mít dohodnuté parametry a kvalitu.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V.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Fakturace a platební podmínky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Faktury budou vystaveny v českém jazyce s náležitostmi daňového dokladu.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2. Faktury budou adresovány do sídla odběratele se splatností 14 dnů od jejich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odeslání.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VI. Smluvní pokuty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Odběratel zaplatí dodavateli smluvní pokutu ve výši 0,5% z dlužné částky denně.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2. Dodavatel je povinen zaplatit odběrateli škodu vzniklou nedodržením smluvních podmínek.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3. Škoda bude vyčíslena dle sankcí agentur, popřípadě dle vráceného vstupného.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4. Nárok na smluvní pokutu dle tohoto odstavce nevzniká v případě, že prodlení smluvních stran je způsobeno okolnostmi nezávislými na jejich vůli, tzv. vyšší moci.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VII.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right="28"/>
        <w:jc w:val="center"/>
        <w:rPr>
          <w:b w:val="1"/>
          <w:sz w:val="24"/>
          <w:szCs w:val="24"/>
        </w:rPr>
      </w:pPr>
      <w:r w:rsidDel="00000000" w:rsidR="00000000" w:rsidRPr="00000000">
        <w:rPr>
          <w:b w:val="1"/>
          <w:sz w:val="24"/>
          <w:szCs w:val="24"/>
          <w:rtl w:val="0"/>
        </w:rPr>
        <w:t xml:space="preserve">Závěrečná ustanovení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1. Tato smlouva je platná a účinná dnem jejího uzavření.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2. Veškeré písemnosti budou doručovány na adresu smluvních stran uvedenou v záhlaví této smlouvy, pokud některá ze smluvních stran písemně neoznámí jinou adresu.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3. Veškeré změny a doplnění této smlouvy vyžadují písemnou formu.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České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5.Tato smlouva a vztahy z této smlouvy vyplývající se řídi právním řádem republiky, zejména příslušnými ustanoveními občanského zákoníku.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6. Tato smlouva je podepsána ve dvou vyhotoveních, přičemž každý účastník obdrží jedno vyhotovení této smlouvy.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V Moravské Třebové dne 23.3.2022</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sz w:val="24"/>
          <w:szCs w:val="24"/>
          <w:rtl w:val="0"/>
        </w:rPr>
        <w:t xml:space="preserve">……………………………..</w:t>
        <w:tab/>
        <w:tab/>
        <w:tab/>
        <w:tab/>
        <w:tab/>
        <w:tab/>
        <w:t xml:space="preserv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right="28" w:firstLine="720"/>
        <w:rPr>
          <w:sz w:val="24"/>
          <w:szCs w:val="24"/>
        </w:rPr>
      </w:pPr>
      <w:r w:rsidDel="00000000" w:rsidR="00000000" w:rsidRPr="00000000">
        <w:rPr>
          <w:sz w:val="24"/>
          <w:szCs w:val="24"/>
          <w:rtl w:val="0"/>
        </w:rPr>
        <w:t xml:space="preserve">odběratel </w:t>
        <w:tab/>
        <w:tab/>
        <w:tab/>
        <w:tab/>
        <w:tab/>
        <w:tab/>
        <w:tab/>
        <w:tab/>
        <w:t xml:space="preserve">dodavatel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right="28"/>
        <w:rPr>
          <w:sz w:val="24"/>
          <w:szCs w:val="24"/>
        </w:rPr>
      </w:pPr>
      <w:r w:rsidDel="00000000" w:rsidR="00000000" w:rsidRPr="00000000">
        <w:rPr>
          <w:rtl w:val="0"/>
        </w:rPr>
      </w:r>
    </w:p>
    <w:sectPr>
      <w:pgSz w:h="15840" w:w="12240" w:orient="portrait"/>
      <w:pgMar w:bottom="1440" w:top="1440" w:left="1275"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sz w:val="24"/>
      <w:szCs w:val="24"/>
    </w:rPr>
  </w:style>
  <w:style w:type="paragraph" w:styleId="Nadpis5">
    <w:name w:val="heading 5"/>
    <w:basedOn w:val="Normln"/>
    <w:next w:val="Normln"/>
    <w:pPr>
      <w:keepNext w:val="1"/>
      <w:keepLines w:val="1"/>
      <w:spacing w:after="40" w:before="220"/>
      <w:outlineLvl w:val="4"/>
    </w:pPr>
    <w:rPr>
      <w:b w:val="1"/>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v2X5VJQ18CZciBnp2APGunG9Q==">AMUW2mUsQ8tL4V6MAYdA8mSFrwskdxUCTUdWRWVheVs2RCXh6rWtRt8myvqD6epPgQsnw9EzB0lHzWmdu+y2cIemxNq3InPh4sOoxSS4fgofWWEIGUtAmkK7G92gn8oeSS+bXOvJJmvO8TjhH7OUuzsrTWn6nCYgeQ==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2020-02-06T15:41:00Z</dcterms:created>
  <dc:creator>Mary</dc:creator>
</cp:coreProperties>
</file>