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9708" w14:textId="7D64F05A" w:rsidR="00FD5B0E" w:rsidRPr="005858D9" w:rsidRDefault="00066DD8" w:rsidP="00FD5B0E">
      <w:pPr>
        <w:pStyle w:val="Nadpis1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Smlouva o</w:t>
      </w:r>
      <w:r w:rsidR="00FD5B0E" w:rsidRPr="005858D9">
        <w:rPr>
          <w:rFonts w:ascii="Times New Roman" w:hAnsi="Times New Roman"/>
          <w:sz w:val="36"/>
          <w:szCs w:val="24"/>
        </w:rPr>
        <w:t xml:space="preserve"> </w:t>
      </w:r>
      <w:r>
        <w:rPr>
          <w:rFonts w:ascii="Times New Roman" w:hAnsi="Times New Roman"/>
          <w:sz w:val="36"/>
          <w:szCs w:val="24"/>
        </w:rPr>
        <w:t>dílo</w:t>
      </w:r>
      <w:r w:rsidR="00FD5B0E" w:rsidRPr="005858D9">
        <w:rPr>
          <w:rFonts w:ascii="Times New Roman" w:hAnsi="Times New Roman"/>
          <w:sz w:val="36"/>
          <w:szCs w:val="24"/>
        </w:rPr>
        <w:t xml:space="preserve"> č.</w:t>
      </w:r>
      <w:r w:rsidR="007129FA">
        <w:rPr>
          <w:rFonts w:ascii="Times New Roman" w:hAnsi="Times New Roman"/>
          <w:sz w:val="36"/>
          <w:szCs w:val="24"/>
        </w:rPr>
        <w:t xml:space="preserve"> </w:t>
      </w:r>
      <w:r w:rsidR="000A6CAD">
        <w:rPr>
          <w:rFonts w:ascii="Times New Roman" w:hAnsi="Times New Roman"/>
          <w:sz w:val="36"/>
          <w:szCs w:val="24"/>
        </w:rPr>
        <w:t>20</w:t>
      </w:r>
      <w:r w:rsidR="00140786">
        <w:rPr>
          <w:rFonts w:ascii="Times New Roman" w:hAnsi="Times New Roman"/>
          <w:sz w:val="36"/>
          <w:szCs w:val="24"/>
        </w:rPr>
        <w:t>2</w:t>
      </w:r>
      <w:r w:rsidR="004D63B1">
        <w:rPr>
          <w:rFonts w:ascii="Times New Roman" w:hAnsi="Times New Roman"/>
          <w:sz w:val="36"/>
          <w:szCs w:val="24"/>
        </w:rPr>
        <w:t>1</w:t>
      </w:r>
      <w:r w:rsidR="00981B8E">
        <w:rPr>
          <w:rFonts w:ascii="Times New Roman" w:hAnsi="Times New Roman"/>
          <w:sz w:val="36"/>
          <w:szCs w:val="24"/>
        </w:rPr>
        <w:t>-2501/1</w:t>
      </w:r>
    </w:p>
    <w:p w14:paraId="5DDBD3AA" w14:textId="77777777" w:rsidR="00FD5B0E" w:rsidRPr="005858D9" w:rsidRDefault="00FD5B0E" w:rsidP="00FD5B0E">
      <w:pPr>
        <w:pStyle w:val="Normlnweb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553FEB8" w14:textId="77777777" w:rsidR="00FD5B0E" w:rsidRPr="005858D9" w:rsidRDefault="00FD5B0E" w:rsidP="00FD5B0E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szCs w:val="24"/>
          <w:lang w:val="cs-CZ"/>
        </w:rPr>
      </w:pPr>
      <w:r w:rsidRPr="005858D9">
        <w:rPr>
          <w:rFonts w:ascii="Times New Roman" w:hAnsi="Times New Roman"/>
          <w:szCs w:val="24"/>
          <w:lang w:val="cs-CZ"/>
        </w:rPr>
        <w:t>uzavřená podle § 2079 a násl. zákona č. 89/2012 Sb., občanský zákoník, (dále jen „OZ“)</w:t>
      </w:r>
    </w:p>
    <w:p w14:paraId="125FAA25" w14:textId="77777777" w:rsidR="00FD5B0E" w:rsidRPr="005858D9" w:rsidRDefault="00FD5B0E" w:rsidP="00FD5B0E">
      <w:pPr>
        <w:pStyle w:val="Normlnweb"/>
        <w:rPr>
          <w:rFonts w:ascii="Times New Roman" w:hAnsi="Times New Roman" w:cs="Times New Roman"/>
        </w:rPr>
      </w:pPr>
    </w:p>
    <w:p w14:paraId="7B0F03FC" w14:textId="77777777" w:rsidR="00FD5B0E" w:rsidRPr="005858D9" w:rsidRDefault="00FD5B0E" w:rsidP="00FD5B0E">
      <w:pPr>
        <w:pStyle w:val="Normlnweb"/>
        <w:rPr>
          <w:rFonts w:ascii="Times New Roman" w:hAnsi="Times New Roman" w:cs="Times New Roman"/>
        </w:rPr>
      </w:pPr>
    </w:p>
    <w:p w14:paraId="0A18E3BF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152A56">
        <w:rPr>
          <w:rFonts w:ascii="Times New Roman" w:hAnsi="Times New Roman" w:cs="Times New Roman"/>
          <w:b/>
          <w:bCs/>
          <w:iCs/>
        </w:rPr>
        <w:t>1. Prodávající:</w:t>
      </w:r>
    </w:p>
    <w:p w14:paraId="77E5B9F9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431C9060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152A56">
        <w:rPr>
          <w:rFonts w:ascii="Times New Roman" w:hAnsi="Times New Roman" w:cs="Times New Roman"/>
          <w:b/>
          <w:bCs/>
          <w:iCs/>
        </w:rPr>
        <w:t>AV FACTORY s.r.o.</w:t>
      </w:r>
    </w:p>
    <w:p w14:paraId="39DB83B9" w14:textId="5F7EA260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se sídlem: </w:t>
      </w:r>
      <w:r w:rsidRPr="00152A56">
        <w:rPr>
          <w:rFonts w:ascii="Times New Roman" w:eastAsia="Times New Roman" w:hAnsi="Times New Roman" w:cs="Times New Roman"/>
        </w:rPr>
        <w:tab/>
      </w:r>
      <w:r w:rsidR="00F93DCE" w:rsidRPr="00152A56">
        <w:rPr>
          <w:rFonts w:ascii="Times New Roman" w:eastAsia="Times New Roman" w:hAnsi="Times New Roman" w:cs="Times New Roman"/>
        </w:rPr>
        <w:t>Veronské nám</w:t>
      </w:r>
      <w:r w:rsidR="000067CF" w:rsidRPr="00152A56">
        <w:rPr>
          <w:rFonts w:ascii="Times New Roman" w:eastAsia="Times New Roman" w:hAnsi="Times New Roman" w:cs="Times New Roman"/>
        </w:rPr>
        <w:t xml:space="preserve">. </w:t>
      </w:r>
      <w:r w:rsidR="007129FA" w:rsidRPr="00152A56">
        <w:rPr>
          <w:rFonts w:ascii="Times New Roman" w:eastAsia="Times New Roman" w:hAnsi="Times New Roman" w:cs="Times New Roman"/>
        </w:rPr>
        <w:t>586,</w:t>
      </w:r>
      <w:r w:rsidR="000067CF" w:rsidRPr="00152A56">
        <w:rPr>
          <w:rFonts w:ascii="Times New Roman" w:eastAsia="Times New Roman" w:hAnsi="Times New Roman" w:cs="Times New Roman"/>
        </w:rPr>
        <w:t xml:space="preserve"> Horní Měcholupy, 109 00</w:t>
      </w:r>
      <w:r w:rsidR="007129FA" w:rsidRPr="00152A56">
        <w:rPr>
          <w:rFonts w:ascii="Times New Roman" w:eastAsia="Times New Roman" w:hAnsi="Times New Roman" w:cs="Times New Roman"/>
        </w:rPr>
        <w:t xml:space="preserve"> Praha 1</w:t>
      </w:r>
      <w:r w:rsidR="000067CF" w:rsidRPr="00152A56">
        <w:rPr>
          <w:rFonts w:ascii="Times New Roman" w:eastAsia="Times New Roman" w:hAnsi="Times New Roman" w:cs="Times New Roman"/>
        </w:rPr>
        <w:t>0</w:t>
      </w:r>
    </w:p>
    <w:p w14:paraId="38A080AE" w14:textId="6FC5148F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Zastoupená: </w:t>
      </w:r>
      <w:r w:rsidRPr="00152A56">
        <w:rPr>
          <w:rFonts w:ascii="Times New Roman" w:eastAsia="Times New Roman" w:hAnsi="Times New Roman" w:cs="Times New Roman"/>
        </w:rPr>
        <w:tab/>
      </w:r>
      <w:r w:rsidR="00A53910" w:rsidRPr="00152A56">
        <w:rPr>
          <w:rFonts w:ascii="Times New Roman" w:eastAsia="Times New Roman" w:hAnsi="Times New Roman" w:cs="Times New Roman"/>
        </w:rPr>
        <w:t>Petr Hrbek</w:t>
      </w:r>
      <w:r w:rsidRPr="00152A56">
        <w:rPr>
          <w:rFonts w:ascii="Times New Roman" w:eastAsia="Times New Roman" w:hAnsi="Times New Roman" w:cs="Times New Roman"/>
        </w:rPr>
        <w:t xml:space="preserve"> - jednatel</w:t>
      </w:r>
    </w:p>
    <w:p w14:paraId="00755AD9" w14:textId="54AE9FA5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>IČ:</w:t>
      </w:r>
      <w:r w:rsidRPr="00152A56">
        <w:rPr>
          <w:rFonts w:ascii="Times New Roman" w:eastAsia="Times New Roman" w:hAnsi="Times New Roman" w:cs="Times New Roman"/>
        </w:rPr>
        <w:tab/>
        <w:t>048</w:t>
      </w:r>
      <w:r w:rsidR="000067CF" w:rsidRPr="00152A56">
        <w:rPr>
          <w:rFonts w:ascii="Times New Roman" w:eastAsia="Times New Roman" w:hAnsi="Times New Roman" w:cs="Times New Roman"/>
        </w:rPr>
        <w:t xml:space="preserve"> </w:t>
      </w:r>
      <w:r w:rsidRPr="00152A56">
        <w:rPr>
          <w:rFonts w:ascii="Times New Roman" w:eastAsia="Times New Roman" w:hAnsi="Times New Roman" w:cs="Times New Roman"/>
        </w:rPr>
        <w:t>76</w:t>
      </w:r>
      <w:r w:rsidR="000067CF" w:rsidRPr="00152A56">
        <w:rPr>
          <w:rFonts w:ascii="Times New Roman" w:eastAsia="Times New Roman" w:hAnsi="Times New Roman" w:cs="Times New Roman"/>
        </w:rPr>
        <w:t xml:space="preserve"> </w:t>
      </w:r>
      <w:r w:rsidRPr="00152A56">
        <w:rPr>
          <w:rFonts w:ascii="Times New Roman" w:eastAsia="Times New Roman" w:hAnsi="Times New Roman" w:cs="Times New Roman"/>
        </w:rPr>
        <w:t>881</w:t>
      </w:r>
      <w:r w:rsidRPr="00152A56">
        <w:rPr>
          <w:rFonts w:ascii="Times New Roman" w:eastAsia="Times New Roman" w:hAnsi="Times New Roman" w:cs="Times New Roman"/>
        </w:rPr>
        <w:tab/>
      </w:r>
    </w:p>
    <w:p w14:paraId="312ADCD2" w14:textId="77777777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>DIČ:</w:t>
      </w:r>
      <w:r w:rsidRPr="00152A56">
        <w:rPr>
          <w:rFonts w:ascii="Times New Roman" w:eastAsia="Times New Roman" w:hAnsi="Times New Roman" w:cs="Times New Roman"/>
        </w:rPr>
        <w:tab/>
        <w:t>CZ04876881</w:t>
      </w:r>
      <w:r w:rsidRPr="00152A56">
        <w:rPr>
          <w:rFonts w:ascii="Times New Roman" w:eastAsia="Times New Roman" w:hAnsi="Times New Roman" w:cs="Times New Roman"/>
        </w:rPr>
        <w:tab/>
      </w:r>
    </w:p>
    <w:p w14:paraId="546641A6" w14:textId="4E7EDD26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>Bankovní spojen</w:t>
      </w:r>
      <w:r w:rsidR="00D71CF1" w:rsidRPr="00152A56">
        <w:rPr>
          <w:rFonts w:ascii="Times New Roman" w:eastAsia="Times New Roman" w:hAnsi="Times New Roman" w:cs="Times New Roman"/>
        </w:rPr>
        <w:t>í</w:t>
      </w:r>
      <w:r w:rsidRPr="00152A56">
        <w:rPr>
          <w:rFonts w:ascii="Times New Roman" w:eastAsia="Times New Roman" w:hAnsi="Times New Roman" w:cs="Times New Roman"/>
        </w:rPr>
        <w:t>:</w:t>
      </w:r>
      <w:r w:rsidRPr="00152A56">
        <w:rPr>
          <w:rFonts w:ascii="Times New Roman" w:eastAsia="Times New Roman" w:hAnsi="Times New Roman" w:cs="Times New Roman"/>
        </w:rPr>
        <w:tab/>
      </w:r>
      <w:r w:rsidRPr="00152A56">
        <w:rPr>
          <w:rFonts w:ascii="Times New Roman" w:eastAsia="Times New Roman" w:hAnsi="Times New Roman" w:cs="Times New Roman"/>
        </w:rPr>
        <w:tab/>
      </w:r>
    </w:p>
    <w:p w14:paraId="71F16F15" w14:textId="73F6E50D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Číslo bank. </w:t>
      </w:r>
      <w:proofErr w:type="gramStart"/>
      <w:r w:rsidRPr="00152A56">
        <w:rPr>
          <w:rFonts w:ascii="Times New Roman" w:eastAsia="Times New Roman" w:hAnsi="Times New Roman" w:cs="Times New Roman"/>
        </w:rPr>
        <w:t>účtu</w:t>
      </w:r>
      <w:proofErr w:type="gramEnd"/>
      <w:r w:rsidRPr="00152A56">
        <w:rPr>
          <w:rFonts w:ascii="Times New Roman" w:eastAsia="Times New Roman" w:hAnsi="Times New Roman" w:cs="Times New Roman"/>
        </w:rPr>
        <w:t>:</w:t>
      </w:r>
      <w:r w:rsidRPr="00152A56">
        <w:rPr>
          <w:rFonts w:ascii="Times New Roman" w:eastAsia="Times New Roman" w:hAnsi="Times New Roman" w:cs="Times New Roman"/>
        </w:rPr>
        <w:tab/>
      </w:r>
      <w:r w:rsidRPr="00152A56">
        <w:rPr>
          <w:rFonts w:ascii="Times New Roman" w:eastAsia="Times New Roman" w:hAnsi="Times New Roman" w:cs="Times New Roman"/>
        </w:rPr>
        <w:tab/>
      </w:r>
    </w:p>
    <w:p w14:paraId="309F5A1C" w14:textId="6FC051F2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bCs/>
          <w:iCs/>
        </w:rPr>
      </w:pPr>
      <w:r w:rsidRPr="00152A56">
        <w:t xml:space="preserve">Společnost je zapsaná v obchodním rejstříku vedeném Městským soudem v Praze, </w:t>
      </w:r>
      <w:proofErr w:type="spellStart"/>
      <w:r w:rsidRPr="00152A56">
        <w:t>sp</w:t>
      </w:r>
      <w:proofErr w:type="spellEnd"/>
      <w:r w:rsidRPr="00152A56">
        <w:t>. zn. C 254393</w:t>
      </w:r>
    </w:p>
    <w:p w14:paraId="563F5ED4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152A56">
        <w:rPr>
          <w:rFonts w:ascii="Times New Roman" w:hAnsi="Times New Roman" w:cs="Times New Roman"/>
          <w:bCs/>
          <w:iCs/>
        </w:rPr>
        <w:tab/>
      </w:r>
      <w:r w:rsidRPr="00152A56">
        <w:rPr>
          <w:rFonts w:ascii="Times New Roman" w:hAnsi="Times New Roman" w:cs="Times New Roman"/>
          <w:bCs/>
          <w:iCs/>
        </w:rPr>
        <w:tab/>
      </w:r>
    </w:p>
    <w:p w14:paraId="5825E1ED" w14:textId="43966644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152A56">
        <w:rPr>
          <w:rFonts w:ascii="Times New Roman" w:hAnsi="Times New Roman" w:cs="Times New Roman"/>
          <w:bCs/>
          <w:iCs/>
        </w:rPr>
        <w:t>(dále jen „</w:t>
      </w:r>
      <w:r w:rsidR="00131B72">
        <w:rPr>
          <w:rFonts w:ascii="Times New Roman" w:hAnsi="Times New Roman" w:cs="Times New Roman"/>
          <w:bCs/>
          <w:iCs/>
        </w:rPr>
        <w:t>P</w:t>
      </w:r>
      <w:r w:rsidRPr="00152A56">
        <w:rPr>
          <w:rFonts w:ascii="Times New Roman" w:hAnsi="Times New Roman" w:cs="Times New Roman"/>
          <w:bCs/>
          <w:iCs/>
        </w:rPr>
        <w:t>rodávající“)</w:t>
      </w:r>
      <w:r w:rsidRPr="00152A56">
        <w:rPr>
          <w:rFonts w:ascii="Times New Roman" w:hAnsi="Times New Roman" w:cs="Times New Roman"/>
          <w:bCs/>
          <w:iCs/>
        </w:rPr>
        <w:tab/>
      </w:r>
    </w:p>
    <w:p w14:paraId="4059250D" w14:textId="77777777" w:rsidR="00FD5B0E" w:rsidRPr="00152A56" w:rsidRDefault="00FD5B0E" w:rsidP="00FD5B0E">
      <w:pPr>
        <w:pStyle w:val="Normlnweb"/>
        <w:jc w:val="center"/>
        <w:rPr>
          <w:rFonts w:ascii="Times New Roman" w:hAnsi="Times New Roman" w:cs="Times New Roman"/>
        </w:rPr>
      </w:pPr>
      <w:r w:rsidRPr="00152A56">
        <w:rPr>
          <w:rFonts w:ascii="Times New Roman" w:hAnsi="Times New Roman" w:cs="Times New Roman"/>
        </w:rPr>
        <w:t>a</w:t>
      </w:r>
    </w:p>
    <w:p w14:paraId="36EF4967" w14:textId="77777777" w:rsidR="00FD5B0E" w:rsidRPr="00152A56" w:rsidRDefault="00FD5B0E" w:rsidP="00FD5B0E">
      <w:pPr>
        <w:pStyle w:val="Normlnweb"/>
        <w:jc w:val="center"/>
        <w:rPr>
          <w:rFonts w:ascii="Times New Roman" w:hAnsi="Times New Roman" w:cs="Times New Roman"/>
        </w:rPr>
      </w:pPr>
    </w:p>
    <w:p w14:paraId="14DFBA8E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152A56">
        <w:rPr>
          <w:rFonts w:ascii="Times New Roman" w:hAnsi="Times New Roman" w:cs="Times New Roman"/>
          <w:b/>
          <w:bCs/>
          <w:iCs/>
        </w:rPr>
        <w:t>2. Kupující:</w:t>
      </w:r>
      <w:r w:rsidRPr="00152A56">
        <w:rPr>
          <w:rFonts w:ascii="Times New Roman" w:hAnsi="Times New Roman" w:cs="Times New Roman"/>
          <w:b/>
          <w:bCs/>
          <w:iCs/>
        </w:rPr>
        <w:tab/>
      </w:r>
    </w:p>
    <w:p w14:paraId="66048DA9" w14:textId="77777777" w:rsidR="00FD5B0E" w:rsidRPr="00152A56" w:rsidRDefault="00FD5B0E" w:rsidP="00FD5B0E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49B536C6" w14:textId="77777777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</w:p>
    <w:p w14:paraId="5D1929A0" w14:textId="208E1CA6" w:rsidR="000067CF" w:rsidRPr="00152A56" w:rsidRDefault="00D7404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>
        <w:rPr>
          <w:b/>
          <w:bCs/>
        </w:rPr>
        <w:t>Základní umělecká škola, Praha 5, Štefánikova 19</w:t>
      </w:r>
    </w:p>
    <w:p w14:paraId="33439DE2" w14:textId="5F317565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se sídlem: </w:t>
      </w:r>
      <w:r w:rsidRPr="00152A56">
        <w:tab/>
      </w:r>
      <w:r w:rsidRPr="00152A56">
        <w:tab/>
      </w:r>
      <w:r w:rsidR="00D7404F">
        <w:t xml:space="preserve">Štefánikova19, </w:t>
      </w:r>
      <w:proofErr w:type="gramStart"/>
      <w:r w:rsidR="00D7404F">
        <w:t>150 00  Praha</w:t>
      </w:r>
      <w:proofErr w:type="gramEnd"/>
      <w:r w:rsidR="00D7404F">
        <w:t xml:space="preserve"> 5</w:t>
      </w:r>
    </w:p>
    <w:p w14:paraId="6D938D50" w14:textId="19105112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zastoupená: </w:t>
      </w:r>
      <w:r w:rsidRPr="00152A56">
        <w:tab/>
      </w:r>
      <w:r w:rsidRPr="00152A56">
        <w:tab/>
      </w:r>
      <w:r w:rsidR="00D7404F">
        <w:t>Mgr. Luboš Lisner – ředitel školy</w:t>
      </w:r>
      <w:r w:rsidR="00D7404F">
        <w:tab/>
      </w:r>
    </w:p>
    <w:p w14:paraId="215605B3" w14:textId="607A5CBA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IČ: </w:t>
      </w:r>
      <w:r w:rsidRPr="00152A56">
        <w:tab/>
      </w:r>
      <w:r w:rsidRPr="00152A56">
        <w:tab/>
      </w:r>
      <w:r w:rsidRPr="00152A56">
        <w:tab/>
      </w:r>
      <w:r w:rsidR="00D7404F">
        <w:t>63830167</w:t>
      </w:r>
    </w:p>
    <w:p w14:paraId="10C15E06" w14:textId="2CE6D162" w:rsidR="000067CF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DIČ: </w:t>
      </w:r>
      <w:r w:rsidRPr="00152A56">
        <w:tab/>
      </w:r>
      <w:r w:rsidRPr="00152A56">
        <w:tab/>
      </w:r>
      <w:r w:rsidRPr="00152A56">
        <w:tab/>
      </w:r>
      <w:r w:rsidR="00D7404F">
        <w:t>CZ63830167</w:t>
      </w:r>
    </w:p>
    <w:p w14:paraId="782276BE" w14:textId="4751904C" w:rsidR="0018785D" w:rsidRPr="00152A56" w:rsidRDefault="000067CF" w:rsidP="000067CF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  <w:r w:rsidRPr="00152A56">
        <w:t xml:space="preserve">Společnost je zapsaná v obchodním rejstříku vedeném Krajským soudem v Brně, </w:t>
      </w:r>
      <w:proofErr w:type="spellStart"/>
      <w:r w:rsidRPr="00152A56">
        <w:t>sp</w:t>
      </w:r>
      <w:proofErr w:type="spellEnd"/>
      <w:r w:rsidRPr="00152A56">
        <w:t xml:space="preserve">. zn. B 7268 </w:t>
      </w:r>
    </w:p>
    <w:p w14:paraId="53F6E98E" w14:textId="77777777" w:rsidR="00803268" w:rsidRDefault="00803268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</w:p>
    <w:p w14:paraId="2E0C655D" w14:textId="61BE134A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>(dále jen „</w:t>
      </w:r>
      <w:r w:rsidR="000067CF" w:rsidRPr="00152A56">
        <w:rPr>
          <w:rFonts w:ascii="Times New Roman" w:eastAsia="Times New Roman" w:hAnsi="Times New Roman" w:cs="Times New Roman"/>
        </w:rPr>
        <w:t>K</w:t>
      </w:r>
      <w:r w:rsidRPr="00152A56">
        <w:rPr>
          <w:rFonts w:ascii="Times New Roman" w:eastAsia="Times New Roman" w:hAnsi="Times New Roman" w:cs="Times New Roman"/>
        </w:rPr>
        <w:t>upující“)</w:t>
      </w:r>
    </w:p>
    <w:p w14:paraId="2C9969B1" w14:textId="77777777" w:rsidR="00FD5B0E" w:rsidRPr="00152A56" w:rsidRDefault="00FD5B0E" w:rsidP="00FD5B0E">
      <w:pPr>
        <w:pStyle w:val="Normlnweb"/>
        <w:ind w:left="2310" w:hanging="2310"/>
        <w:rPr>
          <w:rFonts w:ascii="Times New Roman" w:eastAsia="Times New Roman" w:hAnsi="Times New Roman" w:cs="Times New Roman"/>
        </w:rPr>
      </w:pPr>
    </w:p>
    <w:p w14:paraId="14787B07" w14:textId="5F13938A" w:rsidR="00FD5B0E" w:rsidRPr="00152A56" w:rsidRDefault="00FD5B0E" w:rsidP="00FD5B0E">
      <w:pPr>
        <w:pStyle w:val="Normlnweb"/>
        <w:jc w:val="both"/>
        <w:rPr>
          <w:rFonts w:ascii="Times New Roman" w:eastAsia="Times New Roman" w:hAnsi="Times New Roman" w:cs="Times New Roman"/>
        </w:rPr>
      </w:pPr>
      <w:r w:rsidRPr="00152A56">
        <w:rPr>
          <w:rFonts w:ascii="Times New Roman" w:eastAsia="Times New Roman" w:hAnsi="Times New Roman" w:cs="Times New Roman"/>
        </w:rPr>
        <w:t xml:space="preserve">Prodávající a </w:t>
      </w:r>
      <w:r w:rsidR="000067CF" w:rsidRPr="00152A56">
        <w:rPr>
          <w:rFonts w:ascii="Times New Roman" w:eastAsia="Times New Roman" w:hAnsi="Times New Roman" w:cs="Times New Roman"/>
        </w:rPr>
        <w:t>K</w:t>
      </w:r>
      <w:r w:rsidRPr="00152A56">
        <w:rPr>
          <w:rFonts w:ascii="Times New Roman" w:eastAsia="Times New Roman" w:hAnsi="Times New Roman" w:cs="Times New Roman"/>
        </w:rPr>
        <w:t>upující nebo též „</w:t>
      </w:r>
      <w:r w:rsidR="000067CF" w:rsidRPr="00152A56">
        <w:rPr>
          <w:rFonts w:ascii="Times New Roman" w:eastAsia="Times New Roman" w:hAnsi="Times New Roman" w:cs="Times New Roman"/>
        </w:rPr>
        <w:t>S</w:t>
      </w:r>
      <w:r w:rsidRPr="00152A56">
        <w:rPr>
          <w:rFonts w:ascii="Times New Roman" w:eastAsia="Times New Roman" w:hAnsi="Times New Roman" w:cs="Times New Roman"/>
        </w:rPr>
        <w:t>mluvní strany“ uzavřeli tuto kupní smlouvu</w:t>
      </w:r>
      <w:r w:rsidR="00431DA9" w:rsidRPr="00152A56">
        <w:rPr>
          <w:rFonts w:ascii="Times New Roman" w:eastAsia="Times New Roman" w:hAnsi="Times New Roman" w:cs="Times New Roman"/>
        </w:rPr>
        <w:t xml:space="preserve"> (dále jen „Smlouva“)</w:t>
      </w:r>
      <w:r w:rsidRPr="00152A56">
        <w:rPr>
          <w:rFonts w:ascii="Times New Roman" w:eastAsia="Times New Roman" w:hAnsi="Times New Roman" w:cs="Times New Roman"/>
        </w:rPr>
        <w:t>:</w:t>
      </w:r>
    </w:p>
    <w:p w14:paraId="6D147935" w14:textId="77777777" w:rsidR="00FD5B0E" w:rsidRPr="00FC5CEB" w:rsidRDefault="00FD5B0E" w:rsidP="00FD5B0E">
      <w:pPr>
        <w:pStyle w:val="Normlnweb"/>
        <w:ind w:left="2310" w:hanging="2310"/>
        <w:rPr>
          <w:rFonts w:ascii="Arial" w:eastAsia="Times New Roman" w:hAnsi="Arial" w:cs="Arial"/>
          <w:sz w:val="22"/>
          <w:szCs w:val="22"/>
        </w:rPr>
      </w:pPr>
    </w:p>
    <w:p w14:paraId="13F9AA15" w14:textId="05AB76AD" w:rsidR="00FD5B0E" w:rsidRPr="003143CB" w:rsidRDefault="00FD5B0E" w:rsidP="00FD5B0E">
      <w:pPr>
        <w:spacing w:before="240" w:after="240"/>
        <w:jc w:val="center"/>
        <w:rPr>
          <w:b/>
          <w:sz w:val="28"/>
        </w:rPr>
      </w:pPr>
      <w:r w:rsidRPr="003143CB">
        <w:rPr>
          <w:b/>
          <w:sz w:val="28"/>
        </w:rPr>
        <w:t>I. Předmět plnění</w:t>
      </w:r>
    </w:p>
    <w:p w14:paraId="12209465" w14:textId="3FDE8E7D" w:rsidR="00FD5B0E" w:rsidRPr="00FD5B0E" w:rsidRDefault="00FD5B0E" w:rsidP="00FD5B0E">
      <w:pPr>
        <w:pStyle w:val="Normlnweb"/>
        <w:numPr>
          <w:ilvl w:val="0"/>
          <w:numId w:val="6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03402F">
        <w:rPr>
          <w:rFonts w:ascii="Times New Roman" w:hAnsi="Times New Roman" w:cs="Times New Roman"/>
        </w:rPr>
        <w:t xml:space="preserve">Předmětem plnění je </w:t>
      </w:r>
      <w:r>
        <w:rPr>
          <w:rFonts w:ascii="Times New Roman" w:hAnsi="Times New Roman" w:cs="Times New Roman"/>
        </w:rPr>
        <w:t xml:space="preserve">dodávka </w:t>
      </w:r>
      <w:r w:rsidR="00066DD8">
        <w:rPr>
          <w:rFonts w:ascii="Times New Roman" w:hAnsi="Times New Roman" w:cs="Times New Roman"/>
        </w:rPr>
        <w:t>AV</w:t>
      </w:r>
      <w:r w:rsidRPr="0003402F">
        <w:rPr>
          <w:rFonts w:ascii="Times New Roman" w:hAnsi="Times New Roman" w:cs="Times New Roman"/>
        </w:rPr>
        <w:t xml:space="preserve"> techniky, včetně příslušenství ve smyslu Přílohy č. 1</w:t>
      </w:r>
      <w:r>
        <w:rPr>
          <w:rFonts w:ascii="Times New Roman" w:hAnsi="Times New Roman" w:cs="Times New Roman"/>
        </w:rPr>
        <w:t xml:space="preserve"> – cenová nabídka</w:t>
      </w:r>
      <w:r w:rsidRPr="0003402F">
        <w:rPr>
          <w:rFonts w:ascii="Times New Roman" w:hAnsi="Times New Roman" w:cs="Times New Roman"/>
        </w:rPr>
        <w:t xml:space="preserve"> (dále jen „</w:t>
      </w:r>
      <w:r w:rsidR="00431DA9">
        <w:rPr>
          <w:rFonts w:ascii="Times New Roman" w:hAnsi="Times New Roman" w:cs="Times New Roman"/>
          <w:b/>
        </w:rPr>
        <w:t>P</w:t>
      </w:r>
      <w:r w:rsidRPr="0003402F">
        <w:rPr>
          <w:rFonts w:ascii="Times New Roman" w:hAnsi="Times New Roman" w:cs="Times New Roman"/>
          <w:b/>
        </w:rPr>
        <w:t>ředmět plnění</w:t>
      </w:r>
      <w:r w:rsidRPr="0003402F">
        <w:rPr>
          <w:rFonts w:ascii="Times New Roman" w:hAnsi="Times New Roman" w:cs="Times New Roman"/>
        </w:rPr>
        <w:t xml:space="preserve">“), která je nedílnou součástí této </w:t>
      </w:r>
      <w:r w:rsidR="00431DA9">
        <w:rPr>
          <w:rFonts w:ascii="Times New Roman" w:hAnsi="Times New Roman" w:cs="Times New Roman"/>
        </w:rPr>
        <w:t>S</w:t>
      </w:r>
      <w:r w:rsidRPr="0003402F">
        <w:rPr>
          <w:rFonts w:ascii="Times New Roman" w:hAnsi="Times New Roman" w:cs="Times New Roman"/>
        </w:rPr>
        <w:t xml:space="preserve">mlouvy, jeho montáž a </w:t>
      </w:r>
      <w:r w:rsidR="00F5603D">
        <w:rPr>
          <w:rFonts w:ascii="Times New Roman" w:hAnsi="Times New Roman" w:cs="Times New Roman"/>
        </w:rPr>
        <w:t>zaškolení</w:t>
      </w:r>
      <w:r w:rsidRPr="0003402F">
        <w:rPr>
          <w:rFonts w:ascii="Times New Roman" w:hAnsi="Times New Roman" w:cs="Times New Roman"/>
        </w:rPr>
        <w:t xml:space="preserve"> obsluhy. Prodávajícímu vzniká právo na zaplacení </w:t>
      </w:r>
      <w:r w:rsidR="00050559">
        <w:rPr>
          <w:rFonts w:ascii="Times New Roman" w:hAnsi="Times New Roman" w:cs="Times New Roman"/>
        </w:rPr>
        <w:t>P</w:t>
      </w:r>
      <w:r w:rsidRPr="0003402F">
        <w:rPr>
          <w:rFonts w:ascii="Times New Roman" w:hAnsi="Times New Roman" w:cs="Times New Roman"/>
        </w:rPr>
        <w:t>ředmětu plnění na základě oboustranně podepsaného protokolu o před</w:t>
      </w:r>
      <w:r>
        <w:rPr>
          <w:rFonts w:ascii="Times New Roman" w:hAnsi="Times New Roman" w:cs="Times New Roman"/>
        </w:rPr>
        <w:t>ání a převzetí předmětu plnění.</w:t>
      </w:r>
    </w:p>
    <w:p w14:paraId="06E9935A" w14:textId="77777777" w:rsidR="00FD5B0E" w:rsidRPr="005858D9" w:rsidRDefault="00FD5B0E" w:rsidP="00FD5B0E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II. Cena a platební podmínky</w:t>
      </w:r>
    </w:p>
    <w:p w14:paraId="49C6A110" w14:textId="5699DB05" w:rsidR="00FD5B0E" w:rsidRPr="005858D9" w:rsidRDefault="00FD5B0E" w:rsidP="00FD5B0E">
      <w:pPr>
        <w:pStyle w:val="Normlnweb"/>
        <w:numPr>
          <w:ilvl w:val="0"/>
          <w:numId w:val="7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Cena </w:t>
      </w:r>
      <w:r w:rsidR="00152A56">
        <w:rPr>
          <w:rFonts w:ascii="Times New Roman" w:hAnsi="Times New Roman" w:cs="Times New Roman"/>
        </w:rPr>
        <w:t>P</w:t>
      </w:r>
      <w:r w:rsidRPr="005858D9">
        <w:rPr>
          <w:rFonts w:ascii="Times New Roman" w:hAnsi="Times New Roman" w:cs="Times New Roman"/>
        </w:rPr>
        <w:t xml:space="preserve">ředmětu plnění byla stanovena na základě </w:t>
      </w:r>
      <w:r>
        <w:rPr>
          <w:rFonts w:ascii="Times New Roman" w:hAnsi="Times New Roman" w:cs="Times New Roman"/>
        </w:rPr>
        <w:t xml:space="preserve">cenové nabídky </w:t>
      </w:r>
      <w:r w:rsidRPr="005858D9">
        <w:rPr>
          <w:rFonts w:ascii="Times New Roman" w:hAnsi="Times New Roman" w:cs="Times New Roman"/>
        </w:rPr>
        <w:t>a v součtu činí:</w:t>
      </w:r>
    </w:p>
    <w:p w14:paraId="627F53FD" w14:textId="48BF795A" w:rsidR="00FD5B0E" w:rsidRPr="005858D9" w:rsidRDefault="00FD5B0E" w:rsidP="00FD5B0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ab/>
      </w:r>
      <w:r w:rsidR="005B57AF">
        <w:rPr>
          <w:rFonts w:ascii="Times New Roman" w:hAnsi="Times New Roman" w:cs="Times New Roman"/>
        </w:rPr>
        <w:tab/>
      </w:r>
      <w:r w:rsidR="001B0F66">
        <w:rPr>
          <w:rFonts w:ascii="Times New Roman" w:hAnsi="Times New Roman" w:cs="Times New Roman"/>
        </w:rPr>
        <w:t>58.400</w:t>
      </w:r>
      <w:r w:rsidR="00FB4CE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Kč</w:t>
      </w:r>
      <w:r w:rsidRPr="005858D9" w:rsidDel="007F3626">
        <w:rPr>
          <w:rFonts w:ascii="Times New Roman" w:hAnsi="Times New Roman" w:cs="Times New Roman"/>
        </w:rPr>
        <w:t xml:space="preserve"> </w:t>
      </w:r>
      <w:r w:rsidRPr="005858D9">
        <w:rPr>
          <w:rFonts w:ascii="Times New Roman" w:hAnsi="Times New Roman" w:cs="Times New Roman"/>
        </w:rPr>
        <w:t>bez DPH</w:t>
      </w:r>
    </w:p>
    <w:p w14:paraId="49C5EA39" w14:textId="38BA5927" w:rsidR="00FD5B0E" w:rsidRDefault="00A53910" w:rsidP="00FD5B0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0F66">
        <w:rPr>
          <w:rFonts w:ascii="Times New Roman" w:hAnsi="Times New Roman" w:cs="Times New Roman"/>
        </w:rPr>
        <w:t>70.664</w:t>
      </w:r>
      <w:r w:rsidR="00FB4CEE">
        <w:rPr>
          <w:rFonts w:ascii="Times New Roman" w:hAnsi="Times New Roman" w:cs="Times New Roman"/>
        </w:rPr>
        <w:t xml:space="preserve">    </w:t>
      </w:r>
      <w:r w:rsidR="00FD5B0E">
        <w:rPr>
          <w:rFonts w:ascii="Times New Roman" w:hAnsi="Times New Roman" w:cs="Times New Roman"/>
        </w:rPr>
        <w:t xml:space="preserve"> Kč</w:t>
      </w:r>
      <w:r w:rsidR="00FD5B0E" w:rsidRPr="005858D9">
        <w:rPr>
          <w:rFonts w:ascii="Times New Roman" w:hAnsi="Times New Roman" w:cs="Times New Roman"/>
        </w:rPr>
        <w:t xml:space="preserve"> včetně 21 % DPH</w:t>
      </w:r>
    </w:p>
    <w:p w14:paraId="19225470" w14:textId="77777777" w:rsidR="001E672A" w:rsidRPr="005858D9" w:rsidRDefault="001E672A" w:rsidP="00FD5B0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</w:rPr>
      </w:pPr>
    </w:p>
    <w:p w14:paraId="168042D9" w14:textId="2DF48339" w:rsidR="00A53910" w:rsidRPr="00A53910" w:rsidRDefault="00FD5B0E" w:rsidP="000E02D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A53910">
        <w:rPr>
          <w:rFonts w:ascii="Times New Roman" w:hAnsi="Times New Roman" w:cs="Times New Roman"/>
        </w:rPr>
        <w:t>Tato cena byla stanovena jako cena konečná a nelze ji měnit. Cena zahrnuje veškeré náklady včetně nákladů spojených s dopravou, včetně balení podle zvyklostí, do místa plnění</w:t>
      </w:r>
      <w:r w:rsidR="00A53910" w:rsidRPr="00A53910">
        <w:rPr>
          <w:rFonts w:ascii="Times New Roman" w:hAnsi="Times New Roman" w:cs="Times New Roman"/>
        </w:rPr>
        <w:t>. Dále obsahuje odvoz odpadů od balení</w:t>
      </w:r>
      <w:r w:rsidR="00A53910">
        <w:rPr>
          <w:rFonts w:ascii="Times New Roman" w:hAnsi="Times New Roman" w:cs="Times New Roman"/>
        </w:rPr>
        <w:br/>
        <w:t>p</w:t>
      </w:r>
      <w:r w:rsidR="00A53910" w:rsidRPr="00A53910">
        <w:rPr>
          <w:rFonts w:ascii="Times New Roman" w:hAnsi="Times New Roman" w:cs="Times New Roman"/>
        </w:rPr>
        <w:t>oužité AV techniky</w:t>
      </w:r>
      <w:r w:rsidR="00A53910">
        <w:rPr>
          <w:rFonts w:ascii="Times New Roman" w:hAnsi="Times New Roman" w:cs="Times New Roman"/>
        </w:rPr>
        <w:t xml:space="preserve">. Na výslovnou žádost </w:t>
      </w:r>
      <w:r w:rsidR="00A614C4">
        <w:rPr>
          <w:rFonts w:ascii="Times New Roman" w:hAnsi="Times New Roman" w:cs="Times New Roman"/>
        </w:rPr>
        <w:t>K</w:t>
      </w:r>
      <w:r w:rsidR="00A53910">
        <w:rPr>
          <w:rFonts w:ascii="Times New Roman" w:hAnsi="Times New Roman" w:cs="Times New Roman"/>
        </w:rPr>
        <w:t>upujícího můžeme některé přepravní krabice ponechat na místě jinak bude veškerý odpad odvezen.</w:t>
      </w:r>
    </w:p>
    <w:p w14:paraId="41DCB864" w14:textId="1BC1C9DF" w:rsidR="00FD5B0E" w:rsidRPr="005858D9" w:rsidRDefault="00FD5B0E" w:rsidP="00FD5B0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Splatnost řádně vystaveného daňového dokladu – faktury obsahující náležitosti dle přísl</w:t>
      </w:r>
      <w:r>
        <w:rPr>
          <w:rFonts w:ascii="Times New Roman" w:hAnsi="Times New Roman" w:cs="Times New Roman"/>
        </w:rPr>
        <w:t>ušných právních předpisů činí 14</w:t>
      </w:r>
      <w:r w:rsidRPr="005858D9">
        <w:rPr>
          <w:rFonts w:ascii="Times New Roman" w:hAnsi="Times New Roman" w:cs="Times New Roman"/>
        </w:rPr>
        <w:t xml:space="preserve"> dnů ode dne doručení </w:t>
      </w:r>
      <w:r w:rsidR="00B8577F">
        <w:rPr>
          <w:rFonts w:ascii="Times New Roman" w:hAnsi="Times New Roman" w:cs="Times New Roman"/>
        </w:rPr>
        <w:t>K</w:t>
      </w:r>
      <w:r w:rsidRPr="005858D9">
        <w:rPr>
          <w:rFonts w:ascii="Times New Roman" w:hAnsi="Times New Roman" w:cs="Times New Roman"/>
        </w:rPr>
        <w:t xml:space="preserve">upujícímu na adresu uvedenou v záhlaví této smlouvy u </w:t>
      </w:r>
      <w:r w:rsidR="00A614C4">
        <w:rPr>
          <w:rFonts w:ascii="Times New Roman" w:hAnsi="Times New Roman" w:cs="Times New Roman"/>
        </w:rPr>
        <w:t>K</w:t>
      </w:r>
      <w:r w:rsidRPr="005858D9">
        <w:rPr>
          <w:rFonts w:ascii="Times New Roman" w:hAnsi="Times New Roman" w:cs="Times New Roman"/>
        </w:rPr>
        <w:t>upujícího</w:t>
      </w:r>
      <w:r>
        <w:rPr>
          <w:rFonts w:ascii="Times New Roman" w:hAnsi="Times New Roman" w:cs="Times New Roman"/>
        </w:rPr>
        <w:t>.</w:t>
      </w:r>
    </w:p>
    <w:p w14:paraId="4B9A9FEE" w14:textId="0E8EA55F" w:rsidR="00FD5B0E" w:rsidRDefault="00FD5B0E" w:rsidP="00FD5B0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y</w:t>
      </w:r>
      <w:r w:rsidRPr="005858D9">
        <w:rPr>
          <w:rFonts w:ascii="Times New Roman" w:hAnsi="Times New Roman" w:cs="Times New Roman"/>
        </w:rPr>
        <w:t xml:space="preserve"> musí obsahovat náležitosti daňového dokladu podle § 435 OZ, podle § 7 zákona č. 90/2012 Sb., o obchodních společnostech a družstvech (zákon o obchodních korporacích), podle zákona č. 563/1991 Sb. o účetnictví, ve znění pozdějších předpisů a podle § 29 zákona č. 235/2004 Sb., o dani z přidané hodnoty, ve znění pozdějších předpisů a odkaz na tuto smlouvu. Nedílnou přílohou faktur musí být protokol o předání a převzetí.</w:t>
      </w:r>
    </w:p>
    <w:p w14:paraId="55AF7469" w14:textId="65B0C4D9" w:rsidR="00FD5B0E" w:rsidRPr="005858D9" w:rsidRDefault="00FD5B0E" w:rsidP="00FD5B0E">
      <w:pPr>
        <w:pStyle w:val="Normlnweb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Peněžní závazek </w:t>
      </w:r>
      <w:r w:rsidR="00B8577F">
        <w:rPr>
          <w:rFonts w:ascii="Times New Roman" w:hAnsi="Times New Roman" w:cs="Times New Roman"/>
        </w:rPr>
        <w:t>K</w:t>
      </w:r>
      <w:r w:rsidRPr="005858D9">
        <w:rPr>
          <w:rFonts w:ascii="Times New Roman" w:hAnsi="Times New Roman" w:cs="Times New Roman"/>
        </w:rPr>
        <w:t xml:space="preserve">upujícího se považuje za včas splněný dnem připsání příslušné částky ve prospěch účtu </w:t>
      </w:r>
      <w:r w:rsidR="00C564BD">
        <w:rPr>
          <w:rFonts w:ascii="Times New Roman" w:hAnsi="Times New Roman" w:cs="Times New Roman"/>
        </w:rPr>
        <w:t>P</w:t>
      </w:r>
      <w:r w:rsidRPr="005858D9">
        <w:rPr>
          <w:rFonts w:ascii="Times New Roman" w:hAnsi="Times New Roman" w:cs="Times New Roman"/>
        </w:rPr>
        <w:t xml:space="preserve">rodávajícího. Platba faktur bude provedena bezhotovostním převodem na bankovní účet </w:t>
      </w:r>
      <w:r w:rsidR="00B8577F">
        <w:rPr>
          <w:rFonts w:ascii="Times New Roman" w:hAnsi="Times New Roman" w:cs="Times New Roman"/>
        </w:rPr>
        <w:t>P</w:t>
      </w:r>
      <w:r w:rsidRPr="005858D9">
        <w:rPr>
          <w:rFonts w:ascii="Times New Roman" w:hAnsi="Times New Roman" w:cs="Times New Roman"/>
        </w:rPr>
        <w:t xml:space="preserve">rodávajícího, jenž je uveden v záhlaví této </w:t>
      </w:r>
      <w:r w:rsidR="00C564BD">
        <w:rPr>
          <w:rFonts w:ascii="Times New Roman" w:hAnsi="Times New Roman" w:cs="Times New Roman"/>
        </w:rPr>
        <w:t>S</w:t>
      </w:r>
      <w:r w:rsidRPr="005858D9">
        <w:rPr>
          <w:rFonts w:ascii="Times New Roman" w:hAnsi="Times New Roman" w:cs="Times New Roman"/>
        </w:rPr>
        <w:t>mlouvy.</w:t>
      </w:r>
    </w:p>
    <w:p w14:paraId="4711B3EA" w14:textId="28A2426D" w:rsidR="00FD5B0E" w:rsidRDefault="00FD5B0E" w:rsidP="00FD5B0E">
      <w:pPr>
        <w:pStyle w:val="Normlnweb"/>
        <w:numPr>
          <w:ilvl w:val="0"/>
          <w:numId w:val="7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Platby budou probíhat výhradně v Kč a rovněž veškeré cenové údaje budou v této měně.</w:t>
      </w:r>
    </w:p>
    <w:p w14:paraId="03CB1E98" w14:textId="77777777" w:rsidR="00FD5B0E" w:rsidRPr="005858D9" w:rsidRDefault="00FD5B0E" w:rsidP="00FD5B0E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III. Místo a termín plnění</w:t>
      </w:r>
    </w:p>
    <w:p w14:paraId="22615D1A" w14:textId="5D1C22E3" w:rsidR="00FD5B0E" w:rsidRPr="00FF63BA" w:rsidRDefault="00FD5B0E" w:rsidP="00FD5B0E">
      <w:pPr>
        <w:pStyle w:val="Normlnweb"/>
        <w:numPr>
          <w:ilvl w:val="0"/>
          <w:numId w:val="8"/>
        </w:numPr>
        <w:tabs>
          <w:tab w:val="left" w:pos="426"/>
        </w:tabs>
        <w:ind w:left="425" w:hanging="357"/>
        <w:jc w:val="both"/>
        <w:rPr>
          <w:rFonts w:ascii="Times New Roman" w:hAnsi="Times New Roman" w:cs="Times New Roman"/>
          <w:color w:val="FF0000"/>
        </w:rPr>
      </w:pPr>
      <w:r w:rsidRPr="007353E1">
        <w:rPr>
          <w:rFonts w:ascii="Times New Roman" w:hAnsi="Times New Roman" w:cs="Times New Roman"/>
        </w:rPr>
        <w:t>Místem plnění j</w:t>
      </w:r>
      <w:r w:rsidR="00A93D6D">
        <w:rPr>
          <w:rFonts w:ascii="Times New Roman" w:hAnsi="Times New Roman" w:cs="Times New Roman"/>
        </w:rPr>
        <w:t>sou</w:t>
      </w:r>
      <w:r w:rsidR="007129FA">
        <w:rPr>
          <w:rFonts w:ascii="Times New Roman" w:hAnsi="Times New Roman" w:cs="Times New Roman"/>
        </w:rPr>
        <w:t>:</w:t>
      </w:r>
    </w:p>
    <w:p w14:paraId="267C2938" w14:textId="3E3CD095" w:rsidR="00FD5B0E" w:rsidRDefault="001B0F66" w:rsidP="001B0F66">
      <w:pPr>
        <w:pStyle w:val="Normlnweb"/>
        <w:tabs>
          <w:tab w:val="left" w:pos="1701"/>
        </w:tabs>
        <w:spacing w:before="120"/>
        <w:ind w:left="425"/>
        <w:jc w:val="both"/>
        <w:rPr>
          <w:rFonts w:ascii="Times New Roman" w:hAnsi="Times New Roman" w:cs="Times New Roman"/>
        </w:rPr>
      </w:pPr>
      <w:r w:rsidRPr="001B0F66">
        <w:rPr>
          <w:rFonts w:ascii="Times New Roman" w:hAnsi="Times New Roman" w:cs="Times New Roman"/>
        </w:rPr>
        <w:t>Základní umělecká škola, Praha 5, Štefánikova 19</w:t>
      </w:r>
      <w:r>
        <w:rPr>
          <w:rFonts w:ascii="Times New Roman" w:hAnsi="Times New Roman" w:cs="Times New Roman"/>
        </w:rPr>
        <w:t xml:space="preserve">, </w:t>
      </w:r>
      <w:r w:rsidRPr="001B0F66">
        <w:rPr>
          <w:rFonts w:ascii="Times New Roman" w:hAnsi="Times New Roman" w:cs="Times New Roman"/>
        </w:rPr>
        <w:t xml:space="preserve">se sídlem: </w:t>
      </w:r>
      <w:r w:rsidRPr="001B0F66">
        <w:rPr>
          <w:rFonts w:ascii="Times New Roman" w:hAnsi="Times New Roman" w:cs="Times New Roman"/>
        </w:rPr>
        <w:tab/>
      </w:r>
      <w:r w:rsidRPr="001B0F66">
        <w:rPr>
          <w:rFonts w:ascii="Times New Roman" w:hAnsi="Times New Roman" w:cs="Times New Roman"/>
        </w:rPr>
        <w:tab/>
        <w:t xml:space="preserve">Štefánikova19, </w:t>
      </w:r>
      <w:proofErr w:type="gramStart"/>
      <w:r w:rsidRPr="001B0F66">
        <w:rPr>
          <w:rFonts w:ascii="Times New Roman" w:hAnsi="Times New Roman" w:cs="Times New Roman"/>
        </w:rPr>
        <w:t>150 00  Praha</w:t>
      </w:r>
      <w:proofErr w:type="gramEnd"/>
      <w:r w:rsidRPr="001B0F66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. </w:t>
      </w:r>
      <w:r w:rsidR="00FD5B0E" w:rsidRPr="005858D9">
        <w:rPr>
          <w:rFonts w:ascii="Times New Roman" w:hAnsi="Times New Roman" w:cs="Times New Roman"/>
        </w:rPr>
        <w:t xml:space="preserve">Pro převzetí </w:t>
      </w:r>
      <w:r w:rsidR="00A93D6D">
        <w:rPr>
          <w:rFonts w:ascii="Times New Roman" w:hAnsi="Times New Roman" w:cs="Times New Roman"/>
        </w:rPr>
        <w:t>P</w:t>
      </w:r>
      <w:r w:rsidR="00FD5B0E" w:rsidRPr="005858D9">
        <w:rPr>
          <w:rFonts w:ascii="Times New Roman" w:hAnsi="Times New Roman" w:cs="Times New Roman"/>
        </w:rPr>
        <w:t xml:space="preserve">ředmětu plnění platí, že </w:t>
      </w:r>
      <w:r w:rsidR="00AB1CE7">
        <w:rPr>
          <w:rFonts w:ascii="Times New Roman" w:hAnsi="Times New Roman" w:cs="Times New Roman"/>
        </w:rPr>
        <w:t>K</w:t>
      </w:r>
      <w:r w:rsidR="00FD5B0E" w:rsidRPr="005858D9">
        <w:rPr>
          <w:rFonts w:ascii="Times New Roman" w:hAnsi="Times New Roman" w:cs="Times New Roman"/>
        </w:rPr>
        <w:t xml:space="preserve">upující má právo odmítnout </w:t>
      </w:r>
      <w:r w:rsidR="00AB1CE7">
        <w:rPr>
          <w:rFonts w:ascii="Times New Roman" w:hAnsi="Times New Roman" w:cs="Times New Roman"/>
        </w:rPr>
        <w:t>převzít P</w:t>
      </w:r>
      <w:r w:rsidR="00FD5B0E" w:rsidRPr="005858D9">
        <w:rPr>
          <w:rFonts w:ascii="Times New Roman" w:hAnsi="Times New Roman" w:cs="Times New Roman"/>
        </w:rPr>
        <w:t xml:space="preserve">ředmět plnění v případě, že podstatným způsobem neodpovídá </w:t>
      </w:r>
      <w:r w:rsidR="00AB1CE7">
        <w:rPr>
          <w:rFonts w:ascii="Times New Roman" w:hAnsi="Times New Roman" w:cs="Times New Roman"/>
        </w:rPr>
        <w:t xml:space="preserve">ustanovením </w:t>
      </w:r>
      <w:r w:rsidR="00FD5B0E" w:rsidRPr="005858D9">
        <w:rPr>
          <w:rFonts w:ascii="Times New Roman" w:hAnsi="Times New Roman" w:cs="Times New Roman"/>
        </w:rPr>
        <w:t xml:space="preserve">této </w:t>
      </w:r>
      <w:r w:rsidR="00A93D6D">
        <w:rPr>
          <w:rFonts w:ascii="Times New Roman" w:hAnsi="Times New Roman" w:cs="Times New Roman"/>
        </w:rPr>
        <w:t>S</w:t>
      </w:r>
      <w:r w:rsidR="00FD5B0E" w:rsidRPr="005858D9">
        <w:rPr>
          <w:rFonts w:ascii="Times New Roman" w:hAnsi="Times New Roman" w:cs="Times New Roman"/>
        </w:rPr>
        <w:t>mlouv</w:t>
      </w:r>
      <w:r w:rsidR="00AB1CE7">
        <w:rPr>
          <w:rFonts w:ascii="Times New Roman" w:hAnsi="Times New Roman" w:cs="Times New Roman"/>
        </w:rPr>
        <w:t>y</w:t>
      </w:r>
      <w:r w:rsidR="007129FA">
        <w:rPr>
          <w:rFonts w:ascii="Times New Roman" w:hAnsi="Times New Roman" w:cs="Times New Roman"/>
        </w:rPr>
        <w:t xml:space="preserve"> </w:t>
      </w:r>
      <w:r w:rsidR="00AB1CE7">
        <w:rPr>
          <w:rFonts w:ascii="Times New Roman" w:hAnsi="Times New Roman" w:cs="Times New Roman"/>
        </w:rPr>
        <w:t>vč.</w:t>
      </w:r>
      <w:r w:rsidR="007129FA">
        <w:rPr>
          <w:rFonts w:ascii="Times New Roman" w:hAnsi="Times New Roman" w:cs="Times New Roman"/>
        </w:rPr>
        <w:t xml:space="preserve"> přílo</w:t>
      </w:r>
      <w:r w:rsidR="00AB1CE7">
        <w:rPr>
          <w:rFonts w:ascii="Times New Roman" w:hAnsi="Times New Roman" w:cs="Times New Roman"/>
        </w:rPr>
        <w:t>hy</w:t>
      </w:r>
      <w:r w:rsidR="007129FA">
        <w:rPr>
          <w:rFonts w:ascii="Times New Roman" w:hAnsi="Times New Roman" w:cs="Times New Roman"/>
        </w:rPr>
        <w:t>.</w:t>
      </w:r>
      <w:r w:rsidR="00FD5B0E" w:rsidRPr="005858D9">
        <w:rPr>
          <w:rFonts w:ascii="Times New Roman" w:hAnsi="Times New Roman" w:cs="Times New Roman"/>
        </w:rPr>
        <w:t xml:space="preserve"> Za podstatné se pro účely této </w:t>
      </w:r>
      <w:r w:rsidR="00AB1CE7">
        <w:rPr>
          <w:rFonts w:ascii="Times New Roman" w:hAnsi="Times New Roman" w:cs="Times New Roman"/>
        </w:rPr>
        <w:t>S</w:t>
      </w:r>
      <w:r w:rsidR="00FD5B0E" w:rsidRPr="005858D9">
        <w:rPr>
          <w:rFonts w:ascii="Times New Roman" w:hAnsi="Times New Roman" w:cs="Times New Roman"/>
        </w:rPr>
        <w:t>mlouvy považuje</w:t>
      </w:r>
      <w:r w:rsidR="00AB1CE7">
        <w:rPr>
          <w:rFonts w:ascii="Times New Roman" w:hAnsi="Times New Roman" w:cs="Times New Roman"/>
        </w:rPr>
        <w:t xml:space="preserve"> zejména</w:t>
      </w:r>
      <w:r w:rsidR="00FD5B0E" w:rsidRPr="005858D9">
        <w:rPr>
          <w:rFonts w:ascii="Times New Roman" w:hAnsi="Times New Roman" w:cs="Times New Roman"/>
        </w:rPr>
        <w:t>:</w:t>
      </w:r>
    </w:p>
    <w:p w14:paraId="7836781A" w14:textId="77777777" w:rsidR="008C49F3" w:rsidRDefault="008C49F3" w:rsidP="007129FA">
      <w:pPr>
        <w:pStyle w:val="Normlnweb"/>
        <w:tabs>
          <w:tab w:val="left" w:pos="1701"/>
        </w:tabs>
        <w:spacing w:before="120"/>
        <w:ind w:left="425"/>
        <w:jc w:val="both"/>
        <w:rPr>
          <w:rFonts w:ascii="Times New Roman" w:hAnsi="Times New Roman" w:cs="Times New Roman"/>
        </w:rPr>
      </w:pPr>
    </w:p>
    <w:p w14:paraId="0FC6AA83" w14:textId="103F4EAB" w:rsidR="00FD5B0E" w:rsidRPr="005858D9" w:rsidRDefault="008C49F3" w:rsidP="00FD5B0E">
      <w:pPr>
        <w:pStyle w:val="Normlnweb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Dodání </w:t>
      </w:r>
      <w:r w:rsidR="00A93D6D">
        <w:rPr>
          <w:rFonts w:ascii="Times New Roman" w:hAnsi="Times New Roman" w:cs="Times New Roman"/>
          <w:bCs/>
          <w:iCs/>
        </w:rPr>
        <w:t>P</w:t>
      </w:r>
      <w:r w:rsidR="00FD5B0E" w:rsidRPr="005858D9">
        <w:rPr>
          <w:rFonts w:ascii="Times New Roman" w:hAnsi="Times New Roman" w:cs="Times New Roman"/>
          <w:bCs/>
          <w:iCs/>
        </w:rPr>
        <w:t>ředmět</w:t>
      </w:r>
      <w:r>
        <w:rPr>
          <w:rFonts w:ascii="Times New Roman" w:hAnsi="Times New Roman" w:cs="Times New Roman"/>
          <w:bCs/>
          <w:iCs/>
        </w:rPr>
        <w:t>u</w:t>
      </w:r>
      <w:r w:rsidR="00FD5B0E" w:rsidRPr="005858D9">
        <w:rPr>
          <w:rFonts w:ascii="Times New Roman" w:hAnsi="Times New Roman" w:cs="Times New Roman"/>
          <w:bCs/>
          <w:iCs/>
        </w:rPr>
        <w:t xml:space="preserve"> plnění, který svou jakostí </w:t>
      </w:r>
      <w:r w:rsidR="00C75E69">
        <w:rPr>
          <w:rFonts w:ascii="Times New Roman" w:hAnsi="Times New Roman" w:cs="Times New Roman"/>
          <w:bCs/>
          <w:iCs/>
        </w:rPr>
        <w:t xml:space="preserve">a vlastnostmi </w:t>
      </w:r>
      <w:r w:rsidR="00FD5B0E" w:rsidRPr="005858D9">
        <w:rPr>
          <w:rFonts w:ascii="Times New Roman" w:hAnsi="Times New Roman" w:cs="Times New Roman"/>
          <w:bCs/>
          <w:iCs/>
        </w:rPr>
        <w:t xml:space="preserve">zcela </w:t>
      </w:r>
      <w:r w:rsidR="00FD5B0E" w:rsidRPr="005858D9">
        <w:rPr>
          <w:rFonts w:ascii="Times New Roman" w:hAnsi="Times New Roman" w:cs="Times New Roman"/>
        </w:rPr>
        <w:t>zjevně neodpovídá</w:t>
      </w:r>
      <w:r w:rsidR="00FD5B0E" w:rsidRPr="005858D9">
        <w:rPr>
          <w:rFonts w:ascii="Times New Roman" w:hAnsi="Times New Roman" w:cs="Times New Roman"/>
          <w:bCs/>
          <w:iCs/>
        </w:rPr>
        <w:t xml:space="preserve"> </w:t>
      </w:r>
      <w:r w:rsidR="00A93D6D">
        <w:rPr>
          <w:rFonts w:ascii="Times New Roman" w:hAnsi="Times New Roman" w:cs="Times New Roman"/>
          <w:bCs/>
          <w:iCs/>
        </w:rPr>
        <w:t>P</w:t>
      </w:r>
      <w:r w:rsidR="00FD5B0E" w:rsidRPr="005858D9">
        <w:rPr>
          <w:rFonts w:ascii="Times New Roman" w:hAnsi="Times New Roman" w:cs="Times New Roman"/>
          <w:bCs/>
          <w:iCs/>
        </w:rPr>
        <w:t xml:space="preserve">ředmětu plnění </w:t>
      </w:r>
      <w:r>
        <w:rPr>
          <w:rFonts w:ascii="Times New Roman" w:hAnsi="Times New Roman" w:cs="Times New Roman"/>
          <w:bCs/>
          <w:iCs/>
        </w:rPr>
        <w:t>K</w:t>
      </w:r>
      <w:r w:rsidR="00FD5B0E" w:rsidRPr="005858D9">
        <w:rPr>
          <w:rFonts w:ascii="Times New Roman" w:hAnsi="Times New Roman" w:cs="Times New Roman"/>
          <w:bCs/>
          <w:iCs/>
        </w:rPr>
        <w:t>upujícím objednan</w:t>
      </w:r>
      <w:r w:rsidR="00C75E69">
        <w:rPr>
          <w:rFonts w:ascii="Times New Roman" w:hAnsi="Times New Roman" w:cs="Times New Roman"/>
          <w:bCs/>
          <w:iCs/>
        </w:rPr>
        <w:t>ým</w:t>
      </w:r>
      <w:r w:rsidR="00901943">
        <w:rPr>
          <w:rFonts w:ascii="Times New Roman" w:hAnsi="Times New Roman" w:cs="Times New Roman"/>
          <w:bCs/>
          <w:iCs/>
        </w:rPr>
        <w:t xml:space="preserve"> a není nový</w:t>
      </w:r>
      <w:r w:rsidR="00AB1CE7">
        <w:rPr>
          <w:rFonts w:ascii="Times New Roman" w:hAnsi="Times New Roman" w:cs="Times New Roman"/>
          <w:bCs/>
          <w:iCs/>
        </w:rPr>
        <w:t xml:space="preserve"> nebo je poškozen</w:t>
      </w:r>
      <w:r w:rsidR="00FD5B0E" w:rsidRPr="005858D9">
        <w:rPr>
          <w:rFonts w:ascii="Times New Roman" w:hAnsi="Times New Roman" w:cs="Times New Roman"/>
          <w:bCs/>
          <w:iCs/>
        </w:rPr>
        <w:t>,</w:t>
      </w:r>
    </w:p>
    <w:p w14:paraId="53881305" w14:textId="6734E36A" w:rsidR="00FD5B0E" w:rsidRPr="00A91E2F" w:rsidRDefault="00FD5B0E" w:rsidP="00FD5B0E">
      <w:pPr>
        <w:pStyle w:val="Normlnweb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>nedodání kompletní dodávky, např. chybějící doklady k předmětu plnění</w:t>
      </w:r>
      <w:r w:rsidR="00A91E2F">
        <w:rPr>
          <w:rFonts w:ascii="Times New Roman" w:hAnsi="Times New Roman" w:cs="Times New Roman"/>
          <w:bCs/>
          <w:iCs/>
        </w:rPr>
        <w:t>,</w:t>
      </w:r>
    </w:p>
    <w:p w14:paraId="730555D0" w14:textId="3D96AC22" w:rsidR="00A91E2F" w:rsidRPr="005858D9" w:rsidRDefault="00A91E2F" w:rsidP="00FD5B0E">
      <w:pPr>
        <w:pStyle w:val="Normlnweb"/>
        <w:numPr>
          <w:ilvl w:val="0"/>
          <w:numId w:val="9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nefunkční Předmět plnění.</w:t>
      </w:r>
    </w:p>
    <w:p w14:paraId="264E7FD5" w14:textId="7F9AF546" w:rsidR="00FD5B0E" w:rsidRPr="00A91E2F" w:rsidRDefault="00FD5B0E" w:rsidP="00FD5B0E">
      <w:pPr>
        <w:pStyle w:val="Normlnweb"/>
        <w:numPr>
          <w:ilvl w:val="0"/>
          <w:numId w:val="8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</w:rPr>
      </w:pPr>
      <w:r w:rsidRPr="00A91E2F">
        <w:rPr>
          <w:rFonts w:ascii="Times New Roman" w:hAnsi="Times New Roman" w:cs="Times New Roman"/>
        </w:rPr>
        <w:t xml:space="preserve">Termín dodání </w:t>
      </w:r>
      <w:r w:rsidR="00A91E2F">
        <w:rPr>
          <w:rFonts w:ascii="Times New Roman" w:hAnsi="Times New Roman" w:cs="Times New Roman"/>
        </w:rPr>
        <w:t>P</w:t>
      </w:r>
      <w:r w:rsidRPr="00A91E2F">
        <w:rPr>
          <w:rFonts w:ascii="Times New Roman" w:hAnsi="Times New Roman" w:cs="Times New Roman"/>
        </w:rPr>
        <w:t xml:space="preserve">ředmětu plnění je </w:t>
      </w:r>
      <w:r w:rsidR="00A91E2F">
        <w:rPr>
          <w:rFonts w:ascii="Times New Roman" w:hAnsi="Times New Roman" w:cs="Times New Roman"/>
        </w:rPr>
        <w:t>nejpozději do</w:t>
      </w:r>
      <w:r w:rsidR="00AA6711">
        <w:rPr>
          <w:rFonts w:ascii="Times New Roman" w:hAnsi="Times New Roman" w:cs="Times New Roman"/>
        </w:rPr>
        <w:t xml:space="preserve"> data</w:t>
      </w:r>
      <w:r w:rsidR="00A91E2F">
        <w:rPr>
          <w:rFonts w:ascii="Times New Roman" w:hAnsi="Times New Roman" w:cs="Times New Roman"/>
        </w:rPr>
        <w:t xml:space="preserve"> </w:t>
      </w:r>
      <w:r w:rsidR="00D7404F">
        <w:rPr>
          <w:rFonts w:ascii="Times New Roman" w:hAnsi="Times New Roman" w:cs="Times New Roman"/>
        </w:rPr>
        <w:t>17.3.2022</w:t>
      </w:r>
    </w:p>
    <w:p w14:paraId="2C8AE021" w14:textId="77777777" w:rsidR="00FD5B0E" w:rsidRPr="005858D9" w:rsidRDefault="00FD5B0E" w:rsidP="00FD5B0E">
      <w:pPr>
        <w:pStyle w:val="Odstavecseseznamem"/>
        <w:spacing w:before="240" w:after="240" w:line="276" w:lineRule="auto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IV. Podmínky plnění, vlastnické právo</w:t>
      </w:r>
    </w:p>
    <w:p w14:paraId="66C50BFB" w14:textId="263FF45E" w:rsidR="00FD5B0E" w:rsidRPr="005858D9" w:rsidRDefault="00FD5B0E" w:rsidP="00FD5B0E">
      <w:pPr>
        <w:widowControl w:val="0"/>
        <w:numPr>
          <w:ilvl w:val="0"/>
          <w:numId w:val="11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Prodávající se touto </w:t>
      </w:r>
      <w:r w:rsidR="00856089">
        <w:t>S</w:t>
      </w:r>
      <w:r w:rsidRPr="005858D9">
        <w:t xml:space="preserve">mlouvou zavazuje dodat </w:t>
      </w:r>
      <w:r w:rsidR="00856089">
        <w:t>K</w:t>
      </w:r>
      <w:r w:rsidRPr="005858D9">
        <w:t xml:space="preserve">upujícímu předmět plnění a převést na něj vlastnické právo k tomuto </w:t>
      </w:r>
      <w:r w:rsidR="00856089">
        <w:t>P</w:t>
      </w:r>
      <w:r w:rsidRPr="005858D9">
        <w:t xml:space="preserve">ředmětu plnění a </w:t>
      </w:r>
      <w:r w:rsidR="00856089">
        <w:t>K</w:t>
      </w:r>
      <w:r w:rsidRPr="005858D9">
        <w:t>upující se zavazuje zaplatit kupní cenu. Kupující nabývá vlastnického práva k </w:t>
      </w:r>
      <w:r w:rsidR="00856089">
        <w:t>P</w:t>
      </w:r>
      <w:r w:rsidRPr="005858D9">
        <w:t xml:space="preserve">ředmětu plnění jeho řádným převzetím na základě </w:t>
      </w:r>
      <w:r w:rsidRPr="005858D9">
        <w:rPr>
          <w:rFonts w:eastAsia="Arial Unicode MS"/>
        </w:rPr>
        <w:t xml:space="preserve">podepsaného předávacího protokolu, tj. okamžikem převzetí. </w:t>
      </w:r>
    </w:p>
    <w:p w14:paraId="30698CA7" w14:textId="631F5088" w:rsidR="00FD5B0E" w:rsidRPr="005858D9" w:rsidRDefault="00FD5B0E" w:rsidP="00FD5B0E">
      <w:pPr>
        <w:widowControl w:val="0"/>
        <w:numPr>
          <w:ilvl w:val="0"/>
          <w:numId w:val="11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Nebezpečí škody na zboží ve smyslu § 2082 odst. 1 OZ přechází na </w:t>
      </w:r>
      <w:r w:rsidR="00513390">
        <w:t>K</w:t>
      </w:r>
      <w:r w:rsidRPr="005858D9">
        <w:t xml:space="preserve">upujícího </w:t>
      </w:r>
      <w:r w:rsidRPr="005858D9">
        <w:rPr>
          <w:rFonts w:eastAsia="Arial Unicode MS"/>
        </w:rPr>
        <w:t xml:space="preserve">okamžikem převzetí </w:t>
      </w:r>
      <w:r w:rsidR="005064DA">
        <w:rPr>
          <w:rFonts w:eastAsia="Arial Unicode MS"/>
        </w:rPr>
        <w:t>Předmětu plnění</w:t>
      </w:r>
      <w:r w:rsidRPr="005858D9">
        <w:t xml:space="preserve"> od </w:t>
      </w:r>
      <w:r w:rsidR="00513390">
        <w:t>P</w:t>
      </w:r>
      <w:r w:rsidRPr="005858D9">
        <w:t xml:space="preserve">rodávajícího, tj. na základě </w:t>
      </w:r>
      <w:r w:rsidRPr="005858D9">
        <w:rPr>
          <w:rFonts w:eastAsia="Arial Unicode MS"/>
        </w:rPr>
        <w:t>podepsaného předávacího protokolu.</w:t>
      </w:r>
    </w:p>
    <w:p w14:paraId="5C45AECB" w14:textId="6B7399AC" w:rsidR="00FD5B0E" w:rsidRPr="005858D9" w:rsidRDefault="00FD5B0E" w:rsidP="00FD5B0E">
      <w:pPr>
        <w:numPr>
          <w:ilvl w:val="0"/>
          <w:numId w:val="11"/>
        </w:numPr>
        <w:tabs>
          <w:tab w:val="left" w:pos="1068"/>
        </w:tabs>
        <w:jc w:val="both"/>
      </w:pPr>
      <w:r w:rsidRPr="005858D9">
        <w:t xml:space="preserve">Kupující je povinen převzít </w:t>
      </w:r>
      <w:r w:rsidR="00513390">
        <w:t>P</w:t>
      </w:r>
      <w:r w:rsidRPr="005858D9">
        <w:t xml:space="preserve">ředmět plnění specifikovaný v článku I. této </w:t>
      </w:r>
      <w:r w:rsidR="005064DA">
        <w:t>S</w:t>
      </w:r>
      <w:r w:rsidRPr="005858D9">
        <w:t xml:space="preserve">mlouvy a zaplatit kupní cenu sjednanou v článku II. této </w:t>
      </w:r>
      <w:r w:rsidR="005064DA">
        <w:t>S</w:t>
      </w:r>
      <w:r w:rsidRPr="005858D9">
        <w:t xml:space="preserve">mlouvy, s výjimkou </w:t>
      </w:r>
      <w:r w:rsidR="005064DA">
        <w:t xml:space="preserve">případného </w:t>
      </w:r>
      <w:r w:rsidR="00513390">
        <w:t xml:space="preserve">porušení </w:t>
      </w:r>
      <w:proofErr w:type="spellStart"/>
      <w:r w:rsidRPr="005858D9">
        <w:t>ust</w:t>
      </w:r>
      <w:proofErr w:type="spellEnd"/>
      <w:r w:rsidRPr="005858D9">
        <w:t>. čl. III.</w:t>
      </w:r>
    </w:p>
    <w:p w14:paraId="784F9090" w14:textId="041619D5" w:rsidR="00FD5B0E" w:rsidRDefault="00FD5B0E" w:rsidP="00FD5B0E">
      <w:pPr>
        <w:widowControl w:val="0"/>
        <w:numPr>
          <w:ilvl w:val="0"/>
          <w:numId w:val="11"/>
        </w:numPr>
        <w:adjustRightInd w:val="0"/>
        <w:spacing w:line="276" w:lineRule="auto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 xml:space="preserve">Kupující je povinen poskytnout </w:t>
      </w:r>
      <w:r w:rsidR="00513390">
        <w:rPr>
          <w:rFonts w:eastAsia="Arial Unicode MS"/>
        </w:rPr>
        <w:t>P</w:t>
      </w:r>
      <w:r w:rsidRPr="005858D9">
        <w:rPr>
          <w:rFonts w:eastAsia="Arial Unicode MS"/>
        </w:rPr>
        <w:t>rodávajícímu, po předchozím sjednání termínu</w:t>
      </w:r>
      <w:r w:rsidR="00A35719">
        <w:rPr>
          <w:rFonts w:eastAsia="Arial Unicode MS"/>
        </w:rPr>
        <w:t xml:space="preserve"> </w:t>
      </w:r>
      <w:r w:rsidRPr="005858D9">
        <w:rPr>
          <w:rFonts w:eastAsia="Arial Unicode MS"/>
        </w:rPr>
        <w:t>předání</w:t>
      </w:r>
      <w:r w:rsidR="00A35719">
        <w:rPr>
          <w:rFonts w:eastAsia="Arial Unicode MS"/>
        </w:rPr>
        <w:t xml:space="preserve"> Předmětu plnění</w:t>
      </w:r>
      <w:r w:rsidRPr="005858D9">
        <w:rPr>
          <w:rFonts w:eastAsia="Arial Unicode MS"/>
        </w:rPr>
        <w:t xml:space="preserve"> podle čl. III odst. 3 </w:t>
      </w:r>
      <w:r w:rsidR="005064DA">
        <w:rPr>
          <w:rFonts w:eastAsia="Arial Unicode MS"/>
        </w:rPr>
        <w:t xml:space="preserve">potřebnou </w:t>
      </w:r>
      <w:r w:rsidRPr="005858D9">
        <w:rPr>
          <w:rFonts w:eastAsia="Arial Unicode MS"/>
        </w:rPr>
        <w:t>součinnost.</w:t>
      </w:r>
    </w:p>
    <w:p w14:paraId="3BDE3434" w14:textId="77777777" w:rsidR="001C25A8" w:rsidRPr="005858D9" w:rsidRDefault="001C25A8" w:rsidP="001C25A8">
      <w:pPr>
        <w:widowControl w:val="0"/>
        <w:adjustRightInd w:val="0"/>
        <w:spacing w:line="276" w:lineRule="auto"/>
        <w:jc w:val="both"/>
        <w:textAlignment w:val="baseline"/>
        <w:rPr>
          <w:rFonts w:eastAsia="Arial Unicode MS"/>
        </w:rPr>
      </w:pPr>
    </w:p>
    <w:p w14:paraId="1F69D6F5" w14:textId="77777777" w:rsidR="00FD5B0E" w:rsidRPr="005858D9" w:rsidRDefault="00FD5B0E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V. Smluvní sankce</w:t>
      </w:r>
    </w:p>
    <w:p w14:paraId="3A68252F" w14:textId="0E0AF3BD" w:rsidR="00FD5B0E" w:rsidRPr="005858D9" w:rsidRDefault="00FD5B0E" w:rsidP="00FD5B0E">
      <w:pPr>
        <w:pStyle w:val="Odstavecseseznamem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5858D9">
        <w:t xml:space="preserve">Výslovně se touto </w:t>
      </w:r>
      <w:r w:rsidR="00A35719">
        <w:t>S</w:t>
      </w:r>
      <w:r w:rsidRPr="005858D9">
        <w:t xml:space="preserve">mlouvou sjednávají dále stanovené smluvní sankce. </w:t>
      </w:r>
    </w:p>
    <w:p w14:paraId="48674E0C" w14:textId="77777777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k jiným než zde uvedeným a dále např. ústně sjednaným smluvním sankcím, jakož i k smluvním sankcím sjednaným dodatečně nebude přihlíženo.</w:t>
      </w:r>
    </w:p>
    <w:p w14:paraId="3E29F142" w14:textId="68857E73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případě, že </w:t>
      </w:r>
      <w:r w:rsidR="00B9174F">
        <w:t>P</w:t>
      </w:r>
      <w:r w:rsidRPr="005858D9">
        <w:t xml:space="preserve">rodávající nedodrží dodací lhůtu, tak jak je uvedeno v čl. III. odst. 3. této </w:t>
      </w:r>
      <w:r w:rsidR="00D935FA">
        <w:t>S</w:t>
      </w:r>
      <w:r w:rsidRPr="005858D9">
        <w:t xml:space="preserve">mlouvy, je povinen uhradit </w:t>
      </w:r>
      <w:r w:rsidR="0026630C">
        <w:t>K</w:t>
      </w:r>
      <w:r w:rsidRPr="005858D9">
        <w:t xml:space="preserve">upujícímu smluvní sankci ve výši 0,5% (slovy: pět </w:t>
      </w:r>
      <w:r w:rsidR="0026630C">
        <w:t>desetin</w:t>
      </w:r>
      <w:r w:rsidRPr="005858D9">
        <w:t xml:space="preserve"> procenta) za každý započatý den prodlení následující po uplynutí příslušné dodací lhůty</w:t>
      </w:r>
      <w:r w:rsidR="00957DF8">
        <w:t>.</w:t>
      </w:r>
      <w:r w:rsidR="00B9174F">
        <w:t xml:space="preserve"> Pokud nebude Předmět plnění dodán ani v náhradní lhůtě v délce trvání </w:t>
      </w:r>
      <w:r w:rsidR="0026630C">
        <w:t>30</w:t>
      </w:r>
      <w:r w:rsidR="00B9174F">
        <w:t xml:space="preserve"> dní, může Kupující od této Smlouvy odstoupit</w:t>
      </w:r>
      <w:r w:rsidRPr="005858D9">
        <w:t>.</w:t>
      </w:r>
    </w:p>
    <w:p w14:paraId="6A195514" w14:textId="13D772F6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 prodlení </w:t>
      </w:r>
      <w:r w:rsidR="00D935FA">
        <w:t>P</w:t>
      </w:r>
      <w:r w:rsidRPr="005858D9">
        <w:t xml:space="preserve">rodávajícího s odstraněním vady </w:t>
      </w:r>
      <w:r w:rsidR="00B9174F">
        <w:t>P</w:t>
      </w:r>
      <w:r w:rsidRPr="005858D9">
        <w:t xml:space="preserve">ředmětu plnění dle čl. VII. </w:t>
      </w:r>
      <w:r w:rsidR="0014196D">
        <w:t>odst.</w:t>
      </w:r>
      <w:r w:rsidRPr="005858D9">
        <w:t xml:space="preserve"> </w:t>
      </w:r>
      <w:r w:rsidR="0014196D">
        <w:t>2</w:t>
      </w:r>
      <w:r w:rsidRPr="005858D9">
        <w:t xml:space="preserve"> této </w:t>
      </w:r>
      <w:r w:rsidR="00D935FA">
        <w:t>S</w:t>
      </w:r>
      <w:r w:rsidRPr="005858D9">
        <w:t xml:space="preserve">mlouvy, je </w:t>
      </w:r>
      <w:r w:rsidR="00D935FA">
        <w:t>P</w:t>
      </w:r>
      <w:r w:rsidRPr="005858D9">
        <w:t xml:space="preserve">rodávající povinen uhradit </w:t>
      </w:r>
      <w:r w:rsidR="00D935FA">
        <w:t>K</w:t>
      </w:r>
      <w:r w:rsidRPr="005858D9">
        <w:t xml:space="preserve">upujícímu smluvní sankci ve výši 0,5% (slovy: pět </w:t>
      </w:r>
      <w:r w:rsidR="00647F82">
        <w:t>desetin</w:t>
      </w:r>
      <w:r w:rsidRPr="005858D9">
        <w:t xml:space="preserve"> procenta) za každý i započatý den prodlení.</w:t>
      </w:r>
    </w:p>
    <w:p w14:paraId="68E1D3E1" w14:textId="2CB33E22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Při nedodržení termínu splatnosti faktury je </w:t>
      </w:r>
      <w:r w:rsidR="00D935FA">
        <w:t>P</w:t>
      </w:r>
      <w:r w:rsidRPr="005858D9">
        <w:t xml:space="preserve">rodávající oprávněn požadovat od </w:t>
      </w:r>
      <w:r w:rsidR="00D935FA">
        <w:t>K</w:t>
      </w:r>
      <w:r w:rsidRPr="005858D9">
        <w:t>upujícího úhradu úroku z prodlení ve výši stanoveném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3A8A42FE" w14:textId="491DEBF3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smluvní sankce dle bodů 3</w:t>
      </w:r>
      <w:r>
        <w:rPr>
          <w:rFonts w:eastAsia="Arial Unicode MS"/>
        </w:rPr>
        <w:t xml:space="preserve"> a</w:t>
      </w:r>
      <w:r w:rsidRPr="005858D9">
        <w:rPr>
          <w:rFonts w:eastAsia="Arial Unicode MS"/>
        </w:rPr>
        <w:t xml:space="preserve"> 4 tohoto článku se nezapočítává na náhradu škody. Dále si </w:t>
      </w:r>
      <w:r w:rsidR="00D935FA">
        <w:rPr>
          <w:rFonts w:eastAsia="Arial Unicode MS"/>
        </w:rPr>
        <w:t>S</w:t>
      </w:r>
      <w:r w:rsidRPr="005858D9">
        <w:rPr>
          <w:rFonts w:eastAsia="Arial Unicode MS"/>
        </w:rPr>
        <w:t xml:space="preserve">mluvní stany výslovně ujednaly, že v případě porušení dle bodu </w:t>
      </w:r>
      <w:r>
        <w:rPr>
          <w:rFonts w:eastAsia="Arial Unicode MS"/>
        </w:rPr>
        <w:t>5</w:t>
      </w:r>
      <w:r w:rsidRPr="005858D9">
        <w:rPr>
          <w:rFonts w:eastAsia="Arial Unicode MS"/>
        </w:rPr>
        <w:t xml:space="preserve"> tohoto článku odpovídá výše úroků náhradě škody.</w:t>
      </w:r>
    </w:p>
    <w:p w14:paraId="6538E576" w14:textId="77777777" w:rsidR="00FD5B0E" w:rsidRPr="005858D9" w:rsidRDefault="00FD5B0E" w:rsidP="00FD5B0E">
      <w:pPr>
        <w:pStyle w:val="Odstavecseseznamem"/>
        <w:widowControl w:val="0"/>
        <w:numPr>
          <w:ilvl w:val="0"/>
          <w:numId w:val="12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sankce je splatná do 30 dnů od prokazatelného doručení výzvy k plnění této smluvní sankce.</w:t>
      </w:r>
    </w:p>
    <w:p w14:paraId="52C7BBE1" w14:textId="64ED1B1F" w:rsidR="00FD5B0E" w:rsidRPr="005858D9" w:rsidRDefault="00FD5B0E" w:rsidP="0018785D">
      <w:pPr>
        <w:pStyle w:val="Normlnweb"/>
        <w:tabs>
          <w:tab w:val="left" w:pos="426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VI. Rozhodné právo</w:t>
      </w:r>
    </w:p>
    <w:p w14:paraId="537F82AD" w14:textId="38E4EB5F" w:rsidR="00FD5B0E" w:rsidRPr="005858D9" w:rsidRDefault="00FD5B0E" w:rsidP="00FD5B0E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Vztahy mezi </w:t>
      </w:r>
      <w:r w:rsidR="00671131">
        <w:rPr>
          <w:rFonts w:ascii="Times New Roman" w:hAnsi="Times New Roman" w:cs="Times New Roman"/>
        </w:rPr>
        <w:t>S</w:t>
      </w:r>
      <w:r w:rsidRPr="005858D9">
        <w:rPr>
          <w:rFonts w:ascii="Times New Roman" w:hAnsi="Times New Roman" w:cs="Times New Roman"/>
        </w:rPr>
        <w:t>mluvními stranami touto smlouvou výslovně neupravené se budou řídit českými, obecně závaznými právními předpisy, zejména OZ.</w:t>
      </w:r>
    </w:p>
    <w:p w14:paraId="5DC4FBD1" w14:textId="77777777" w:rsidR="00FD5B0E" w:rsidRPr="005858D9" w:rsidRDefault="00FD5B0E" w:rsidP="00FD5B0E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Při rozhodování případných sporů, vzniklých ze závazků založených touto smlouvou, budou místně a věcně příslušné soudy České republiky.</w:t>
      </w:r>
    </w:p>
    <w:p w14:paraId="68FD5A03" w14:textId="77777777" w:rsidR="00FD5B0E" w:rsidRPr="005858D9" w:rsidRDefault="00FD5B0E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VII. Záruční podmínky</w:t>
      </w:r>
    </w:p>
    <w:p w14:paraId="5A73242B" w14:textId="048B9BB0" w:rsidR="00FD5B0E" w:rsidRPr="005858D9" w:rsidRDefault="00FD5B0E" w:rsidP="00FD5B0E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5858D9">
        <w:t xml:space="preserve">Prodávající výslovně prohlašuje, že dodávaný </w:t>
      </w:r>
      <w:r w:rsidR="00671131">
        <w:t>P</w:t>
      </w:r>
      <w:r w:rsidRPr="005858D9">
        <w:t>ředmět plnění je</w:t>
      </w:r>
      <w:r w:rsidR="00671131">
        <w:t xml:space="preserve"> nový a</w:t>
      </w:r>
      <w:r w:rsidRPr="005858D9">
        <w:t xml:space="preserve"> bez vad. </w:t>
      </w:r>
    </w:p>
    <w:p w14:paraId="0E3F61DC" w14:textId="209D6FA6" w:rsidR="00FD5B0E" w:rsidRPr="005858D9" w:rsidRDefault="00FD5B0E" w:rsidP="00FD5B0E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5858D9">
        <w:t xml:space="preserve">Prodávající poskytuje na </w:t>
      </w:r>
      <w:r w:rsidR="00671131">
        <w:t>P</w:t>
      </w:r>
      <w:r w:rsidRPr="005858D9">
        <w:t xml:space="preserve">ředmět plnění uvedený v čl. I této </w:t>
      </w:r>
      <w:r w:rsidR="001244B9">
        <w:t>S</w:t>
      </w:r>
      <w:r w:rsidRPr="005858D9">
        <w:t xml:space="preserve">mlouvy záruku na bezvadnou funkci v délce trvání </w:t>
      </w:r>
      <w:r w:rsidR="00CF438E">
        <w:t>24</w:t>
      </w:r>
      <w:r w:rsidRPr="005858D9">
        <w:t xml:space="preserve"> měsíců</w:t>
      </w:r>
      <w:r w:rsidR="00B83495">
        <w:t>.</w:t>
      </w:r>
      <w:r w:rsidRPr="005858D9">
        <w:t xml:space="preserve"> Záruční doba začíná běžet ode dne převz</w:t>
      </w:r>
      <w:r>
        <w:t xml:space="preserve">etí </w:t>
      </w:r>
      <w:r w:rsidR="00671131">
        <w:t>P</w:t>
      </w:r>
      <w:r>
        <w:t xml:space="preserve">ředmětu plnění </w:t>
      </w:r>
      <w:r w:rsidR="00671131">
        <w:t>K</w:t>
      </w:r>
      <w:r>
        <w:t xml:space="preserve">upujícím. </w:t>
      </w:r>
      <w:r w:rsidRPr="005858D9">
        <w:t xml:space="preserve">Prodávající se zavazuje v záruční době bezplatně odstranit vady předmětu plnění nejpozději do </w:t>
      </w:r>
      <w:proofErr w:type="gramStart"/>
      <w:r w:rsidR="00536EA6">
        <w:t>30</w:t>
      </w:r>
      <w:r>
        <w:t>-ti</w:t>
      </w:r>
      <w:proofErr w:type="gramEnd"/>
      <w:r>
        <w:t xml:space="preserve"> pracovních dnů </w:t>
      </w:r>
      <w:r w:rsidRPr="005858D9">
        <w:t>od prokazatelného nahlášení vady.</w:t>
      </w:r>
    </w:p>
    <w:p w14:paraId="3099FF67" w14:textId="426AC719" w:rsidR="00FD5B0E" w:rsidRPr="005858D9" w:rsidRDefault="00FD5B0E" w:rsidP="00FD5B0E">
      <w:pPr>
        <w:pStyle w:val="Nadpis7"/>
        <w:spacing w:before="0" w:after="0"/>
        <w:ind w:left="1559"/>
        <w:jc w:val="both"/>
        <w:rPr>
          <w:rFonts w:ascii="Times New Roman" w:hAnsi="Times New Roman"/>
          <w:bCs/>
        </w:rPr>
      </w:pPr>
      <w:r w:rsidRPr="005858D9">
        <w:rPr>
          <w:rFonts w:ascii="Times New Roman" w:hAnsi="Times New Roman"/>
        </w:rPr>
        <w:t xml:space="preserve">pověřený zaměstnanec prodávajícího: </w:t>
      </w:r>
    </w:p>
    <w:p w14:paraId="4F54A3D7" w14:textId="6457920A" w:rsidR="00FD5B0E" w:rsidRPr="008C3F7D" w:rsidRDefault="007129FA" w:rsidP="00FD5B0E">
      <w:pPr>
        <w:pStyle w:val="Nadpis7"/>
        <w:tabs>
          <w:tab w:val="left" w:pos="2268"/>
        </w:tabs>
        <w:spacing w:before="0" w:after="0"/>
        <w:ind w:left="1559"/>
        <w:jc w:val="both"/>
        <w:rPr>
          <w:rFonts w:ascii="Times New Roman" w:hAnsi="Times New Roman"/>
          <w:b/>
        </w:rPr>
      </w:pPr>
      <w:r>
        <w:rPr>
          <w:rStyle w:val="Hypertextovodkaz"/>
          <w:rFonts w:ascii="Times New Roman" w:hAnsi="Times New Roman"/>
        </w:rPr>
        <w:br/>
      </w:r>
    </w:p>
    <w:p w14:paraId="7D1E5A40" w14:textId="3D017035" w:rsidR="00FD5B0E" w:rsidRDefault="00FD5B0E" w:rsidP="00FD5B0E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5858D9">
        <w:t xml:space="preserve">Veškeré náklady související s </w:t>
      </w:r>
      <w:r w:rsidR="00CF438E">
        <w:t xml:space="preserve">uznanou </w:t>
      </w:r>
      <w:r w:rsidRPr="005858D9">
        <w:t xml:space="preserve">záruční opravou včetně nákladů spojených s dopravou z míst plnění a zpět hradí </w:t>
      </w:r>
      <w:r w:rsidR="00205B5A">
        <w:t>P</w:t>
      </w:r>
      <w:r w:rsidRPr="005858D9">
        <w:t>rodávající.</w:t>
      </w:r>
    </w:p>
    <w:p w14:paraId="270A8418" w14:textId="43CDA3B9" w:rsidR="006C0736" w:rsidRDefault="006C0736" w:rsidP="006C0736">
      <w:pPr>
        <w:tabs>
          <w:tab w:val="left" w:pos="426"/>
        </w:tabs>
        <w:jc w:val="both"/>
      </w:pPr>
    </w:p>
    <w:p w14:paraId="2900DD04" w14:textId="77777777" w:rsidR="00803268" w:rsidRDefault="00803268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14:paraId="212BB0D5" w14:textId="77777777" w:rsidR="00803268" w:rsidRDefault="00803268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793FB7" w14:textId="77777777" w:rsidR="00FD5B0E" w:rsidRPr="005858D9" w:rsidRDefault="00FD5B0E" w:rsidP="00FD5B0E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VIII. Závěrečná ustanovení</w:t>
      </w:r>
    </w:p>
    <w:p w14:paraId="168E09B4" w14:textId="374BBC51" w:rsidR="00FD5B0E" w:rsidRPr="005858D9" w:rsidRDefault="00FD5B0E" w:rsidP="00FD5B0E">
      <w:pPr>
        <w:pStyle w:val="Odstavecseseznamem"/>
        <w:numPr>
          <w:ilvl w:val="0"/>
          <w:numId w:val="14"/>
        </w:numPr>
        <w:ind w:left="357" w:hanging="357"/>
        <w:jc w:val="both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Obě </w:t>
      </w:r>
      <w:r w:rsidR="00205B5A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mluvní strany se dohodly na tom, že případné dodatky k této </w:t>
      </w:r>
      <w:r w:rsidR="00205B5A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mlouvě musí být vyhotoveny pouze písemně, číslované vzestupnou řadou a podepsané oběma </w:t>
      </w:r>
      <w:r w:rsidR="00205B5A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>mluvními stranami. Smluvní strany si dále ujednaly, že k jiným formám nebude přihlíženo a nebudou jimi vázány.</w:t>
      </w:r>
    </w:p>
    <w:p w14:paraId="6216F709" w14:textId="090473ED" w:rsidR="00FD5B0E" w:rsidRPr="005858D9" w:rsidRDefault="00FD5B0E" w:rsidP="00FD5B0E">
      <w:pPr>
        <w:pStyle w:val="Normlnweb"/>
        <w:numPr>
          <w:ilvl w:val="0"/>
          <w:numId w:val="14"/>
        </w:numPr>
        <w:spacing w:before="120" w:after="120"/>
        <w:ind w:left="357" w:hanging="357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Při podstatném porušení povinností vyplývajících ze </w:t>
      </w:r>
      <w:r w:rsidR="006B0F2D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 xml:space="preserve">mlouvy může každá ze </w:t>
      </w:r>
      <w:r w:rsidR="001244B9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 xml:space="preserve">mluvních stran od </w:t>
      </w:r>
      <w:r w:rsidR="00FA589E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 xml:space="preserve">mlouvy odstoupit. Za podstatné porušení smluvních povinností se považuje nedodržení termínů plnění </w:t>
      </w:r>
      <w:r w:rsidR="00FA589E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>mluvních stran delším než 30 dnů. Toto ovšem neomezuje právo na náhradu škody.</w:t>
      </w:r>
    </w:p>
    <w:p w14:paraId="260FFA66" w14:textId="4E13A0A0" w:rsidR="00FD5B0E" w:rsidRPr="005858D9" w:rsidRDefault="00FD5B0E" w:rsidP="00FD5B0E">
      <w:pPr>
        <w:pStyle w:val="Normlnweb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Vzájemné vztahy </w:t>
      </w:r>
      <w:r w:rsidR="00FA589E">
        <w:rPr>
          <w:rFonts w:ascii="Times New Roman" w:hAnsi="Times New Roman" w:cs="Times New Roman"/>
          <w:bCs/>
          <w:iCs/>
        </w:rPr>
        <w:t>S</w:t>
      </w:r>
      <w:r w:rsidRPr="005858D9">
        <w:rPr>
          <w:rFonts w:ascii="Times New Roman" w:hAnsi="Times New Roman" w:cs="Times New Roman"/>
          <w:bCs/>
          <w:iCs/>
        </w:rPr>
        <w:t>mluvních stran z této smlouvy vyplývající a v ní výslovně neupravené se řídí příslušnými ustanoveními zákona OZ.</w:t>
      </w:r>
    </w:p>
    <w:p w14:paraId="4E05E4A2" w14:textId="71D12156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Tato </w:t>
      </w:r>
      <w:r w:rsidR="00FA589E">
        <w:t>S</w:t>
      </w:r>
      <w:r w:rsidRPr="005858D9">
        <w:t xml:space="preserve">mlouva se vyhotovuje ve </w:t>
      </w:r>
      <w:r w:rsidR="00FA589E">
        <w:t>dvou</w:t>
      </w:r>
      <w:r w:rsidRPr="005858D9">
        <w:t xml:space="preserve"> </w:t>
      </w:r>
      <w:proofErr w:type="spellStart"/>
      <w:r w:rsidR="00853F01">
        <w:t>paré</w:t>
      </w:r>
      <w:proofErr w:type="spellEnd"/>
      <w:r w:rsidR="00FA589E">
        <w:t>. Každá ze Smluvních stran obdrží po jednom vyhotovení</w:t>
      </w:r>
      <w:r w:rsidRPr="005858D9">
        <w:t>.</w:t>
      </w:r>
    </w:p>
    <w:p w14:paraId="532102ED" w14:textId="2BFB38B9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Prodávající výslovně souhlasí s tím, že </w:t>
      </w:r>
      <w:r w:rsidR="006B0F2D">
        <w:t>K</w:t>
      </w:r>
      <w:r w:rsidRPr="005858D9">
        <w:t xml:space="preserve">upující tuto </w:t>
      </w:r>
      <w:r w:rsidR="00853F01">
        <w:t>S</w:t>
      </w:r>
      <w:r w:rsidRPr="005858D9">
        <w:t xml:space="preserve">mlouvu </w:t>
      </w:r>
      <w:r w:rsidR="00853F01">
        <w:t>může z</w:t>
      </w:r>
      <w:r w:rsidRPr="005858D9">
        <w:t>veřejn</w:t>
      </w:r>
      <w:r w:rsidR="00853F01">
        <w:t>it</w:t>
      </w:r>
      <w:r w:rsidRPr="005858D9">
        <w:t xml:space="preserve"> na svém profilu v plném z</w:t>
      </w:r>
      <w:r>
        <w:t>nění v souladu se zákonem č. 134/201</w:t>
      </w:r>
      <w:r w:rsidRPr="005858D9">
        <w:t>6 Sb., o veřejných zakázkách, ve znění pozdějších předpisů.</w:t>
      </w:r>
    </w:p>
    <w:p w14:paraId="347A2367" w14:textId="073FA30F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ujednaly, že závazky vyplývající z této </w:t>
      </w:r>
      <w:r w:rsidR="006B0F2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mlouvy se promlčují ve lhůtě 10 (deseti let) let ode dne, kdy </w:t>
      </w:r>
      <w:r w:rsidR="006B0F2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>mluvní strana mohla poprvé toto právo uplatnit.</w:t>
      </w:r>
    </w:p>
    <w:p w14:paraId="4CACF012" w14:textId="6F47EDCD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výslovně ujednaly, že tuto </w:t>
      </w:r>
      <w:r w:rsidR="00F956A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mlouvu nelze postoupit na řad. Žádná ze </w:t>
      </w:r>
      <w:r w:rsidR="00F956A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 xml:space="preserve">mluvních stran není oprávněna vtělit jakékoliv právo plynoucí jí ze </w:t>
      </w:r>
      <w:r w:rsidR="00F956AD">
        <w:rPr>
          <w:rFonts w:eastAsia="Arial Unicode MS"/>
          <w:bCs/>
          <w:iCs/>
        </w:rPr>
        <w:t>S</w:t>
      </w:r>
      <w:r w:rsidRPr="005858D9">
        <w:rPr>
          <w:rFonts w:eastAsia="Arial Unicode MS"/>
          <w:bCs/>
          <w:iCs/>
        </w:rPr>
        <w:t>mlouvy nebo z jejího porušení do podoby cenného papíru.</w:t>
      </w:r>
    </w:p>
    <w:p w14:paraId="2182D196" w14:textId="43DF4371" w:rsidR="00FD5B0E" w:rsidRPr="005858D9" w:rsidRDefault="00FD5B0E" w:rsidP="00FD5B0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80" w:lineRule="atLeast"/>
        <w:jc w:val="both"/>
        <w:textAlignment w:val="baseline"/>
      </w:pPr>
      <w:r w:rsidRPr="005858D9">
        <w:rPr>
          <w:lang w:eastAsia="en-US"/>
        </w:rPr>
        <w:t xml:space="preserve">Tato </w:t>
      </w:r>
      <w:r w:rsidR="00853F01">
        <w:rPr>
          <w:lang w:eastAsia="en-US"/>
        </w:rPr>
        <w:t>S</w:t>
      </w:r>
      <w:r w:rsidRPr="005858D9">
        <w:rPr>
          <w:lang w:eastAsia="en-US"/>
        </w:rPr>
        <w:t>mlouva</w:t>
      </w:r>
      <w:r w:rsidRPr="005858D9">
        <w:t xml:space="preserve"> obsahuje následující přílohy:</w:t>
      </w:r>
    </w:p>
    <w:p w14:paraId="0AA97B14" w14:textId="06905A1E" w:rsidR="00CF438E" w:rsidRDefault="00FD5B0E" w:rsidP="00CF438E">
      <w:pPr>
        <w:pStyle w:val="Normlnweb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Příl</w:t>
      </w:r>
      <w:r w:rsidR="00600217">
        <w:rPr>
          <w:rFonts w:ascii="Times New Roman" w:hAnsi="Times New Roman" w:cs="Times New Roman"/>
        </w:rPr>
        <w:t>oha č.1 – „Cenová nabídka</w:t>
      </w:r>
      <w:r w:rsidRPr="005858D9">
        <w:rPr>
          <w:rFonts w:ascii="Times New Roman" w:hAnsi="Times New Roman" w:cs="Times New Roman"/>
        </w:rPr>
        <w:t>“</w:t>
      </w:r>
    </w:p>
    <w:p w14:paraId="6ADDD9E2" w14:textId="33DD29EA" w:rsidR="00CF438E" w:rsidRDefault="00CF438E" w:rsidP="00CF438E">
      <w:pPr>
        <w:pStyle w:val="Normlnweb"/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Pověřené osoby ve věcech technických:</w:t>
      </w:r>
    </w:p>
    <w:p w14:paraId="10578FDC" w14:textId="360E797D" w:rsidR="00FA0D66" w:rsidRDefault="00CF438E" w:rsidP="00FA0D66">
      <w:pPr>
        <w:pStyle w:val="Normlnweb"/>
        <w:tabs>
          <w:tab w:val="left" w:pos="426"/>
        </w:tabs>
        <w:spacing w:before="120" w:after="120"/>
        <w:ind w:left="360"/>
        <w:rPr>
          <w:rFonts w:ascii="Times New Roman" w:hAnsi="Times New Roman" w:cs="Times New Roman"/>
        </w:rPr>
      </w:pPr>
      <w:r w:rsidRPr="00CF438E">
        <w:rPr>
          <w:rFonts w:ascii="Times New Roman" w:hAnsi="Times New Roman" w:cs="Times New Roman"/>
        </w:rPr>
        <w:t xml:space="preserve">pověřený zaměstnanec prodávajícího: </w:t>
      </w:r>
      <w:r>
        <w:rPr>
          <w:rFonts w:ascii="Times New Roman" w:hAnsi="Times New Roman" w:cs="Times New Roman"/>
        </w:rPr>
        <w:br/>
      </w:r>
      <w:r w:rsidRPr="00853F01">
        <w:rPr>
          <w:rFonts w:ascii="Times New Roman" w:hAnsi="Times New Roman" w:cs="Times New Roman"/>
        </w:rPr>
        <w:t>pověřený zaměstnanec kupujícího:</w:t>
      </w:r>
      <w:r w:rsidR="00F956AD" w:rsidRPr="00853F01">
        <w:rPr>
          <w:rFonts w:ascii="Times New Roman" w:hAnsi="Times New Roman" w:cs="Times New Roman"/>
        </w:rPr>
        <w:t xml:space="preserve"> </w:t>
      </w:r>
    </w:p>
    <w:p w14:paraId="1A2B65EB" w14:textId="77777777" w:rsidR="00FA0D66" w:rsidRPr="005858D9" w:rsidRDefault="00FA0D66" w:rsidP="00FA0D66">
      <w:pPr>
        <w:pStyle w:val="Normlnweb"/>
        <w:tabs>
          <w:tab w:val="left" w:pos="426"/>
        </w:tabs>
        <w:spacing w:before="120" w:after="120"/>
        <w:ind w:left="360"/>
        <w:rPr>
          <w:rFonts w:ascii="Times New Roman" w:hAnsi="Times New Roman" w:cs="Times New Roman"/>
        </w:rPr>
      </w:pPr>
    </w:p>
    <w:p w14:paraId="7A1FA473" w14:textId="77777777" w:rsidR="0018785D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0BAAEFA4" w14:textId="77777777" w:rsidR="0018785D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9B58D55" w14:textId="57E51FD1" w:rsidR="00FD5B0E" w:rsidRPr="005858D9" w:rsidRDefault="00FD5B0E" w:rsidP="0021601C">
      <w:pPr>
        <w:overflowPunct w:val="0"/>
        <w:autoSpaceDE w:val="0"/>
        <w:autoSpaceDN w:val="0"/>
        <w:adjustRightInd w:val="0"/>
        <w:spacing w:before="120" w:after="120"/>
        <w:ind w:firstLine="360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V Praze dne</w:t>
      </w:r>
      <w:r w:rsidR="00600217">
        <w:rPr>
          <w:rFonts w:eastAsia="Arial Unicode MS"/>
          <w:bCs/>
          <w:iCs/>
        </w:rPr>
        <w:t xml:space="preserve"> </w:t>
      </w:r>
      <w:r w:rsidR="0021601C">
        <w:rPr>
          <w:rFonts w:eastAsia="Arial Unicode MS"/>
          <w:bCs/>
          <w:iCs/>
        </w:rPr>
        <w:t>3.3.2022</w:t>
      </w:r>
      <w:r w:rsidR="004D63B1">
        <w:rPr>
          <w:rFonts w:eastAsia="Arial Unicode MS"/>
          <w:bCs/>
          <w:iCs/>
        </w:rPr>
        <w:tab/>
      </w:r>
      <w:r w:rsidR="004D63B1">
        <w:rPr>
          <w:rFonts w:eastAsia="Arial Unicode MS"/>
          <w:bCs/>
          <w:iCs/>
        </w:rPr>
        <w:tab/>
      </w:r>
      <w:r w:rsidRPr="005858D9">
        <w:rPr>
          <w:rFonts w:eastAsia="Arial Unicode MS"/>
          <w:bCs/>
          <w:iCs/>
        </w:rPr>
        <w:t xml:space="preserve">                                                      </w:t>
      </w:r>
      <w:r w:rsidR="00066DD8" w:rsidRPr="005858D9">
        <w:rPr>
          <w:rFonts w:eastAsia="Arial Unicode MS"/>
          <w:bCs/>
          <w:iCs/>
        </w:rPr>
        <w:t>V </w:t>
      </w:r>
      <w:r w:rsidR="0021601C">
        <w:rPr>
          <w:rFonts w:eastAsia="Arial Unicode MS"/>
          <w:bCs/>
          <w:iCs/>
        </w:rPr>
        <w:t>Praze</w:t>
      </w:r>
      <w:r w:rsidR="00066DD8" w:rsidRPr="005858D9">
        <w:rPr>
          <w:rFonts w:eastAsia="Arial Unicode MS"/>
          <w:bCs/>
          <w:iCs/>
        </w:rPr>
        <w:t xml:space="preserve"> dne</w:t>
      </w:r>
      <w:r w:rsidR="0021601C">
        <w:rPr>
          <w:rFonts w:eastAsia="Arial Unicode MS"/>
          <w:bCs/>
          <w:iCs/>
        </w:rPr>
        <w:t xml:space="preserve"> 3.3.2022</w:t>
      </w:r>
    </w:p>
    <w:p w14:paraId="64FBA96D" w14:textId="37B82F69" w:rsidR="00FD5B0E" w:rsidRDefault="00FD5B0E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2FFF97E7" w14:textId="7B733AB4" w:rsidR="0018785D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0E9FF7AA" w14:textId="77777777" w:rsidR="0018785D" w:rsidRPr="005858D9" w:rsidRDefault="0018785D" w:rsidP="00FD5B0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259FB99A" w14:textId="75624830" w:rsidR="00FD5B0E" w:rsidRDefault="0021601C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      </w:t>
      </w:r>
      <w:r w:rsidR="00FD5B0E">
        <w:rPr>
          <w:rFonts w:eastAsia="Arial Unicode MS"/>
          <w:bCs/>
          <w:iCs/>
        </w:rPr>
        <w:t>…………………………………</w:t>
      </w:r>
      <w:r>
        <w:rPr>
          <w:rFonts w:eastAsia="Arial Unicode MS"/>
          <w:bCs/>
          <w:iCs/>
        </w:rPr>
        <w:tab/>
        <w:t xml:space="preserve">                                           </w:t>
      </w:r>
      <w:r w:rsidR="00FD5B0E">
        <w:rPr>
          <w:rFonts w:eastAsia="Arial Unicode MS"/>
          <w:bCs/>
          <w:iCs/>
        </w:rPr>
        <w:t>…………………………………</w:t>
      </w:r>
    </w:p>
    <w:p w14:paraId="7BA01E36" w14:textId="62C1AAF7" w:rsidR="00FD5B0E" w:rsidRDefault="0021601C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                    </w:t>
      </w:r>
      <w:r w:rsidR="00FD5B0E" w:rsidRPr="005858D9">
        <w:rPr>
          <w:rFonts w:eastAsia="Arial Unicode MS"/>
          <w:bCs/>
          <w:iCs/>
        </w:rPr>
        <w:t>Prodávající</w:t>
      </w:r>
      <w:r w:rsidR="00FD5B0E"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 xml:space="preserve">                                      </w:t>
      </w:r>
      <w:r w:rsidR="00FD5B0E">
        <w:rPr>
          <w:rFonts w:eastAsia="Arial Unicode MS"/>
          <w:bCs/>
          <w:iCs/>
        </w:rPr>
        <w:t>Kupující</w:t>
      </w:r>
    </w:p>
    <w:p w14:paraId="2C057831" w14:textId="68E0B4E2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0B283A3" w14:textId="6B70E073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0298FCD0" w14:textId="77777777" w:rsidR="00D7404F" w:rsidRDefault="00D7404F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645F8C9E" w14:textId="40A27884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3F6481B" w14:textId="3DD26CA1" w:rsidR="001A45C8" w:rsidRDefault="00E06882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Příloha č. 1</w:t>
      </w:r>
    </w:p>
    <w:p w14:paraId="46D0CD61" w14:textId="394912F8" w:rsidR="001A45C8" w:rsidRDefault="001A45C8" w:rsidP="00FD5B0E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A22E7AA" w14:textId="5C2EC5F4" w:rsidR="002330C2" w:rsidRDefault="001B0F66" w:rsidP="001B0F66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Arial Unicode MS"/>
          <w:bCs/>
          <w:iCs/>
        </w:rPr>
      </w:pPr>
      <w:r>
        <w:rPr>
          <w:noProof/>
        </w:rPr>
        <w:drawing>
          <wp:inline distT="0" distB="0" distL="0" distR="0" wp14:anchorId="096D0B12" wp14:editId="07E01634">
            <wp:extent cx="2399272" cy="774001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2293" cy="774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0C2" w:rsidSect="00530F68">
      <w:headerReference w:type="default" r:id="rId12"/>
      <w:footerReference w:type="default" r:id="rId13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4A7F4" w14:textId="77777777" w:rsidR="00F86C63" w:rsidRDefault="00F86C63" w:rsidP="007B00C1">
      <w:r>
        <w:separator/>
      </w:r>
    </w:p>
  </w:endnote>
  <w:endnote w:type="continuationSeparator" w:id="0">
    <w:p w14:paraId="136395B8" w14:textId="77777777" w:rsidR="00F86C63" w:rsidRDefault="00F86C63" w:rsidP="007B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1F2AD" w14:textId="77777777" w:rsidR="007B00C1" w:rsidRPr="007129FA" w:rsidRDefault="007B00C1" w:rsidP="007B00C1">
    <w:pPr>
      <w:pStyle w:val="Zpat"/>
      <w:jc w:val="center"/>
      <w:rPr>
        <w:rFonts w:ascii="Verdana" w:hAnsi="Verdana"/>
        <w:b/>
        <w:sz w:val="16"/>
        <w:szCs w:val="16"/>
      </w:rPr>
    </w:pPr>
    <w:r w:rsidRPr="007129FA">
      <w:rPr>
        <w:rFonts w:ascii="Verdana" w:hAnsi="Verdana"/>
        <w:b/>
        <w:sz w:val="16"/>
        <w:szCs w:val="16"/>
      </w:rPr>
      <w:t>AV FACTORY s.r.o.</w:t>
    </w:r>
  </w:p>
  <w:p w14:paraId="29D1F2AF" w14:textId="126E1D07" w:rsidR="007B00C1" w:rsidRPr="007129FA" w:rsidRDefault="007B00C1" w:rsidP="007B00C1">
    <w:pPr>
      <w:pStyle w:val="Zpat"/>
      <w:jc w:val="center"/>
      <w:rPr>
        <w:rFonts w:ascii="Verdana" w:hAnsi="Verdana"/>
        <w:sz w:val="16"/>
        <w:szCs w:val="16"/>
      </w:rPr>
    </w:pPr>
    <w:r w:rsidRPr="007129FA">
      <w:rPr>
        <w:rFonts w:ascii="Verdana" w:hAnsi="Verdana"/>
        <w:sz w:val="16"/>
        <w:szCs w:val="16"/>
      </w:rPr>
      <w:t>Veronské nám. 586, 109 00, Praha 15</w:t>
    </w:r>
  </w:p>
  <w:p w14:paraId="255C45E0" w14:textId="57C975B0" w:rsidR="007129FA" w:rsidRPr="007129FA" w:rsidRDefault="007129FA" w:rsidP="007B00C1">
    <w:pPr>
      <w:pStyle w:val="Zpat"/>
      <w:jc w:val="center"/>
      <w:rPr>
        <w:rFonts w:ascii="Verdana" w:hAnsi="Verdana"/>
        <w:sz w:val="16"/>
        <w:szCs w:val="16"/>
      </w:rPr>
    </w:pPr>
    <w:r w:rsidRPr="007129FA">
      <w:rPr>
        <w:rFonts w:ascii="Verdana" w:hAnsi="Verdana"/>
        <w:sz w:val="16"/>
        <w:szCs w:val="16"/>
      </w:rPr>
      <w:t>www.avfactory.cz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CEE8C" w14:textId="77777777" w:rsidR="00F86C63" w:rsidRDefault="00F86C63" w:rsidP="007B00C1">
      <w:r>
        <w:separator/>
      </w:r>
    </w:p>
  </w:footnote>
  <w:footnote w:type="continuationSeparator" w:id="0">
    <w:p w14:paraId="1FA19E9C" w14:textId="77777777" w:rsidR="00F86C63" w:rsidRDefault="00F86C63" w:rsidP="007B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1F2AC" w14:textId="77777777" w:rsidR="007B00C1" w:rsidRDefault="007B00C1" w:rsidP="007B00C1">
    <w:pPr>
      <w:pStyle w:val="Zhlav"/>
      <w:jc w:val="center"/>
    </w:pPr>
    <w:r>
      <w:rPr>
        <w:noProof/>
      </w:rPr>
      <w:drawing>
        <wp:inline distT="0" distB="0" distL="0" distR="0" wp14:anchorId="29D1F2B0" wp14:editId="29D1F2B1">
          <wp:extent cx="2322576" cy="676656"/>
          <wp:effectExtent l="0" t="0" r="1905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F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76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E8D"/>
    <w:multiLevelType w:val="singleLevel"/>
    <w:tmpl w:val="2E2825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1" w15:restartNumberingAfterBreak="0">
    <w:nsid w:val="060068E7"/>
    <w:multiLevelType w:val="hybridMultilevel"/>
    <w:tmpl w:val="A66E7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006"/>
    <w:multiLevelType w:val="hybridMultilevel"/>
    <w:tmpl w:val="129A0474"/>
    <w:lvl w:ilvl="0" w:tplc="2524354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3BA04E6"/>
    <w:multiLevelType w:val="singleLevel"/>
    <w:tmpl w:val="1A36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02F01"/>
    <w:multiLevelType w:val="hybridMultilevel"/>
    <w:tmpl w:val="308E097A"/>
    <w:lvl w:ilvl="0" w:tplc="378442BA">
      <w:numFmt w:val="bullet"/>
      <w:lvlText w:val="-"/>
      <w:lvlJc w:val="left"/>
      <w:pPr>
        <w:ind w:left="938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1ED9311F"/>
    <w:multiLevelType w:val="hybridMultilevel"/>
    <w:tmpl w:val="81088A6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019D9"/>
    <w:multiLevelType w:val="hybridMultilevel"/>
    <w:tmpl w:val="37BEE86E"/>
    <w:lvl w:ilvl="0" w:tplc="040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857"/>
    <w:multiLevelType w:val="hybridMultilevel"/>
    <w:tmpl w:val="1A3E21F0"/>
    <w:lvl w:ilvl="0" w:tplc="5A783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207115"/>
    <w:multiLevelType w:val="hybridMultilevel"/>
    <w:tmpl w:val="211C94B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10FED"/>
    <w:multiLevelType w:val="hybridMultilevel"/>
    <w:tmpl w:val="4B1E2EC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11C67BF"/>
    <w:multiLevelType w:val="hybridMultilevel"/>
    <w:tmpl w:val="C482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7998"/>
    <w:multiLevelType w:val="hybridMultilevel"/>
    <w:tmpl w:val="6B10CF56"/>
    <w:lvl w:ilvl="0" w:tplc="0BF039A8">
      <w:numFmt w:val="bullet"/>
      <w:lvlText w:val="-"/>
      <w:lvlJc w:val="left"/>
      <w:pPr>
        <w:ind w:left="938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60F25FF6"/>
    <w:multiLevelType w:val="hybridMultilevel"/>
    <w:tmpl w:val="AAD4F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34E9A"/>
    <w:multiLevelType w:val="hybridMultilevel"/>
    <w:tmpl w:val="31108816"/>
    <w:lvl w:ilvl="0" w:tplc="1C88072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C1"/>
    <w:rsid w:val="000067CF"/>
    <w:rsid w:val="00050559"/>
    <w:rsid w:val="00063F95"/>
    <w:rsid w:val="00066DD8"/>
    <w:rsid w:val="000A6CAD"/>
    <w:rsid w:val="000B0F0E"/>
    <w:rsid w:val="000E40ED"/>
    <w:rsid w:val="00113E9C"/>
    <w:rsid w:val="001244B9"/>
    <w:rsid w:val="00131B72"/>
    <w:rsid w:val="00140786"/>
    <w:rsid w:val="0014196D"/>
    <w:rsid w:val="00152A56"/>
    <w:rsid w:val="0018785D"/>
    <w:rsid w:val="001A45C8"/>
    <w:rsid w:val="001B0F66"/>
    <w:rsid w:val="001B25D8"/>
    <w:rsid w:val="001B3843"/>
    <w:rsid w:val="001C25A8"/>
    <w:rsid w:val="001E672A"/>
    <w:rsid w:val="0020262D"/>
    <w:rsid w:val="00205B5A"/>
    <w:rsid w:val="0021601C"/>
    <w:rsid w:val="002262C7"/>
    <w:rsid w:val="002330C2"/>
    <w:rsid w:val="00254F33"/>
    <w:rsid w:val="0026630C"/>
    <w:rsid w:val="00332A1C"/>
    <w:rsid w:val="0037758E"/>
    <w:rsid w:val="003D36A2"/>
    <w:rsid w:val="003F7CFD"/>
    <w:rsid w:val="0040114C"/>
    <w:rsid w:val="00401BD6"/>
    <w:rsid w:val="00405BFF"/>
    <w:rsid w:val="00405FAE"/>
    <w:rsid w:val="00413F8E"/>
    <w:rsid w:val="00431DA9"/>
    <w:rsid w:val="00450C1B"/>
    <w:rsid w:val="00484F88"/>
    <w:rsid w:val="004A0318"/>
    <w:rsid w:val="004A4109"/>
    <w:rsid w:val="004D63B1"/>
    <w:rsid w:val="004F236C"/>
    <w:rsid w:val="005064DA"/>
    <w:rsid w:val="00511775"/>
    <w:rsid w:val="00513390"/>
    <w:rsid w:val="00527C04"/>
    <w:rsid w:val="00530F68"/>
    <w:rsid w:val="00536EA6"/>
    <w:rsid w:val="005B4B69"/>
    <w:rsid w:val="005B57AF"/>
    <w:rsid w:val="005D32D2"/>
    <w:rsid w:val="005E1D5B"/>
    <w:rsid w:val="005E4BCC"/>
    <w:rsid w:val="005F372F"/>
    <w:rsid w:val="00600217"/>
    <w:rsid w:val="006045FA"/>
    <w:rsid w:val="00632972"/>
    <w:rsid w:val="00642807"/>
    <w:rsid w:val="00647F82"/>
    <w:rsid w:val="00671131"/>
    <w:rsid w:val="00684432"/>
    <w:rsid w:val="006B0F2D"/>
    <w:rsid w:val="006C0736"/>
    <w:rsid w:val="006F642B"/>
    <w:rsid w:val="007061BC"/>
    <w:rsid w:val="007129FA"/>
    <w:rsid w:val="007915EB"/>
    <w:rsid w:val="007B00C1"/>
    <w:rsid w:val="007C53CB"/>
    <w:rsid w:val="007D60E8"/>
    <w:rsid w:val="00803268"/>
    <w:rsid w:val="00817CE0"/>
    <w:rsid w:val="00853F01"/>
    <w:rsid w:val="00856089"/>
    <w:rsid w:val="008603C4"/>
    <w:rsid w:val="0086353A"/>
    <w:rsid w:val="0087025E"/>
    <w:rsid w:val="008A34F0"/>
    <w:rsid w:val="008C49F3"/>
    <w:rsid w:val="00901943"/>
    <w:rsid w:val="009068FF"/>
    <w:rsid w:val="009176DE"/>
    <w:rsid w:val="00932DE1"/>
    <w:rsid w:val="00957DF8"/>
    <w:rsid w:val="00981B8E"/>
    <w:rsid w:val="009924AC"/>
    <w:rsid w:val="009F3957"/>
    <w:rsid w:val="00A03FC2"/>
    <w:rsid w:val="00A27F24"/>
    <w:rsid w:val="00A35719"/>
    <w:rsid w:val="00A4547A"/>
    <w:rsid w:val="00A53910"/>
    <w:rsid w:val="00A614C4"/>
    <w:rsid w:val="00A91E2F"/>
    <w:rsid w:val="00A93D6D"/>
    <w:rsid w:val="00AA596E"/>
    <w:rsid w:val="00AA6711"/>
    <w:rsid w:val="00AB1CE7"/>
    <w:rsid w:val="00AC124F"/>
    <w:rsid w:val="00B25F8D"/>
    <w:rsid w:val="00B4286A"/>
    <w:rsid w:val="00B6376C"/>
    <w:rsid w:val="00B677DF"/>
    <w:rsid w:val="00B73E81"/>
    <w:rsid w:val="00B83495"/>
    <w:rsid w:val="00B8577F"/>
    <w:rsid w:val="00B9174F"/>
    <w:rsid w:val="00BA7B9A"/>
    <w:rsid w:val="00BC532C"/>
    <w:rsid w:val="00C10AC7"/>
    <w:rsid w:val="00C12161"/>
    <w:rsid w:val="00C55E58"/>
    <w:rsid w:val="00C564BD"/>
    <w:rsid w:val="00C75E69"/>
    <w:rsid w:val="00C77FA7"/>
    <w:rsid w:val="00CB2818"/>
    <w:rsid w:val="00CF2090"/>
    <w:rsid w:val="00CF438E"/>
    <w:rsid w:val="00D63B11"/>
    <w:rsid w:val="00D71CF1"/>
    <w:rsid w:val="00D7404F"/>
    <w:rsid w:val="00D935FA"/>
    <w:rsid w:val="00D965ED"/>
    <w:rsid w:val="00DD1732"/>
    <w:rsid w:val="00E031D9"/>
    <w:rsid w:val="00E06882"/>
    <w:rsid w:val="00E1697B"/>
    <w:rsid w:val="00E509D0"/>
    <w:rsid w:val="00E7523A"/>
    <w:rsid w:val="00EB60BA"/>
    <w:rsid w:val="00ED2CB0"/>
    <w:rsid w:val="00ED3E7B"/>
    <w:rsid w:val="00EE526C"/>
    <w:rsid w:val="00F05B3D"/>
    <w:rsid w:val="00F10B4E"/>
    <w:rsid w:val="00F5603D"/>
    <w:rsid w:val="00F7232D"/>
    <w:rsid w:val="00F86C63"/>
    <w:rsid w:val="00F93DCE"/>
    <w:rsid w:val="00F956AD"/>
    <w:rsid w:val="00FA0D66"/>
    <w:rsid w:val="00FA589E"/>
    <w:rsid w:val="00FB42E0"/>
    <w:rsid w:val="00FB4CEE"/>
    <w:rsid w:val="00FC5CEB"/>
    <w:rsid w:val="00FD0B35"/>
    <w:rsid w:val="00FD502D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1F28B"/>
  <w15:chartTrackingRefBased/>
  <w15:docId w15:val="{E49A9DCA-8E34-47C7-8724-FAF511C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5B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D5B0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0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0C1"/>
  </w:style>
  <w:style w:type="paragraph" w:styleId="Zpat">
    <w:name w:val="footer"/>
    <w:basedOn w:val="Normln"/>
    <w:link w:val="ZpatChar"/>
    <w:uiPriority w:val="99"/>
    <w:unhideWhenUsed/>
    <w:rsid w:val="007B00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0C1"/>
  </w:style>
  <w:style w:type="paragraph" w:styleId="Odstavecseseznamem">
    <w:name w:val="List Paragraph"/>
    <w:basedOn w:val="Normln"/>
    <w:uiPriority w:val="34"/>
    <w:qFormat/>
    <w:rsid w:val="007C53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4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3FC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C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C1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D5B0E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FD5B0E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FD5B0E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FD5B0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4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83851178DD854F86D38DF4DEC334C4" ma:contentTypeVersion="13" ma:contentTypeDescription="Vytvoří nový dokument" ma:contentTypeScope="" ma:versionID="c47f4eff351e68563c149064f5251d28">
  <xsd:schema xmlns:xsd="http://www.w3.org/2001/XMLSchema" xmlns:xs="http://www.w3.org/2001/XMLSchema" xmlns:p="http://schemas.microsoft.com/office/2006/metadata/properties" xmlns:ns2="4e16527f-90eb-4ff3-b50d-63afb8ef18c2" xmlns:ns3="c1720dd1-f9b1-464e-864d-24371ce3843c" targetNamespace="http://schemas.microsoft.com/office/2006/metadata/properties" ma:root="true" ma:fieldsID="e8ac71ecc81444c51cdc0e83586ea05d" ns2:_="" ns3:_="">
    <xsd:import namespace="4e16527f-90eb-4ff3-b50d-63afb8ef18c2"/>
    <xsd:import namespace="c1720dd1-f9b1-464e-864d-24371ce3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Priorita_x003f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6527f-90eb-4ff3-b50d-63afb8ef1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iorita_x003f_" ma:index="18" nillable="true" ma:displayName="Priorita?" ma:default="0" ma:internalName="Priorita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0dd1-f9b1-464e-864d-24371ce3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a_x003f_ xmlns="4e16527f-90eb-4ff3-b50d-63afb8ef18c2">false</Priorita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D259-0B14-4617-BD46-808B52870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6527f-90eb-4ff3-b50d-63afb8ef18c2"/>
    <ds:schemaRef ds:uri="c1720dd1-f9b1-464e-864d-24371ce3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8FDDC-10ED-4A3A-AF55-9186E9B95498}">
  <ds:schemaRefs>
    <ds:schemaRef ds:uri="http://schemas.microsoft.com/office/2006/metadata/properties"/>
    <ds:schemaRef ds:uri="http://schemas.microsoft.com/office/infopath/2007/PartnerControls"/>
    <ds:schemaRef ds:uri="4e16527f-90eb-4ff3-b50d-63afb8ef18c2"/>
  </ds:schemaRefs>
</ds:datastoreItem>
</file>

<file path=customXml/itemProps3.xml><?xml version="1.0" encoding="utf-8"?>
<ds:datastoreItem xmlns:ds="http://schemas.openxmlformats.org/officeDocument/2006/customXml" ds:itemID="{1E0815C6-9172-452A-93A0-084939FE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0AE9D-9E3A-4A0F-8810-0C7FFC64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AV FACTORY s.r.o.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Hrbek</dc:creator>
  <cp:keywords/>
  <dc:description/>
  <cp:lastModifiedBy>Miluše Černíková</cp:lastModifiedBy>
  <cp:revision>2</cp:revision>
  <cp:lastPrinted>2017-04-21T08:46:00Z</cp:lastPrinted>
  <dcterms:created xsi:type="dcterms:W3CDTF">2022-03-24T12:48:00Z</dcterms:created>
  <dcterms:modified xsi:type="dcterms:W3CDTF">2022-03-24T12:48:00Z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0x0101003283851178DD854F86D38DF4DEC334C4</vt:lpwstr>
  </property>
</Properties>
</file>