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E8281" w14:textId="170B7FA6" w:rsidR="002044AD" w:rsidRDefault="002044AD">
      <w:pPr>
        <w:pStyle w:val="DraftLineWC"/>
        <w:framePr w:hSpace="115" w:vSpace="115" w:wrap="around" w:y="433"/>
      </w:pPr>
      <w:bookmarkStart w:id="0" w:name="DraftPrefix"/>
      <w:r>
        <w:t>White &amp; Case</w:t>
      </w:r>
      <w:bookmarkEnd w:id="0"/>
      <w:r>
        <w:t xml:space="preserve"> </w:t>
      </w:r>
      <w:bookmarkStart w:id="1" w:name="WCDraft1"/>
      <w:proofErr w:type="spellStart"/>
      <w:r>
        <w:t>Návrh</w:t>
      </w:r>
      <w:bookmarkEnd w:id="1"/>
      <w:proofErr w:type="spellEnd"/>
      <w:r>
        <w:t xml:space="preserve">: </w:t>
      </w:r>
      <w:bookmarkStart w:id="2" w:name="DraftDate"/>
      <w:r w:rsidR="00151DBE">
        <w:t>8</w:t>
      </w:r>
      <w:r>
        <w:rPr>
          <w:noProof/>
        </w:rPr>
        <w:t>. března 2022</w:t>
      </w:r>
      <w:bookmarkEnd w:id="2"/>
    </w:p>
    <w:p w14:paraId="168808DB" w14:textId="0513D700" w:rsidR="00ED01DD" w:rsidRPr="00E42681" w:rsidRDefault="00ED01DD" w:rsidP="00ED01DD">
      <w:pPr>
        <w:spacing w:after="240"/>
        <w:jc w:val="center"/>
        <w:rPr>
          <w:b/>
        </w:rPr>
      </w:pPr>
      <w:bookmarkStart w:id="3" w:name="WCDate1"/>
    </w:p>
    <w:p w14:paraId="7BC873D9" w14:textId="77777777" w:rsidR="00ED01DD" w:rsidRPr="00E42681" w:rsidRDefault="00ED01DD" w:rsidP="00ED01DD">
      <w:pPr>
        <w:spacing w:after="240"/>
        <w:jc w:val="center"/>
        <w:rPr>
          <w:b/>
        </w:rPr>
      </w:pPr>
    </w:p>
    <w:p w14:paraId="5411582C" w14:textId="77777777" w:rsidR="00ED01DD" w:rsidRPr="00E42681" w:rsidRDefault="00ED01DD" w:rsidP="00ED01DD">
      <w:pPr>
        <w:spacing w:after="240"/>
        <w:jc w:val="center"/>
        <w:rPr>
          <w:b/>
        </w:rPr>
      </w:pPr>
      <w:r w:rsidRPr="00E42681">
        <w:rPr>
          <w:b/>
        </w:rPr>
        <w:t>SMLOUVA O POSKYTOVÁNÍ PRÁVNÍCH SLUŽEB</w:t>
      </w:r>
    </w:p>
    <w:p w14:paraId="38707211" w14:textId="77777777" w:rsidR="00ED01DD" w:rsidRPr="00E42681" w:rsidRDefault="00ED01DD" w:rsidP="00ED01DD">
      <w:pPr>
        <w:spacing w:after="240"/>
        <w:jc w:val="center"/>
        <w:rPr>
          <w:b/>
        </w:rPr>
      </w:pPr>
    </w:p>
    <w:p w14:paraId="4CD4C719" w14:textId="77777777" w:rsidR="00ED01DD" w:rsidRPr="00E42681" w:rsidRDefault="00ED01DD" w:rsidP="00ED01DD">
      <w:pPr>
        <w:spacing w:after="240"/>
        <w:jc w:val="center"/>
        <w:rPr>
          <w:b/>
        </w:rPr>
      </w:pPr>
    </w:p>
    <w:p w14:paraId="19E6EA84" w14:textId="77777777" w:rsidR="00ED01DD" w:rsidRPr="00E42681" w:rsidRDefault="00ED01DD" w:rsidP="00ED01DD">
      <w:pPr>
        <w:spacing w:after="240"/>
        <w:jc w:val="center"/>
        <w:rPr>
          <w:b/>
        </w:rPr>
      </w:pPr>
    </w:p>
    <w:p w14:paraId="4ABF9B06" w14:textId="77777777" w:rsidR="00ED01DD" w:rsidRPr="00E42681" w:rsidRDefault="00ED01DD" w:rsidP="00ED01DD">
      <w:pPr>
        <w:spacing w:after="240"/>
        <w:jc w:val="center"/>
        <w:rPr>
          <w:b/>
        </w:rPr>
      </w:pPr>
    </w:p>
    <w:p w14:paraId="33AB238D" w14:textId="77777777" w:rsidR="00ED01DD" w:rsidRPr="00E42681" w:rsidRDefault="00ED01DD" w:rsidP="00ED01DD">
      <w:pPr>
        <w:spacing w:after="240"/>
        <w:jc w:val="center"/>
        <w:rPr>
          <w:b/>
        </w:rPr>
      </w:pPr>
      <w:r w:rsidRPr="00E42681">
        <w:rPr>
          <w:b/>
        </w:rPr>
        <w:t>mezi společností</w:t>
      </w:r>
    </w:p>
    <w:p w14:paraId="477FA10E" w14:textId="77777777" w:rsidR="00ED01DD" w:rsidRPr="00E42681" w:rsidRDefault="00ED01DD" w:rsidP="00ED01DD">
      <w:pPr>
        <w:spacing w:after="240"/>
        <w:jc w:val="center"/>
        <w:rPr>
          <w:b/>
        </w:rPr>
      </w:pPr>
    </w:p>
    <w:p w14:paraId="06525ED8" w14:textId="77777777" w:rsidR="00ED01DD" w:rsidRPr="00E42681" w:rsidRDefault="00BE6F6C" w:rsidP="00ED01DD">
      <w:pPr>
        <w:spacing w:after="240"/>
        <w:jc w:val="center"/>
        <w:rPr>
          <w:b/>
        </w:rPr>
      </w:pPr>
      <w:proofErr w:type="gramStart"/>
      <w:r>
        <w:rPr>
          <w:b/>
        </w:rPr>
        <w:t>ČD - Telematika</w:t>
      </w:r>
      <w:proofErr w:type="gramEnd"/>
      <w:r w:rsidR="00ED01DD" w:rsidRPr="00E42681">
        <w:rPr>
          <w:b/>
        </w:rPr>
        <w:t xml:space="preserve"> a.s.</w:t>
      </w:r>
    </w:p>
    <w:p w14:paraId="210D4642" w14:textId="77777777" w:rsidR="00ED01DD" w:rsidRPr="00E42681" w:rsidRDefault="00ED01DD" w:rsidP="00ED01DD">
      <w:pPr>
        <w:spacing w:after="240"/>
        <w:jc w:val="center"/>
        <w:rPr>
          <w:b/>
        </w:rPr>
      </w:pPr>
    </w:p>
    <w:p w14:paraId="154D17E3" w14:textId="77777777" w:rsidR="00ED01DD" w:rsidRPr="00E42681" w:rsidRDefault="00ED01DD" w:rsidP="00ED01DD">
      <w:pPr>
        <w:spacing w:after="240"/>
        <w:jc w:val="center"/>
        <w:rPr>
          <w:b/>
        </w:rPr>
      </w:pPr>
      <w:r w:rsidRPr="00E42681">
        <w:rPr>
          <w:b/>
        </w:rPr>
        <w:t>a</w:t>
      </w:r>
    </w:p>
    <w:p w14:paraId="499A24FF" w14:textId="77777777" w:rsidR="00ED01DD" w:rsidRPr="00E42681" w:rsidRDefault="00ED01DD" w:rsidP="00ED01DD">
      <w:pPr>
        <w:spacing w:after="240"/>
        <w:jc w:val="center"/>
        <w:rPr>
          <w:b/>
        </w:rPr>
      </w:pPr>
    </w:p>
    <w:p w14:paraId="398A3A0E" w14:textId="77777777" w:rsidR="00ED01DD" w:rsidRPr="00E42681" w:rsidRDefault="00ED01DD" w:rsidP="00ED01DD">
      <w:pPr>
        <w:spacing w:after="240"/>
        <w:jc w:val="center"/>
        <w:rPr>
          <w:b/>
        </w:rPr>
      </w:pPr>
    </w:p>
    <w:p w14:paraId="06E208C0" w14:textId="77777777" w:rsidR="00ED01DD" w:rsidRPr="00E42681" w:rsidRDefault="00D23885" w:rsidP="00ED01DD">
      <w:pPr>
        <w:spacing w:after="240"/>
        <w:jc w:val="center"/>
        <w:rPr>
          <w:b/>
        </w:rPr>
      </w:pPr>
      <w:proofErr w:type="spellStart"/>
      <w:r w:rsidRPr="00E42681">
        <w:rPr>
          <w:b/>
        </w:rPr>
        <w:t>White</w:t>
      </w:r>
      <w:proofErr w:type="spellEnd"/>
      <w:r w:rsidRPr="00E42681">
        <w:rPr>
          <w:b/>
        </w:rPr>
        <w:t xml:space="preserve"> &amp; Case, s.r.o., advokátní kancelář</w:t>
      </w:r>
    </w:p>
    <w:p w14:paraId="2876632D" w14:textId="77777777" w:rsidR="00ED01DD" w:rsidRPr="00E42681" w:rsidRDefault="00E64F28" w:rsidP="00866069">
      <w:pPr>
        <w:pStyle w:val="Address"/>
        <w:pageBreakBefore/>
        <w:spacing w:after="0"/>
        <w:rPr>
          <w:b/>
          <w:sz w:val="24"/>
          <w:szCs w:val="24"/>
        </w:rPr>
      </w:pPr>
      <w:r>
        <w:rPr>
          <w:b/>
          <w:sz w:val="24"/>
          <w:szCs w:val="24"/>
        </w:rPr>
        <w:lastRenderedPageBreak/>
        <w:t>ČD</w:t>
      </w:r>
      <w:r w:rsidR="00BE6F6C">
        <w:rPr>
          <w:b/>
          <w:sz w:val="24"/>
          <w:szCs w:val="24"/>
        </w:rPr>
        <w:t xml:space="preserve"> - Telematika</w:t>
      </w:r>
      <w:r w:rsidR="00ED01DD" w:rsidRPr="00E42681">
        <w:rPr>
          <w:b/>
          <w:sz w:val="24"/>
          <w:szCs w:val="24"/>
        </w:rPr>
        <w:t xml:space="preserve"> a.s.</w:t>
      </w:r>
    </w:p>
    <w:p w14:paraId="60C77C61" w14:textId="77777777" w:rsidR="00ED01DD" w:rsidRPr="00E42681" w:rsidRDefault="00ED01DD" w:rsidP="00270113">
      <w:pPr>
        <w:spacing w:after="240"/>
        <w:jc w:val="both"/>
      </w:pPr>
      <w:r w:rsidRPr="00E42681">
        <w:t xml:space="preserve">se sídlem </w:t>
      </w:r>
      <w:r w:rsidR="00BE6F6C">
        <w:t>Pernerova 2819/</w:t>
      </w:r>
      <w:proofErr w:type="gramStart"/>
      <w:r w:rsidR="00BE6F6C">
        <w:t>2a</w:t>
      </w:r>
      <w:proofErr w:type="gramEnd"/>
      <w:r w:rsidRPr="00E42681">
        <w:t xml:space="preserve">, </w:t>
      </w:r>
      <w:r w:rsidR="00BE6F6C">
        <w:t>130 00 Praha 3</w:t>
      </w:r>
      <w:r w:rsidRPr="00E42681">
        <w:t>, IČ</w:t>
      </w:r>
      <w:r w:rsidR="00270113" w:rsidRPr="00E42681">
        <w:t>:</w:t>
      </w:r>
      <w:r w:rsidRPr="00E42681">
        <w:t xml:space="preserve"> </w:t>
      </w:r>
      <w:r w:rsidR="00BE6F6C">
        <w:t>614 59 445</w:t>
      </w:r>
      <w:r w:rsidRPr="00E42681">
        <w:t xml:space="preserve">, </w:t>
      </w:r>
      <w:r w:rsidRPr="00D06E1C">
        <w:t>DIČ</w:t>
      </w:r>
      <w:r w:rsidR="00270113" w:rsidRPr="00D06E1C">
        <w:t>:</w:t>
      </w:r>
      <w:r w:rsidR="00BE6F6C" w:rsidRPr="00D06E1C">
        <w:t xml:space="preserve"> </w:t>
      </w:r>
      <w:r w:rsidR="00D06E1C" w:rsidRPr="00D06E1C">
        <w:t>614 59 445</w:t>
      </w:r>
      <w:r w:rsidR="008D2160" w:rsidRPr="00E42681">
        <w:t xml:space="preserve">, </w:t>
      </w:r>
      <w:r w:rsidR="00666D19">
        <w:t xml:space="preserve">kontaktní adresa Pod Táborem 369/8a, 190 00 Praha 9, </w:t>
      </w:r>
      <w:r w:rsidR="008D2160" w:rsidRPr="00E42681">
        <w:t>sp</w:t>
      </w:r>
      <w:r w:rsidR="009B207B" w:rsidRPr="00E42681">
        <w:t>olečnost zapsaná v obchodním re</w:t>
      </w:r>
      <w:r w:rsidR="008D2160" w:rsidRPr="00E42681">
        <w:t>j</w:t>
      </w:r>
      <w:r w:rsidR="009B207B" w:rsidRPr="00E42681">
        <w:t>s</w:t>
      </w:r>
      <w:r w:rsidR="008D2160" w:rsidRPr="00E42681">
        <w:t xml:space="preserve">tříku vedeném Městským soudem v Praze, oddíl B, vložka </w:t>
      </w:r>
      <w:r w:rsidR="00BE6F6C">
        <w:t>8938</w:t>
      </w:r>
    </w:p>
    <w:p w14:paraId="5FFB7692" w14:textId="77777777" w:rsidR="00ED01DD" w:rsidRPr="00E42681" w:rsidRDefault="00ED01DD" w:rsidP="00ED01DD">
      <w:pPr>
        <w:spacing w:after="240"/>
        <w:jc w:val="both"/>
      </w:pPr>
      <w:r w:rsidRPr="00E42681">
        <w:t xml:space="preserve">(dále jen </w:t>
      </w:r>
      <w:r w:rsidR="00301CFD" w:rsidRPr="00E42681">
        <w:t>„</w:t>
      </w:r>
      <w:r w:rsidR="00BE6F6C">
        <w:rPr>
          <w:b/>
        </w:rPr>
        <w:t>ČDT</w:t>
      </w:r>
      <w:r w:rsidR="00301CFD" w:rsidRPr="00E42681">
        <w:t>“</w:t>
      </w:r>
      <w:r w:rsidRPr="00E42681">
        <w:t>)</w:t>
      </w:r>
    </w:p>
    <w:p w14:paraId="4D009701" w14:textId="77777777" w:rsidR="00ED01DD" w:rsidRPr="00E42681" w:rsidRDefault="00ED01DD" w:rsidP="00ED01DD">
      <w:pPr>
        <w:spacing w:after="240"/>
        <w:jc w:val="both"/>
      </w:pPr>
      <w:r w:rsidRPr="00E42681">
        <w:t>a</w:t>
      </w:r>
    </w:p>
    <w:p w14:paraId="2AADE4A5" w14:textId="77777777" w:rsidR="000924E4" w:rsidRPr="00E42681" w:rsidRDefault="000924E4" w:rsidP="000924E4">
      <w:pPr>
        <w:jc w:val="both"/>
        <w:rPr>
          <w:b/>
        </w:rPr>
      </w:pPr>
      <w:proofErr w:type="spellStart"/>
      <w:r w:rsidRPr="00E42681">
        <w:rPr>
          <w:b/>
        </w:rPr>
        <w:t>White</w:t>
      </w:r>
      <w:proofErr w:type="spellEnd"/>
      <w:r w:rsidRPr="00E42681">
        <w:rPr>
          <w:b/>
        </w:rPr>
        <w:t> &amp; Case, s.r.o., advokátní kancelář</w:t>
      </w:r>
    </w:p>
    <w:p w14:paraId="6C295B44" w14:textId="77777777" w:rsidR="00ED01DD" w:rsidRPr="00E42681" w:rsidRDefault="000924E4" w:rsidP="00270113">
      <w:pPr>
        <w:spacing w:after="240"/>
        <w:jc w:val="both"/>
      </w:pPr>
      <w:r w:rsidRPr="00E42681">
        <w:t>se sídlem Praha 1, Na p</w:t>
      </w:r>
      <w:r w:rsidR="00ED01DD" w:rsidRPr="00E42681">
        <w:t xml:space="preserve">říkopě </w:t>
      </w:r>
      <w:r w:rsidRPr="00E42681">
        <w:t>854/14,</w:t>
      </w:r>
      <w:r w:rsidR="00270113" w:rsidRPr="00E42681">
        <w:t xml:space="preserve"> PSČ 110 00,</w:t>
      </w:r>
      <w:r w:rsidRPr="00E42681">
        <w:t xml:space="preserve"> IČ: 077 44 536</w:t>
      </w:r>
      <w:r w:rsidR="00ED01DD" w:rsidRPr="00E42681">
        <w:t>, DIČ: CZ</w:t>
      </w:r>
      <w:r w:rsidRPr="00E42681">
        <w:t>07744536</w:t>
      </w:r>
      <w:r w:rsidR="00ED01DD" w:rsidRPr="00E42681">
        <w:t xml:space="preserve">, </w:t>
      </w:r>
      <w:r w:rsidR="00270113" w:rsidRPr="00E42681">
        <w:t>společnost zapsaná</w:t>
      </w:r>
      <w:r w:rsidR="00ED01DD" w:rsidRPr="00E42681">
        <w:t xml:space="preserve"> v obchodním rejstříku vedeném </w:t>
      </w:r>
      <w:r w:rsidRPr="00E42681">
        <w:t>Městským soudem v Praze, oddíl C</w:t>
      </w:r>
      <w:r w:rsidR="00ED01DD" w:rsidRPr="00E42681">
        <w:t xml:space="preserve">, vložka </w:t>
      </w:r>
      <w:r w:rsidRPr="00E42681">
        <w:t>306802</w:t>
      </w:r>
      <w:r w:rsidR="00ED01DD" w:rsidRPr="00E42681">
        <w:t xml:space="preserve"> </w:t>
      </w:r>
      <w:r w:rsidR="007C597E" w:rsidRPr="00E42681">
        <w:t>(dále jen „</w:t>
      </w:r>
      <w:proofErr w:type="spellStart"/>
      <w:r w:rsidR="007C597E" w:rsidRPr="00E42681">
        <w:rPr>
          <w:b/>
        </w:rPr>
        <w:t>White</w:t>
      </w:r>
      <w:proofErr w:type="spellEnd"/>
      <w:r w:rsidR="007C597E" w:rsidRPr="00E42681">
        <w:rPr>
          <w:b/>
        </w:rPr>
        <w:t xml:space="preserve"> &amp; Case</w:t>
      </w:r>
      <w:r w:rsidR="007C597E" w:rsidRPr="00E42681">
        <w:t xml:space="preserve">“), poskytující právní služby v rámci sítě mezinárodní advokátní kanceláře </w:t>
      </w:r>
      <w:proofErr w:type="spellStart"/>
      <w:r w:rsidR="007C597E" w:rsidRPr="00E42681">
        <w:t>White</w:t>
      </w:r>
      <w:proofErr w:type="spellEnd"/>
      <w:r w:rsidR="007C597E" w:rsidRPr="00E42681">
        <w:t xml:space="preserve"> &amp; Case LLP („</w:t>
      </w:r>
      <w:r w:rsidR="007C597E" w:rsidRPr="00E42681">
        <w:rPr>
          <w:b/>
        </w:rPr>
        <w:t>W&amp;C LLP</w:t>
      </w:r>
      <w:r w:rsidR="007C597E" w:rsidRPr="00E42681">
        <w:t>“)</w:t>
      </w:r>
      <w:r w:rsidR="001B0342">
        <w:t xml:space="preserve"> (společně též „</w:t>
      </w:r>
      <w:r w:rsidR="001B0342" w:rsidRPr="001B0342">
        <w:rPr>
          <w:b/>
          <w:bCs/>
        </w:rPr>
        <w:t xml:space="preserve">Společnost </w:t>
      </w:r>
      <w:proofErr w:type="spellStart"/>
      <w:r w:rsidR="001B0342" w:rsidRPr="001B0342">
        <w:rPr>
          <w:b/>
          <w:bCs/>
        </w:rPr>
        <w:t>White</w:t>
      </w:r>
      <w:proofErr w:type="spellEnd"/>
      <w:r w:rsidR="001B0342" w:rsidRPr="001B0342">
        <w:rPr>
          <w:b/>
          <w:bCs/>
        </w:rPr>
        <w:t xml:space="preserve"> &amp; Case</w:t>
      </w:r>
      <w:r w:rsidR="001B0342">
        <w:t>“)</w:t>
      </w:r>
    </w:p>
    <w:p w14:paraId="099F2AEE" w14:textId="77777777" w:rsidR="00ED01DD" w:rsidRPr="00E42681" w:rsidRDefault="00ED01DD" w:rsidP="00ED01DD">
      <w:pPr>
        <w:spacing w:after="240"/>
        <w:jc w:val="both"/>
      </w:pPr>
      <w:r w:rsidRPr="00E42681">
        <w:t xml:space="preserve">(společně též jako </w:t>
      </w:r>
      <w:r w:rsidR="00301CFD" w:rsidRPr="00E42681">
        <w:t>„</w:t>
      </w:r>
      <w:r w:rsidRPr="00E42681">
        <w:rPr>
          <w:b/>
        </w:rPr>
        <w:t>Smluvní strany</w:t>
      </w:r>
      <w:r w:rsidR="00301CFD" w:rsidRPr="00E42681">
        <w:t>“</w:t>
      </w:r>
      <w:r w:rsidRPr="00E42681">
        <w:t>)</w:t>
      </w:r>
    </w:p>
    <w:p w14:paraId="3A3E9D3D" w14:textId="77777777" w:rsidR="00ED01DD" w:rsidRPr="00E42681" w:rsidRDefault="00ED01DD" w:rsidP="00ED01DD">
      <w:pPr>
        <w:spacing w:after="240"/>
        <w:jc w:val="both"/>
      </w:pPr>
      <w:r w:rsidRPr="00E42681">
        <w:t xml:space="preserve">uzavírají níže uvedeného dne následující Smlouvu o poskytování právních služeb </w:t>
      </w:r>
      <w:proofErr w:type="spellStart"/>
      <w:r w:rsidRPr="00E42681">
        <w:t>White</w:t>
      </w:r>
      <w:proofErr w:type="spellEnd"/>
      <w:r w:rsidRPr="00E42681">
        <w:t xml:space="preserve"> &amp; Case (dále jen </w:t>
      </w:r>
      <w:r w:rsidR="00301CFD" w:rsidRPr="00E42681">
        <w:t>„</w:t>
      </w:r>
      <w:r w:rsidRPr="00E42681">
        <w:rPr>
          <w:b/>
        </w:rPr>
        <w:t>Smlouva</w:t>
      </w:r>
      <w:r w:rsidR="00301CFD" w:rsidRPr="00E42681">
        <w:t>“</w:t>
      </w:r>
      <w:r w:rsidRPr="00E42681">
        <w:t>).</w:t>
      </w:r>
    </w:p>
    <w:p w14:paraId="0F231085" w14:textId="77777777" w:rsidR="00ED01DD" w:rsidRPr="00E42681" w:rsidRDefault="00ED01DD" w:rsidP="00ED01DD">
      <w:pPr>
        <w:spacing w:after="240"/>
        <w:jc w:val="both"/>
      </w:pPr>
    </w:p>
    <w:p w14:paraId="4F3D6C3F" w14:textId="7E65ECF2" w:rsidR="00ED01DD" w:rsidRPr="00E42681" w:rsidRDefault="00ED01DD" w:rsidP="00ED01DD">
      <w:pPr>
        <w:pStyle w:val="Nadpis1"/>
        <w:spacing w:before="480"/>
        <w:rPr>
          <w:szCs w:val="24"/>
        </w:rPr>
      </w:pPr>
      <w:r w:rsidRPr="00E42681">
        <w:rPr>
          <w:szCs w:val="24"/>
        </w:rPr>
        <w:br/>
      </w:r>
      <w:r w:rsidR="001B1DF6">
        <w:rPr>
          <w:szCs w:val="24"/>
        </w:rPr>
        <w:t>XXX</w:t>
      </w:r>
    </w:p>
    <w:p w14:paraId="026E93FE" w14:textId="7726DD56" w:rsidR="00ED01DD" w:rsidRPr="00E42681" w:rsidRDefault="001B1DF6" w:rsidP="00155963">
      <w:pPr>
        <w:pStyle w:val="Nadpis2"/>
      </w:pPr>
      <w:r>
        <w:rPr>
          <w:szCs w:val="24"/>
        </w:rPr>
        <w:t>XXX</w:t>
      </w:r>
      <w:r w:rsidR="009224D5" w:rsidRPr="00E42681">
        <w:t xml:space="preserve"> </w:t>
      </w:r>
    </w:p>
    <w:p w14:paraId="67302859" w14:textId="41629D56" w:rsidR="009224D5" w:rsidRPr="00E42681" w:rsidRDefault="001B1DF6" w:rsidP="001B58E2">
      <w:pPr>
        <w:pStyle w:val="Nadpis2"/>
        <w:numPr>
          <w:ilvl w:val="0"/>
          <w:numId w:val="0"/>
        </w:numPr>
        <w:ind w:left="720"/>
        <w:rPr>
          <w:szCs w:val="24"/>
        </w:rPr>
      </w:pPr>
      <w:r>
        <w:rPr>
          <w:szCs w:val="24"/>
        </w:rPr>
        <w:t>XXX</w:t>
      </w:r>
      <w:r w:rsidR="009224D5" w:rsidRPr="00E42681">
        <w:rPr>
          <w:szCs w:val="24"/>
        </w:rPr>
        <w:t xml:space="preserve"> </w:t>
      </w:r>
    </w:p>
    <w:p w14:paraId="3D88DD90" w14:textId="5DA158E7" w:rsidR="00897C76" w:rsidRPr="00B74E65" w:rsidRDefault="001B1DF6" w:rsidP="00B74E65">
      <w:pPr>
        <w:pStyle w:val="Nadpis3"/>
      </w:pPr>
      <w:r>
        <w:t>XXX</w:t>
      </w:r>
    </w:p>
    <w:p w14:paraId="46A8B820" w14:textId="38945BA5" w:rsidR="00F6279F" w:rsidRDefault="001B1DF6" w:rsidP="009224D5">
      <w:pPr>
        <w:pStyle w:val="Nadpis3"/>
        <w:rPr>
          <w:szCs w:val="24"/>
        </w:rPr>
      </w:pPr>
      <w:r>
        <w:rPr>
          <w:szCs w:val="24"/>
        </w:rPr>
        <w:t>XXX</w:t>
      </w:r>
    </w:p>
    <w:p w14:paraId="62308612" w14:textId="608CFDB5" w:rsidR="009224D5" w:rsidRPr="00B24F56" w:rsidRDefault="001B1DF6" w:rsidP="007645D1">
      <w:pPr>
        <w:pStyle w:val="Nadpis3"/>
        <w:rPr>
          <w:szCs w:val="24"/>
        </w:rPr>
      </w:pPr>
      <w:r>
        <w:rPr>
          <w:szCs w:val="24"/>
        </w:rPr>
        <w:t>XXX</w:t>
      </w:r>
    </w:p>
    <w:p w14:paraId="7A9459FF" w14:textId="77777777" w:rsidR="00ED01DD" w:rsidRPr="00E42681" w:rsidRDefault="00ED01DD" w:rsidP="00ED01DD">
      <w:pPr>
        <w:pStyle w:val="Nadpis1"/>
        <w:spacing w:before="480"/>
        <w:rPr>
          <w:szCs w:val="24"/>
        </w:rPr>
      </w:pPr>
      <w:r w:rsidRPr="00E42681">
        <w:rPr>
          <w:szCs w:val="24"/>
        </w:rPr>
        <w:br/>
        <w:t xml:space="preserve">Personální obsazení </w:t>
      </w:r>
    </w:p>
    <w:p w14:paraId="284D7656" w14:textId="77777777" w:rsidR="00ED01DD" w:rsidRPr="00E42681" w:rsidRDefault="00ED01DD" w:rsidP="00ED01DD">
      <w:pPr>
        <w:pStyle w:val="Nadpis2"/>
        <w:ind w:left="709" w:hanging="709"/>
        <w:rPr>
          <w:szCs w:val="24"/>
        </w:rPr>
      </w:pPr>
      <w:r w:rsidRPr="00E42681">
        <w:rPr>
          <w:szCs w:val="24"/>
        </w:rPr>
        <w:t xml:space="preserve">Za </w:t>
      </w:r>
      <w:proofErr w:type="spellStart"/>
      <w:r w:rsidRPr="00E42681">
        <w:rPr>
          <w:szCs w:val="24"/>
        </w:rPr>
        <w:t>White</w:t>
      </w:r>
      <w:proofErr w:type="spellEnd"/>
      <w:r w:rsidRPr="00E42681">
        <w:rPr>
          <w:szCs w:val="24"/>
        </w:rPr>
        <w:t xml:space="preserve"> &amp; Case se na poskytování právních služeb dle této Smlouvy bude podílet tým právníků majících zkušenosti s obdobnými projekty v České republice i v zahraničí. Právní poradenství bude poskytovat tým tvořený </w:t>
      </w:r>
      <w:r w:rsidR="00D27701" w:rsidRPr="00E42681">
        <w:rPr>
          <w:szCs w:val="24"/>
        </w:rPr>
        <w:t xml:space="preserve">panem </w:t>
      </w:r>
      <w:r w:rsidR="00D27701" w:rsidRPr="00E42681">
        <w:rPr>
          <w:b/>
          <w:szCs w:val="24"/>
        </w:rPr>
        <w:t>Janem Lindou</w:t>
      </w:r>
      <w:r w:rsidRPr="00E42681">
        <w:rPr>
          <w:szCs w:val="24"/>
        </w:rPr>
        <w:t xml:space="preserve">, </w:t>
      </w:r>
      <w:r w:rsidR="00D27701" w:rsidRPr="00E42681">
        <w:rPr>
          <w:szCs w:val="24"/>
        </w:rPr>
        <w:t>partnerem pražské kanceláře</w:t>
      </w:r>
      <w:r w:rsidR="00EF6D13">
        <w:rPr>
          <w:szCs w:val="24"/>
        </w:rPr>
        <w:t xml:space="preserve">, </w:t>
      </w:r>
      <w:r w:rsidRPr="00E42681">
        <w:rPr>
          <w:szCs w:val="24"/>
        </w:rPr>
        <w:t xml:space="preserve">a </w:t>
      </w:r>
      <w:r w:rsidR="00177E80" w:rsidRPr="00E42681">
        <w:rPr>
          <w:szCs w:val="24"/>
        </w:rPr>
        <w:t xml:space="preserve">panem </w:t>
      </w:r>
      <w:r w:rsidR="00884A42">
        <w:rPr>
          <w:b/>
          <w:szCs w:val="24"/>
        </w:rPr>
        <w:t xml:space="preserve">Petrem </w:t>
      </w:r>
      <w:proofErr w:type="spellStart"/>
      <w:r w:rsidR="00884A42">
        <w:rPr>
          <w:b/>
          <w:szCs w:val="24"/>
        </w:rPr>
        <w:t>Šmerklem</w:t>
      </w:r>
      <w:proofErr w:type="spellEnd"/>
      <w:r w:rsidR="00A74D2C" w:rsidRPr="00E42681">
        <w:rPr>
          <w:szCs w:val="24"/>
        </w:rPr>
        <w:t>,</w:t>
      </w:r>
      <w:r w:rsidR="000924E4" w:rsidRPr="00E42681">
        <w:rPr>
          <w:szCs w:val="24"/>
        </w:rPr>
        <w:t xml:space="preserve"> </w:t>
      </w:r>
      <w:r w:rsidR="00177E80" w:rsidRPr="00E42681">
        <w:rPr>
          <w:szCs w:val="24"/>
        </w:rPr>
        <w:t>právníkem</w:t>
      </w:r>
      <w:r w:rsidRPr="00E42681">
        <w:rPr>
          <w:szCs w:val="24"/>
        </w:rPr>
        <w:t xml:space="preserve"> pražské kanceláře. </w:t>
      </w:r>
    </w:p>
    <w:p w14:paraId="226D5D10" w14:textId="77777777" w:rsidR="00ED01DD" w:rsidRPr="00E42681" w:rsidRDefault="00ED01DD" w:rsidP="00750F1C">
      <w:pPr>
        <w:pStyle w:val="Nadpis2"/>
        <w:ind w:left="709" w:hanging="709"/>
        <w:rPr>
          <w:szCs w:val="24"/>
        </w:rPr>
      </w:pPr>
      <w:proofErr w:type="spellStart"/>
      <w:r w:rsidRPr="00E42681">
        <w:rPr>
          <w:szCs w:val="24"/>
        </w:rPr>
        <w:t>White</w:t>
      </w:r>
      <w:proofErr w:type="spellEnd"/>
      <w:r w:rsidRPr="00E42681">
        <w:rPr>
          <w:szCs w:val="24"/>
        </w:rPr>
        <w:t xml:space="preserve"> &amp; Case je oprávněna a zároveň povinna přijímat pokyny ze strany </w:t>
      </w:r>
      <w:r w:rsidR="00BE6F6C">
        <w:rPr>
          <w:szCs w:val="24"/>
        </w:rPr>
        <w:t>ČDT</w:t>
      </w:r>
      <w:r w:rsidRPr="00E42681">
        <w:rPr>
          <w:szCs w:val="24"/>
        </w:rPr>
        <w:t xml:space="preserve"> vztahující se k plnění předmětu této Smlouvy výlučně</w:t>
      </w:r>
      <w:r w:rsidR="009D78FB" w:rsidRPr="00E42681">
        <w:rPr>
          <w:szCs w:val="24"/>
        </w:rPr>
        <w:t xml:space="preserve"> v písemné formě</w:t>
      </w:r>
      <w:r w:rsidR="00BE69A5" w:rsidRPr="00E42681">
        <w:rPr>
          <w:szCs w:val="24"/>
        </w:rPr>
        <w:t xml:space="preserve"> od zaměstnanců </w:t>
      </w:r>
      <w:r w:rsidR="00666D19">
        <w:rPr>
          <w:szCs w:val="24"/>
        </w:rPr>
        <w:t xml:space="preserve">či představenstva </w:t>
      </w:r>
      <w:r w:rsidR="00BE6F6C">
        <w:rPr>
          <w:szCs w:val="24"/>
        </w:rPr>
        <w:t>ČDT</w:t>
      </w:r>
      <w:r w:rsidRPr="00E42681">
        <w:rPr>
          <w:szCs w:val="24"/>
        </w:rPr>
        <w:t>; za písemnou formu se výhradně pro účely tohoto ustanovení považuje též doručování prostřednictvím prostého e-mailu.</w:t>
      </w:r>
    </w:p>
    <w:p w14:paraId="5898049B" w14:textId="287B586C" w:rsidR="00ED01DD" w:rsidRPr="00E42681" w:rsidRDefault="00ED01DD" w:rsidP="00ED01DD">
      <w:pPr>
        <w:pStyle w:val="Nadpis1"/>
        <w:spacing w:before="480"/>
        <w:rPr>
          <w:szCs w:val="24"/>
        </w:rPr>
      </w:pPr>
      <w:r w:rsidRPr="00E42681">
        <w:rPr>
          <w:szCs w:val="24"/>
        </w:rPr>
        <w:lastRenderedPageBreak/>
        <w:br/>
      </w:r>
      <w:r w:rsidR="001B1DF6">
        <w:rPr>
          <w:szCs w:val="24"/>
        </w:rPr>
        <w:t>XXX</w:t>
      </w:r>
    </w:p>
    <w:p w14:paraId="5AF58752" w14:textId="63D415BA" w:rsidR="00ED01DD" w:rsidRPr="00E42681" w:rsidRDefault="001B1DF6" w:rsidP="00A8162C">
      <w:pPr>
        <w:pStyle w:val="Nadpis2"/>
      </w:pPr>
      <w:r>
        <w:t>XXX</w:t>
      </w:r>
      <w:r w:rsidR="00ED01DD" w:rsidRPr="00E42681">
        <w:t xml:space="preserve"> </w:t>
      </w:r>
    </w:p>
    <w:p w14:paraId="18554CE7" w14:textId="0C765233" w:rsidR="00ED01DD" w:rsidRPr="00B55485" w:rsidRDefault="001B1DF6" w:rsidP="00B90BF2">
      <w:pPr>
        <w:pStyle w:val="Nadpis2"/>
      </w:pPr>
      <w:r>
        <w:t>XXX</w:t>
      </w:r>
      <w:r w:rsidR="00155963">
        <w:t xml:space="preserve"> </w:t>
      </w:r>
    </w:p>
    <w:p w14:paraId="1B73F3EA" w14:textId="71471F05" w:rsidR="00ED01DD" w:rsidRPr="00E42681" w:rsidRDefault="001B1DF6" w:rsidP="00ED01DD">
      <w:pPr>
        <w:pStyle w:val="Nadpis2"/>
        <w:rPr>
          <w:szCs w:val="24"/>
        </w:rPr>
      </w:pPr>
      <w:r>
        <w:rPr>
          <w:szCs w:val="24"/>
        </w:rPr>
        <w:t>XXX</w:t>
      </w:r>
    </w:p>
    <w:p w14:paraId="4A61221D" w14:textId="02BB0DEB" w:rsidR="00ED01DD" w:rsidRPr="00E42681" w:rsidRDefault="001B1DF6" w:rsidP="00ED01DD">
      <w:pPr>
        <w:pStyle w:val="Nadpis2"/>
        <w:ind w:left="709" w:hanging="709"/>
        <w:rPr>
          <w:szCs w:val="24"/>
        </w:rPr>
      </w:pPr>
      <w:r>
        <w:rPr>
          <w:szCs w:val="24"/>
        </w:rPr>
        <w:t>XXX</w:t>
      </w:r>
    </w:p>
    <w:p w14:paraId="0B667EAA" w14:textId="617A1A1A" w:rsidR="00ED01DD" w:rsidRPr="00E42681" w:rsidRDefault="001B1DF6" w:rsidP="007D22D5">
      <w:pPr>
        <w:pStyle w:val="Nadpis2"/>
        <w:ind w:left="709" w:hanging="709"/>
        <w:rPr>
          <w:szCs w:val="24"/>
        </w:rPr>
      </w:pPr>
      <w:r>
        <w:rPr>
          <w:szCs w:val="24"/>
        </w:rPr>
        <w:t>XXX</w:t>
      </w:r>
    </w:p>
    <w:p w14:paraId="76160836" w14:textId="77777777" w:rsidR="00ED01DD" w:rsidRPr="00E42681" w:rsidRDefault="00ED01DD" w:rsidP="00ED01DD">
      <w:pPr>
        <w:pStyle w:val="Nadpis1"/>
        <w:spacing w:before="480"/>
        <w:rPr>
          <w:szCs w:val="24"/>
        </w:rPr>
      </w:pPr>
      <w:r w:rsidRPr="00E42681">
        <w:rPr>
          <w:szCs w:val="24"/>
        </w:rPr>
        <w:br/>
        <w:t>Předpoklady</w:t>
      </w:r>
    </w:p>
    <w:p w14:paraId="4645F242" w14:textId="6D39A842" w:rsidR="00ED01DD" w:rsidRPr="00E42681" w:rsidRDefault="001B1DF6" w:rsidP="00ED01DD">
      <w:pPr>
        <w:pStyle w:val="Nadpis2"/>
        <w:ind w:left="709" w:hanging="709"/>
        <w:rPr>
          <w:szCs w:val="24"/>
        </w:rPr>
      </w:pPr>
      <w:r>
        <w:rPr>
          <w:szCs w:val="24"/>
        </w:rPr>
        <w:t>XXX</w:t>
      </w:r>
    </w:p>
    <w:p w14:paraId="046BA486" w14:textId="21D4D24F" w:rsidR="001603B5" w:rsidRDefault="001B1DF6" w:rsidP="009E1221">
      <w:pPr>
        <w:pStyle w:val="Nadpis3"/>
        <w:rPr>
          <w:szCs w:val="24"/>
        </w:rPr>
      </w:pPr>
      <w:bookmarkStart w:id="4" w:name="_DV_M79"/>
      <w:bookmarkEnd w:id="4"/>
      <w:r>
        <w:rPr>
          <w:szCs w:val="24"/>
        </w:rPr>
        <w:t>XXX</w:t>
      </w:r>
    </w:p>
    <w:p w14:paraId="3093544A" w14:textId="49951B06" w:rsidR="00F82DE8" w:rsidRDefault="001B1DF6" w:rsidP="00F82DE8">
      <w:pPr>
        <w:pStyle w:val="Nadpis3"/>
      </w:pPr>
      <w:r>
        <w:t>XXX</w:t>
      </w:r>
    </w:p>
    <w:p w14:paraId="1F1569C9" w14:textId="06DA7DEE" w:rsidR="00F17789" w:rsidRPr="00F17789" w:rsidRDefault="001B1DF6" w:rsidP="00F17789">
      <w:pPr>
        <w:pStyle w:val="Nadpis3"/>
      </w:pPr>
      <w:r>
        <w:t>XXX</w:t>
      </w:r>
    </w:p>
    <w:p w14:paraId="138801C3" w14:textId="291D565D" w:rsidR="001603B5" w:rsidRPr="00F17789" w:rsidRDefault="001B1DF6" w:rsidP="00155963">
      <w:pPr>
        <w:pStyle w:val="Nadpis3"/>
      </w:pPr>
      <w:r>
        <w:rPr>
          <w:szCs w:val="24"/>
        </w:rPr>
        <w:t>XXX</w:t>
      </w:r>
      <w:bookmarkStart w:id="5" w:name="_GoBack"/>
      <w:bookmarkEnd w:id="5"/>
      <w:r w:rsidR="00155963" w:rsidRPr="00F17789">
        <w:t xml:space="preserve"> </w:t>
      </w:r>
    </w:p>
    <w:p w14:paraId="63B86317" w14:textId="1075F93B" w:rsidR="00ED01DD" w:rsidRPr="00E42681" w:rsidRDefault="00ED01DD" w:rsidP="001603B5">
      <w:pPr>
        <w:pStyle w:val="Nadpis2"/>
        <w:rPr>
          <w:szCs w:val="24"/>
        </w:rPr>
      </w:pPr>
      <w:r w:rsidRPr="00E42681">
        <w:rPr>
          <w:szCs w:val="24"/>
        </w:rPr>
        <w:t>V případě, že by došlo ke změně výše uvedených předpokladů či překročení rozsahu nebo časového rozvrhu práce, strany zahájí jednání za účelem uzavření dodatku nebo nové smlouvy</w:t>
      </w:r>
      <w:r w:rsidR="00324DFC">
        <w:rPr>
          <w:szCs w:val="24"/>
        </w:rPr>
        <w:t xml:space="preserve"> o poskytování právních služeb</w:t>
      </w:r>
      <w:r w:rsidRPr="00E42681">
        <w:rPr>
          <w:szCs w:val="24"/>
        </w:rPr>
        <w:t xml:space="preserve"> pro účely určení podmínek, za kterých budou poskytnuty případné vícepráce.</w:t>
      </w:r>
    </w:p>
    <w:p w14:paraId="33BE4D9C" w14:textId="77777777" w:rsidR="00ED01DD" w:rsidRPr="00E42681" w:rsidRDefault="00ED01DD" w:rsidP="00ED01DD">
      <w:pPr>
        <w:pStyle w:val="Nadpis1"/>
        <w:spacing w:before="480"/>
        <w:rPr>
          <w:szCs w:val="24"/>
        </w:rPr>
      </w:pPr>
      <w:r w:rsidRPr="00E42681">
        <w:rPr>
          <w:szCs w:val="24"/>
        </w:rPr>
        <w:br/>
        <w:t>Platební podmínky a lhůty</w:t>
      </w:r>
    </w:p>
    <w:p w14:paraId="26B434DD" w14:textId="77777777" w:rsidR="00ED01DD" w:rsidRPr="0041086E" w:rsidRDefault="00ED01DD" w:rsidP="00ED01DD">
      <w:pPr>
        <w:pStyle w:val="Nadpis2"/>
        <w:ind w:left="709" w:hanging="709"/>
        <w:rPr>
          <w:szCs w:val="24"/>
        </w:rPr>
      </w:pPr>
      <w:r w:rsidRPr="00E42681">
        <w:rPr>
          <w:szCs w:val="24"/>
        </w:rPr>
        <w:t xml:space="preserve">Pokud se </w:t>
      </w:r>
      <w:r w:rsidR="00BE6F6C">
        <w:rPr>
          <w:szCs w:val="24"/>
        </w:rPr>
        <w:t>ČDT</w:t>
      </w:r>
      <w:r w:rsidRPr="00E42681">
        <w:rPr>
          <w:szCs w:val="24"/>
        </w:rPr>
        <w:t xml:space="preserve"> a </w:t>
      </w:r>
      <w:proofErr w:type="spellStart"/>
      <w:r w:rsidRPr="00E42681">
        <w:rPr>
          <w:szCs w:val="24"/>
        </w:rPr>
        <w:t>White</w:t>
      </w:r>
      <w:proofErr w:type="spellEnd"/>
      <w:r w:rsidRPr="00E42681">
        <w:rPr>
          <w:szCs w:val="24"/>
        </w:rPr>
        <w:t xml:space="preserve"> &amp; Case nedohodnou jinak, budou právní služby poskytovány formou dílčích zdanitelných </w:t>
      </w:r>
      <w:r w:rsidRPr="0041086E">
        <w:rPr>
          <w:szCs w:val="24"/>
        </w:rPr>
        <w:t xml:space="preserve">plnění dle zákona o DPH. Vyúčtování právních služeb bude považováno za den uskutečnění dílčího zdanitelného plnění a bude zasíláno </w:t>
      </w:r>
      <w:r w:rsidR="00BE6F6C">
        <w:rPr>
          <w:szCs w:val="24"/>
        </w:rPr>
        <w:t>ČDT</w:t>
      </w:r>
      <w:r w:rsidRPr="0041086E">
        <w:rPr>
          <w:szCs w:val="24"/>
        </w:rPr>
        <w:t xml:space="preserve"> podle rozsahu poskytnutých služeb.</w:t>
      </w:r>
      <w:r w:rsidR="00556FB4" w:rsidRPr="0041086E">
        <w:rPr>
          <w:szCs w:val="24"/>
        </w:rPr>
        <w:t xml:space="preserve"> </w:t>
      </w:r>
      <w:r w:rsidR="007E47AA" w:rsidRPr="0041086E">
        <w:t>Finální vyúčtování právních služ</w:t>
      </w:r>
      <w:r w:rsidR="00FB4AD3" w:rsidRPr="0041086E">
        <w:t xml:space="preserve">eb bude </w:t>
      </w:r>
      <w:r w:rsidR="00BE6F6C">
        <w:t>ČDT</w:t>
      </w:r>
      <w:r w:rsidR="00FB4AD3" w:rsidRPr="0041086E">
        <w:t xml:space="preserve"> zasláno po ukončení </w:t>
      </w:r>
      <w:r w:rsidR="00EF6D13">
        <w:t>Poradenství</w:t>
      </w:r>
      <w:r w:rsidR="007E47AA" w:rsidRPr="0041086E">
        <w:t>, pokud nebude s </w:t>
      </w:r>
      <w:r w:rsidR="00BE6F6C">
        <w:t>ČDT</w:t>
      </w:r>
      <w:r w:rsidR="007E47AA" w:rsidRPr="0041086E">
        <w:t xml:space="preserve"> dohodnuto jinak.</w:t>
      </w:r>
    </w:p>
    <w:p w14:paraId="6A5CB7EE" w14:textId="77777777" w:rsidR="00ED01DD" w:rsidRPr="00E42681" w:rsidRDefault="00ED01DD" w:rsidP="00ED01DD">
      <w:pPr>
        <w:pStyle w:val="Nadpis2"/>
        <w:ind w:left="709" w:hanging="709"/>
        <w:rPr>
          <w:szCs w:val="24"/>
        </w:rPr>
      </w:pPr>
      <w:r w:rsidRPr="0041086E">
        <w:rPr>
          <w:szCs w:val="24"/>
        </w:rPr>
        <w:t>Výše uvedený honorář nezahrnuje</w:t>
      </w:r>
      <w:r w:rsidRPr="00E42681">
        <w:rPr>
          <w:szCs w:val="24"/>
        </w:rPr>
        <w:t xml:space="preserve"> případnou českou daň z přidané hodnoty, která bude v příslušné sazbě připočtena k fakturované částce.</w:t>
      </w:r>
    </w:p>
    <w:p w14:paraId="020927C4" w14:textId="77777777" w:rsidR="00ED01DD" w:rsidRPr="00B55485" w:rsidRDefault="00ED01DD" w:rsidP="002F5D1D">
      <w:pPr>
        <w:pStyle w:val="Nadpis2"/>
        <w:rPr>
          <w:szCs w:val="24"/>
        </w:rPr>
      </w:pPr>
      <w:r w:rsidRPr="00E42681">
        <w:rPr>
          <w:szCs w:val="24"/>
        </w:rPr>
        <w:t xml:space="preserve">Veškerá </w:t>
      </w:r>
      <w:r w:rsidRPr="00B55485">
        <w:rPr>
          <w:szCs w:val="24"/>
        </w:rPr>
        <w:t xml:space="preserve">vyúčtování budou splatná v minimální </w:t>
      </w:r>
      <w:r w:rsidRPr="00897C76">
        <w:rPr>
          <w:szCs w:val="24"/>
        </w:rPr>
        <w:t xml:space="preserve">délce </w:t>
      </w:r>
      <w:r w:rsidR="00453E80" w:rsidRPr="00897C76">
        <w:rPr>
          <w:szCs w:val="24"/>
        </w:rPr>
        <w:t>45</w:t>
      </w:r>
      <w:r w:rsidRPr="00897C76">
        <w:rPr>
          <w:szCs w:val="24"/>
        </w:rPr>
        <w:t xml:space="preserve"> dnů </w:t>
      </w:r>
      <w:r w:rsidRPr="00B55485">
        <w:rPr>
          <w:szCs w:val="24"/>
        </w:rPr>
        <w:t xml:space="preserve">po obdržení účetního dokladu v Kč na korunový účet </w:t>
      </w:r>
      <w:proofErr w:type="spellStart"/>
      <w:r w:rsidRPr="00B55485">
        <w:rPr>
          <w:szCs w:val="24"/>
        </w:rPr>
        <w:t>White</w:t>
      </w:r>
      <w:proofErr w:type="spellEnd"/>
      <w:r w:rsidRPr="00B55485">
        <w:rPr>
          <w:szCs w:val="24"/>
        </w:rPr>
        <w:t xml:space="preserve"> &amp; Case s názvem </w:t>
      </w:r>
      <w:proofErr w:type="spellStart"/>
      <w:r w:rsidR="002F5D1D" w:rsidRPr="00B55485">
        <w:rPr>
          <w:szCs w:val="24"/>
        </w:rPr>
        <w:t>White</w:t>
      </w:r>
      <w:proofErr w:type="spellEnd"/>
      <w:r w:rsidR="002F5D1D" w:rsidRPr="00B55485">
        <w:rPr>
          <w:szCs w:val="24"/>
        </w:rPr>
        <w:t xml:space="preserve"> &amp; Case, s.r.o., advokátní kancelář,</w:t>
      </w:r>
      <w:r w:rsidRPr="00B55485">
        <w:rPr>
          <w:szCs w:val="24"/>
        </w:rPr>
        <w:t xml:space="preserve"> vedený u </w:t>
      </w:r>
      <w:proofErr w:type="spellStart"/>
      <w:r w:rsidRPr="00B55485">
        <w:rPr>
          <w:szCs w:val="24"/>
        </w:rPr>
        <w:t>Citibank</w:t>
      </w:r>
      <w:proofErr w:type="spellEnd"/>
      <w:r w:rsidRPr="00B55485">
        <w:rPr>
          <w:szCs w:val="24"/>
        </w:rPr>
        <w:t xml:space="preserve"> </w:t>
      </w:r>
      <w:proofErr w:type="spellStart"/>
      <w:r w:rsidRPr="00B55485">
        <w:rPr>
          <w:szCs w:val="24"/>
        </w:rPr>
        <w:t>Europe</w:t>
      </w:r>
      <w:proofErr w:type="spellEnd"/>
      <w:r w:rsidRPr="00B55485">
        <w:rPr>
          <w:szCs w:val="24"/>
        </w:rPr>
        <w:t xml:space="preserve"> </w:t>
      </w:r>
      <w:proofErr w:type="spellStart"/>
      <w:r w:rsidRPr="00B55485">
        <w:rPr>
          <w:szCs w:val="24"/>
        </w:rPr>
        <w:t>plc</w:t>
      </w:r>
      <w:proofErr w:type="spellEnd"/>
      <w:r w:rsidRPr="00B55485">
        <w:rPr>
          <w:szCs w:val="24"/>
        </w:rPr>
        <w:t>, organizač</w:t>
      </w:r>
      <w:r w:rsidR="002F5D1D" w:rsidRPr="00B55485">
        <w:rPr>
          <w:szCs w:val="24"/>
        </w:rPr>
        <w:t>ní složka, Bucharova </w:t>
      </w:r>
      <w:r w:rsidRPr="00B55485">
        <w:rPr>
          <w:szCs w:val="24"/>
        </w:rPr>
        <w:t>2641/14, 158 02 Praha 5 – Stodůlky,</w:t>
      </w:r>
      <w:r w:rsidR="009A3C37" w:rsidRPr="00B55485">
        <w:rPr>
          <w:szCs w:val="24"/>
        </w:rPr>
        <w:t xml:space="preserve"> č. účtu 2043950101/2600, IBAN: </w:t>
      </w:r>
      <w:r w:rsidRPr="00B55485">
        <w:rPr>
          <w:szCs w:val="24"/>
        </w:rPr>
        <w:t>CZ50 2600 0000 0020 4395 0101.</w:t>
      </w:r>
    </w:p>
    <w:p w14:paraId="344738CF" w14:textId="77777777" w:rsidR="00ED01DD" w:rsidRPr="00E42681" w:rsidRDefault="00ED01DD" w:rsidP="00ED01DD">
      <w:pPr>
        <w:pStyle w:val="Nadpis2"/>
        <w:rPr>
          <w:color w:val="272928"/>
          <w:szCs w:val="24"/>
          <w:lang w:eastAsia="cs-CZ"/>
        </w:rPr>
      </w:pPr>
      <w:proofErr w:type="spellStart"/>
      <w:r w:rsidRPr="00E42681">
        <w:rPr>
          <w:color w:val="272928"/>
          <w:szCs w:val="24"/>
          <w:lang w:eastAsia="cs-CZ"/>
        </w:rPr>
        <w:t>White</w:t>
      </w:r>
      <w:proofErr w:type="spellEnd"/>
      <w:r w:rsidRPr="00E42681">
        <w:rPr>
          <w:color w:val="272928"/>
          <w:szCs w:val="24"/>
          <w:lang w:eastAsia="cs-CZ"/>
        </w:rPr>
        <w:t xml:space="preserve"> &amp; Case se zavazuje, že bankovní účet jím určený pro zaplacení jakéhokoliv závazku společnosti </w:t>
      </w:r>
      <w:r w:rsidR="00BE6F6C">
        <w:rPr>
          <w:color w:val="272928"/>
          <w:szCs w:val="24"/>
          <w:lang w:eastAsia="cs-CZ"/>
        </w:rPr>
        <w:t>ČDT</w:t>
      </w:r>
      <w:r w:rsidRPr="00E42681">
        <w:rPr>
          <w:color w:val="272928"/>
          <w:szCs w:val="24"/>
          <w:lang w:eastAsia="cs-CZ"/>
        </w:rPr>
        <w:t xml:space="preserve"> na základě této Smlouvy (nebo jeho části) bude k datu </w:t>
      </w:r>
      <w:r w:rsidRPr="00E42681">
        <w:rPr>
          <w:color w:val="272928"/>
          <w:szCs w:val="24"/>
          <w:lang w:eastAsia="cs-CZ"/>
        </w:rPr>
        <w:lastRenderedPageBreak/>
        <w:t>splatnosti příslušného závazku zveřejněn způsobem umožňujícím dálkový přístup ve smyslu §</w:t>
      </w:r>
      <w:r w:rsidR="00EC3593" w:rsidRPr="00E42681">
        <w:rPr>
          <w:color w:val="272928"/>
          <w:szCs w:val="24"/>
          <w:lang w:eastAsia="cs-CZ"/>
        </w:rPr>
        <w:t xml:space="preserve"> </w:t>
      </w:r>
      <w:r w:rsidRPr="00E42681">
        <w:rPr>
          <w:color w:val="272928"/>
          <w:szCs w:val="24"/>
          <w:lang w:eastAsia="cs-CZ"/>
        </w:rPr>
        <w:t>96 odst. 2 zákona c. 235</w:t>
      </w:r>
      <w:r w:rsidRPr="00E42681">
        <w:rPr>
          <w:color w:val="444444"/>
          <w:szCs w:val="24"/>
          <w:lang w:eastAsia="cs-CZ"/>
        </w:rPr>
        <w:t>/</w:t>
      </w:r>
      <w:r w:rsidRPr="00E42681">
        <w:rPr>
          <w:color w:val="272928"/>
          <w:szCs w:val="24"/>
          <w:lang w:eastAsia="cs-CZ"/>
        </w:rPr>
        <w:t>2004 Sb.</w:t>
      </w:r>
      <w:r w:rsidRPr="00E42681">
        <w:rPr>
          <w:color w:val="444444"/>
          <w:szCs w:val="24"/>
          <w:lang w:eastAsia="cs-CZ"/>
        </w:rPr>
        <w:t xml:space="preserve">, </w:t>
      </w:r>
      <w:r w:rsidRPr="00E42681">
        <w:rPr>
          <w:color w:val="272928"/>
          <w:szCs w:val="24"/>
          <w:lang w:eastAsia="cs-CZ"/>
        </w:rPr>
        <w:t>o dani z přidané hodnoty</w:t>
      </w:r>
      <w:r w:rsidRPr="00E42681">
        <w:rPr>
          <w:color w:val="444444"/>
          <w:szCs w:val="24"/>
          <w:lang w:eastAsia="cs-CZ"/>
        </w:rPr>
        <w:t xml:space="preserve">, </w:t>
      </w:r>
      <w:r w:rsidR="009D78FB" w:rsidRPr="00E42681">
        <w:rPr>
          <w:color w:val="272928"/>
          <w:szCs w:val="24"/>
          <w:lang w:eastAsia="cs-CZ"/>
        </w:rPr>
        <w:t>ve </w:t>
      </w:r>
      <w:r w:rsidRPr="00E42681">
        <w:rPr>
          <w:color w:val="272928"/>
          <w:szCs w:val="24"/>
          <w:lang w:eastAsia="cs-CZ"/>
        </w:rPr>
        <w:t xml:space="preserve">znění pozdějších předpisů (dále jen </w:t>
      </w:r>
      <w:r w:rsidR="00301CFD" w:rsidRPr="00E42681">
        <w:rPr>
          <w:color w:val="444444"/>
          <w:szCs w:val="24"/>
          <w:lang w:eastAsia="cs-CZ"/>
        </w:rPr>
        <w:t>„</w:t>
      </w:r>
      <w:r w:rsidR="00301CFD" w:rsidRPr="00E42681">
        <w:rPr>
          <w:b/>
          <w:color w:val="272928"/>
          <w:szCs w:val="24"/>
          <w:lang w:eastAsia="cs-CZ"/>
        </w:rPr>
        <w:t>Z</w:t>
      </w:r>
      <w:r w:rsidRPr="00E42681">
        <w:rPr>
          <w:b/>
          <w:color w:val="272928"/>
          <w:szCs w:val="24"/>
          <w:lang w:eastAsia="cs-CZ"/>
        </w:rPr>
        <w:t>ákon o DPH</w:t>
      </w:r>
      <w:r w:rsidR="00301CFD" w:rsidRPr="00E42681">
        <w:rPr>
          <w:color w:val="444444"/>
          <w:szCs w:val="24"/>
          <w:lang w:eastAsia="cs-CZ"/>
        </w:rPr>
        <w:t>“</w:t>
      </w:r>
      <w:r w:rsidRPr="00E42681">
        <w:rPr>
          <w:color w:val="272928"/>
          <w:szCs w:val="24"/>
          <w:lang w:eastAsia="cs-CZ"/>
        </w:rPr>
        <w:t xml:space="preserve">). Pokud bude </w:t>
      </w:r>
      <w:proofErr w:type="spellStart"/>
      <w:r w:rsidRPr="00E42681">
        <w:rPr>
          <w:color w:val="272928"/>
          <w:szCs w:val="24"/>
          <w:lang w:eastAsia="cs-CZ"/>
        </w:rPr>
        <w:t>White</w:t>
      </w:r>
      <w:proofErr w:type="spellEnd"/>
      <w:r w:rsidRPr="00E42681">
        <w:rPr>
          <w:color w:val="272928"/>
          <w:szCs w:val="24"/>
          <w:lang w:eastAsia="cs-CZ"/>
        </w:rPr>
        <w:t xml:space="preserve"> &amp; Case označen správcem daně za nespolehlivého plátce ve smyslu § </w:t>
      </w:r>
      <w:proofErr w:type="gramStart"/>
      <w:r w:rsidRPr="00E42681">
        <w:rPr>
          <w:color w:val="272928"/>
          <w:szCs w:val="24"/>
          <w:lang w:eastAsia="cs-CZ"/>
        </w:rPr>
        <w:t>106a</w:t>
      </w:r>
      <w:proofErr w:type="gramEnd"/>
      <w:r w:rsidRPr="00E42681">
        <w:rPr>
          <w:color w:val="272928"/>
          <w:szCs w:val="24"/>
          <w:lang w:eastAsia="cs-CZ"/>
        </w:rPr>
        <w:t xml:space="preserve"> zákona o DPH</w:t>
      </w:r>
      <w:r w:rsidRPr="00E42681">
        <w:rPr>
          <w:color w:val="444444"/>
          <w:szCs w:val="24"/>
          <w:lang w:eastAsia="cs-CZ"/>
        </w:rPr>
        <w:t xml:space="preserve">, </w:t>
      </w:r>
      <w:r w:rsidRPr="00E42681">
        <w:rPr>
          <w:color w:val="272928"/>
          <w:szCs w:val="24"/>
          <w:lang w:eastAsia="cs-CZ"/>
        </w:rPr>
        <w:t xml:space="preserve">zavazuje se zároveň o této skutečnosti neprodleně písemně informovat </w:t>
      </w:r>
      <w:r w:rsidR="00BE6F6C">
        <w:rPr>
          <w:color w:val="272928"/>
          <w:szCs w:val="24"/>
          <w:lang w:eastAsia="cs-CZ"/>
        </w:rPr>
        <w:t>ČDT</w:t>
      </w:r>
      <w:r w:rsidRPr="00E42681">
        <w:rPr>
          <w:color w:val="272928"/>
          <w:szCs w:val="24"/>
          <w:lang w:eastAsia="cs-CZ"/>
        </w:rPr>
        <w:t xml:space="preserve"> spolu s uvedením data, kdy tato skutečnost nastala.</w:t>
      </w:r>
    </w:p>
    <w:p w14:paraId="2B5B364B" w14:textId="77777777" w:rsidR="00ED01DD" w:rsidRPr="00E42681" w:rsidRDefault="00ED01DD" w:rsidP="00ED01DD">
      <w:pPr>
        <w:pStyle w:val="Nadpis2"/>
        <w:rPr>
          <w:color w:val="0F0F0F"/>
          <w:szCs w:val="24"/>
          <w:lang w:eastAsia="cs-CZ"/>
        </w:rPr>
      </w:pPr>
      <w:r w:rsidRPr="00E42681">
        <w:rPr>
          <w:color w:val="272928"/>
          <w:szCs w:val="24"/>
          <w:lang w:eastAsia="cs-CZ"/>
        </w:rPr>
        <w:t xml:space="preserve">Pokud </w:t>
      </w:r>
      <w:r w:rsidR="00BE6F6C">
        <w:rPr>
          <w:color w:val="272928"/>
          <w:szCs w:val="24"/>
          <w:lang w:eastAsia="cs-CZ"/>
        </w:rPr>
        <w:t>ČDT</w:t>
      </w:r>
      <w:r w:rsidRPr="00E42681">
        <w:rPr>
          <w:color w:val="272928"/>
          <w:szCs w:val="24"/>
          <w:lang w:eastAsia="cs-CZ"/>
        </w:rPr>
        <w:t xml:space="preserve"> vznikne podle §</w:t>
      </w:r>
      <w:r w:rsidR="00EC3593" w:rsidRPr="00E42681">
        <w:rPr>
          <w:color w:val="272928"/>
          <w:szCs w:val="24"/>
          <w:lang w:eastAsia="cs-CZ"/>
        </w:rPr>
        <w:t xml:space="preserve"> </w:t>
      </w:r>
      <w:r w:rsidRPr="00E42681">
        <w:rPr>
          <w:color w:val="272928"/>
          <w:szCs w:val="24"/>
          <w:lang w:eastAsia="cs-CZ"/>
        </w:rPr>
        <w:t xml:space="preserve">109 zákona o DPH ručení za nezaplacenou DPH z přijatého zdanitelného plnění od </w:t>
      </w:r>
      <w:proofErr w:type="spellStart"/>
      <w:r w:rsidRPr="00E42681">
        <w:rPr>
          <w:color w:val="272928"/>
          <w:szCs w:val="24"/>
          <w:lang w:eastAsia="cs-CZ"/>
        </w:rPr>
        <w:t>White</w:t>
      </w:r>
      <w:proofErr w:type="spellEnd"/>
      <w:r w:rsidRPr="00E42681">
        <w:rPr>
          <w:color w:val="272928"/>
          <w:szCs w:val="24"/>
          <w:lang w:eastAsia="cs-CZ"/>
        </w:rPr>
        <w:t xml:space="preserve"> &amp; Case</w:t>
      </w:r>
      <w:r w:rsidRPr="00E42681">
        <w:rPr>
          <w:color w:val="444444"/>
          <w:szCs w:val="24"/>
          <w:lang w:eastAsia="cs-CZ"/>
        </w:rPr>
        <w:t xml:space="preserve">, </w:t>
      </w:r>
      <w:r w:rsidR="00E64F28">
        <w:rPr>
          <w:color w:val="272928"/>
          <w:szCs w:val="24"/>
          <w:lang w:eastAsia="cs-CZ"/>
        </w:rPr>
        <w:t>má</w:t>
      </w:r>
      <w:r w:rsidRPr="00E42681">
        <w:rPr>
          <w:color w:val="272928"/>
          <w:szCs w:val="24"/>
          <w:lang w:eastAsia="cs-CZ"/>
        </w:rPr>
        <w:t xml:space="preserve"> </w:t>
      </w:r>
      <w:r w:rsidR="00BE6F6C">
        <w:rPr>
          <w:color w:val="272928"/>
          <w:szCs w:val="24"/>
          <w:lang w:eastAsia="cs-CZ"/>
        </w:rPr>
        <w:t>ČDT</w:t>
      </w:r>
      <w:r w:rsidRPr="00E42681">
        <w:rPr>
          <w:color w:val="272928"/>
          <w:szCs w:val="24"/>
          <w:lang w:eastAsia="cs-CZ"/>
        </w:rPr>
        <w:t xml:space="preserve"> právo bez souhlasu </w:t>
      </w:r>
      <w:proofErr w:type="spellStart"/>
      <w:r w:rsidRPr="00E42681">
        <w:rPr>
          <w:color w:val="272928"/>
          <w:szCs w:val="24"/>
          <w:lang w:eastAsia="cs-CZ"/>
        </w:rPr>
        <w:t>White</w:t>
      </w:r>
      <w:proofErr w:type="spellEnd"/>
      <w:r w:rsidRPr="00E42681">
        <w:rPr>
          <w:color w:val="272928"/>
          <w:szCs w:val="24"/>
          <w:lang w:eastAsia="cs-CZ"/>
        </w:rPr>
        <w:t xml:space="preserve"> &amp; Case uplatnit postup zvláštního způsobu zajištění daně podle § </w:t>
      </w:r>
      <w:proofErr w:type="gramStart"/>
      <w:r w:rsidRPr="00E42681">
        <w:rPr>
          <w:color w:val="272928"/>
          <w:szCs w:val="24"/>
          <w:lang w:eastAsia="cs-CZ"/>
        </w:rPr>
        <w:t>109a</w:t>
      </w:r>
      <w:proofErr w:type="gramEnd"/>
      <w:r w:rsidRPr="00E42681">
        <w:rPr>
          <w:color w:val="272928"/>
          <w:szCs w:val="24"/>
          <w:lang w:eastAsia="cs-CZ"/>
        </w:rPr>
        <w:t xml:space="preserve"> zákona o DPH. Při uplatnění zvláštního způsobu zajištění daně uhradí </w:t>
      </w:r>
      <w:r w:rsidR="00BE6F6C">
        <w:rPr>
          <w:color w:val="272928"/>
          <w:szCs w:val="24"/>
          <w:lang w:eastAsia="cs-CZ"/>
        </w:rPr>
        <w:t>ČDT</w:t>
      </w:r>
      <w:r w:rsidRPr="00E42681">
        <w:rPr>
          <w:color w:val="272928"/>
          <w:szCs w:val="24"/>
          <w:lang w:eastAsia="cs-CZ"/>
        </w:rPr>
        <w:t xml:space="preserve"> částku DPH podle daňového dokladu vystaveného </w:t>
      </w:r>
      <w:proofErr w:type="spellStart"/>
      <w:r w:rsidRPr="00E42681">
        <w:rPr>
          <w:color w:val="272928"/>
          <w:szCs w:val="24"/>
          <w:lang w:eastAsia="cs-CZ"/>
        </w:rPr>
        <w:t>White</w:t>
      </w:r>
      <w:proofErr w:type="spellEnd"/>
      <w:r w:rsidRPr="00E42681">
        <w:rPr>
          <w:color w:val="272928"/>
          <w:szCs w:val="24"/>
          <w:lang w:eastAsia="cs-CZ"/>
        </w:rPr>
        <w:t xml:space="preserve"> &amp; Case na účet správce daně </w:t>
      </w:r>
      <w:proofErr w:type="spellStart"/>
      <w:r w:rsidRPr="00E42681">
        <w:rPr>
          <w:color w:val="272928"/>
          <w:szCs w:val="24"/>
          <w:lang w:eastAsia="cs-CZ"/>
        </w:rPr>
        <w:t>White</w:t>
      </w:r>
      <w:proofErr w:type="spellEnd"/>
      <w:r w:rsidRPr="00E42681">
        <w:rPr>
          <w:color w:val="272928"/>
          <w:szCs w:val="24"/>
          <w:lang w:eastAsia="cs-CZ"/>
        </w:rPr>
        <w:t xml:space="preserve"> &amp; Case a </w:t>
      </w:r>
      <w:proofErr w:type="spellStart"/>
      <w:r w:rsidRPr="00E42681">
        <w:rPr>
          <w:color w:val="272928"/>
          <w:szCs w:val="24"/>
          <w:lang w:eastAsia="cs-CZ"/>
        </w:rPr>
        <w:t>White</w:t>
      </w:r>
      <w:proofErr w:type="spellEnd"/>
      <w:r w:rsidRPr="00E42681">
        <w:rPr>
          <w:color w:val="272928"/>
          <w:szCs w:val="24"/>
          <w:lang w:eastAsia="cs-CZ"/>
        </w:rPr>
        <w:t xml:space="preserve"> &amp; Case o tomto kroku vhodným způsobem vyrozumí. Zaplacením částky DPH na účet správce daně </w:t>
      </w:r>
      <w:proofErr w:type="spellStart"/>
      <w:r w:rsidRPr="00E42681">
        <w:rPr>
          <w:color w:val="272928"/>
          <w:szCs w:val="24"/>
          <w:lang w:eastAsia="cs-CZ"/>
        </w:rPr>
        <w:t>White</w:t>
      </w:r>
      <w:proofErr w:type="spellEnd"/>
      <w:r w:rsidRPr="00E42681">
        <w:rPr>
          <w:color w:val="272928"/>
          <w:szCs w:val="24"/>
          <w:lang w:eastAsia="cs-CZ"/>
        </w:rPr>
        <w:t xml:space="preserve"> &amp; Case jeho vyrozuměním o tomto kroku se závazek </w:t>
      </w:r>
      <w:r w:rsidR="00BE6F6C">
        <w:rPr>
          <w:color w:val="272928"/>
          <w:szCs w:val="24"/>
          <w:lang w:eastAsia="cs-CZ"/>
        </w:rPr>
        <w:t>ČDT</w:t>
      </w:r>
      <w:r w:rsidRPr="00E42681">
        <w:rPr>
          <w:color w:val="272928"/>
          <w:szCs w:val="24"/>
          <w:lang w:eastAsia="cs-CZ"/>
        </w:rPr>
        <w:t xml:space="preserve"> uhradit částku odpovídající výši takto zaplacené DPH vyplývající z této Smlouvy považuje za splněný</w:t>
      </w:r>
      <w:r w:rsidRPr="00E42681">
        <w:rPr>
          <w:color w:val="0F0F0F"/>
          <w:szCs w:val="24"/>
          <w:lang w:eastAsia="cs-CZ"/>
        </w:rPr>
        <w:t>.</w:t>
      </w:r>
    </w:p>
    <w:p w14:paraId="653EA499" w14:textId="77777777" w:rsidR="00ED01DD" w:rsidRPr="00E42681" w:rsidRDefault="00ED01DD" w:rsidP="007D22D5">
      <w:pPr>
        <w:pStyle w:val="Nadpis2"/>
        <w:rPr>
          <w:color w:val="272928"/>
          <w:szCs w:val="24"/>
          <w:lang w:eastAsia="cs-CZ"/>
        </w:rPr>
      </w:pPr>
      <w:proofErr w:type="spellStart"/>
      <w:r w:rsidRPr="00E42681">
        <w:rPr>
          <w:color w:val="272928"/>
          <w:szCs w:val="24"/>
          <w:lang w:eastAsia="cs-CZ"/>
        </w:rPr>
        <w:t>White</w:t>
      </w:r>
      <w:proofErr w:type="spellEnd"/>
      <w:r w:rsidRPr="00E42681">
        <w:rPr>
          <w:color w:val="272928"/>
          <w:szCs w:val="24"/>
          <w:lang w:eastAsia="cs-CZ"/>
        </w:rPr>
        <w:t xml:space="preserve"> &amp; Case se zavazuje bez zbytečného prodlení oznámit </w:t>
      </w:r>
      <w:r w:rsidR="00BE6F6C">
        <w:rPr>
          <w:color w:val="272928"/>
          <w:szCs w:val="24"/>
          <w:lang w:eastAsia="cs-CZ"/>
        </w:rPr>
        <w:t>ČDT</w:t>
      </w:r>
      <w:r w:rsidRPr="00E42681">
        <w:rPr>
          <w:color w:val="272928"/>
          <w:szCs w:val="24"/>
          <w:lang w:eastAsia="cs-CZ"/>
        </w:rPr>
        <w:t xml:space="preserve"> svou insolvenci nebo hrozbu jejího vzniku. V případě oprávněného podezření </w:t>
      </w:r>
      <w:r w:rsidR="00BE6F6C">
        <w:rPr>
          <w:color w:val="272928"/>
          <w:szCs w:val="24"/>
          <w:lang w:eastAsia="cs-CZ"/>
        </w:rPr>
        <w:t>ČDT</w:t>
      </w:r>
      <w:r w:rsidRPr="00E42681">
        <w:rPr>
          <w:color w:val="272928"/>
          <w:szCs w:val="24"/>
          <w:lang w:eastAsia="cs-CZ"/>
        </w:rPr>
        <w:t xml:space="preserve"> na insolvenci </w:t>
      </w:r>
      <w:proofErr w:type="spellStart"/>
      <w:r w:rsidRPr="00E42681">
        <w:rPr>
          <w:color w:val="272928"/>
          <w:szCs w:val="24"/>
          <w:lang w:eastAsia="cs-CZ"/>
        </w:rPr>
        <w:t>White</w:t>
      </w:r>
      <w:proofErr w:type="spellEnd"/>
      <w:r w:rsidRPr="00E42681">
        <w:rPr>
          <w:color w:val="272928"/>
          <w:szCs w:val="24"/>
          <w:lang w:eastAsia="cs-CZ"/>
        </w:rPr>
        <w:t xml:space="preserve"> &amp; Case nebo její hrozbu nebo podezření na neuhrazení DPH nebo její zkrácení či vylákání daňové výhody oprávněn odvést částku DPH z uskutečněného zdanitelného plnění přímo příslušnému finančnímu úřadu, </w:t>
      </w:r>
      <w:r w:rsidR="00E64F28">
        <w:rPr>
          <w:color w:val="272928"/>
          <w:szCs w:val="24"/>
          <w:lang w:eastAsia="cs-CZ"/>
        </w:rPr>
        <w:t>má</w:t>
      </w:r>
      <w:r w:rsidRPr="00E42681">
        <w:rPr>
          <w:color w:val="272928"/>
          <w:szCs w:val="24"/>
          <w:lang w:eastAsia="cs-CZ"/>
        </w:rPr>
        <w:t xml:space="preserve"> </w:t>
      </w:r>
      <w:r w:rsidR="00BE6F6C">
        <w:rPr>
          <w:color w:val="272928"/>
          <w:szCs w:val="24"/>
          <w:lang w:eastAsia="cs-CZ"/>
        </w:rPr>
        <w:t>ČDT</w:t>
      </w:r>
      <w:r w:rsidRPr="00E42681">
        <w:rPr>
          <w:color w:val="272928"/>
          <w:szCs w:val="24"/>
          <w:lang w:eastAsia="cs-CZ"/>
        </w:rPr>
        <w:t xml:space="preserve"> právo uplatnit zvláštní postup zajištění daně podle § </w:t>
      </w:r>
      <w:proofErr w:type="gramStart"/>
      <w:r w:rsidRPr="00E42681">
        <w:rPr>
          <w:color w:val="272928"/>
          <w:szCs w:val="24"/>
          <w:lang w:eastAsia="cs-CZ"/>
        </w:rPr>
        <w:t>109a</w:t>
      </w:r>
      <w:proofErr w:type="gramEnd"/>
      <w:r w:rsidRPr="00E42681">
        <w:rPr>
          <w:color w:val="272928"/>
          <w:szCs w:val="24"/>
          <w:lang w:eastAsia="cs-CZ"/>
        </w:rPr>
        <w:t xml:space="preserve"> zákona o DPH. V takovém případě tuto skutečnost </w:t>
      </w:r>
      <w:r w:rsidR="00BE6F6C">
        <w:rPr>
          <w:color w:val="272928"/>
          <w:szCs w:val="24"/>
          <w:lang w:eastAsia="cs-CZ"/>
        </w:rPr>
        <w:t>ČDT</w:t>
      </w:r>
      <w:r w:rsidRPr="00E42681">
        <w:rPr>
          <w:color w:val="272928"/>
          <w:szCs w:val="24"/>
          <w:lang w:eastAsia="cs-CZ"/>
        </w:rPr>
        <w:t xml:space="preserve"> bez zbytečného odkladu oznámí </w:t>
      </w:r>
      <w:proofErr w:type="spellStart"/>
      <w:r w:rsidRPr="00E42681">
        <w:rPr>
          <w:color w:val="272928"/>
          <w:szCs w:val="24"/>
          <w:lang w:eastAsia="cs-CZ"/>
        </w:rPr>
        <w:t>White</w:t>
      </w:r>
      <w:proofErr w:type="spellEnd"/>
      <w:r w:rsidRPr="00E42681">
        <w:rPr>
          <w:color w:val="272928"/>
          <w:szCs w:val="24"/>
          <w:lang w:eastAsia="cs-CZ"/>
        </w:rPr>
        <w:t xml:space="preserve"> &amp; Case. Úhradou DPH na účet finančního úřadu se pohledávka </w:t>
      </w:r>
      <w:proofErr w:type="spellStart"/>
      <w:r w:rsidRPr="00E42681">
        <w:rPr>
          <w:color w:val="272928"/>
          <w:szCs w:val="24"/>
          <w:lang w:eastAsia="cs-CZ"/>
        </w:rPr>
        <w:t>White</w:t>
      </w:r>
      <w:proofErr w:type="spellEnd"/>
      <w:r w:rsidRPr="00E42681">
        <w:rPr>
          <w:color w:val="272928"/>
          <w:szCs w:val="24"/>
          <w:lang w:eastAsia="cs-CZ"/>
        </w:rPr>
        <w:t xml:space="preserve"> &amp; Case vůči </w:t>
      </w:r>
      <w:r w:rsidR="00BE6F6C">
        <w:rPr>
          <w:color w:val="272928"/>
          <w:szCs w:val="24"/>
          <w:lang w:eastAsia="cs-CZ"/>
        </w:rPr>
        <w:t>ČDT</w:t>
      </w:r>
      <w:r w:rsidRPr="00E42681">
        <w:rPr>
          <w:color w:val="272928"/>
          <w:szCs w:val="24"/>
          <w:lang w:eastAsia="cs-CZ"/>
        </w:rPr>
        <w:t xml:space="preserve"> v částce uhrazené DPH považuje bez ohledu na další ustanovení této Smlouvy za uhrazenou. Zároveň </w:t>
      </w:r>
      <w:proofErr w:type="spellStart"/>
      <w:r w:rsidRPr="00E42681">
        <w:rPr>
          <w:color w:val="272928"/>
          <w:szCs w:val="24"/>
          <w:lang w:eastAsia="cs-CZ"/>
        </w:rPr>
        <w:t>White</w:t>
      </w:r>
      <w:proofErr w:type="spellEnd"/>
      <w:r w:rsidRPr="00E42681">
        <w:rPr>
          <w:color w:val="272928"/>
          <w:szCs w:val="24"/>
          <w:lang w:eastAsia="cs-CZ"/>
        </w:rPr>
        <w:t> &amp; Case neprodleně oznámí, zda takto provedená platba je evidována jeho správcem daně.</w:t>
      </w:r>
    </w:p>
    <w:p w14:paraId="2F3D7B1E" w14:textId="77567039" w:rsidR="001F7BF3" w:rsidRPr="00E42681" w:rsidRDefault="001F7BF3" w:rsidP="001F7BF3">
      <w:pPr>
        <w:pStyle w:val="Nadpis2"/>
        <w:rPr>
          <w:szCs w:val="24"/>
          <w:lang w:eastAsia="cs-CZ"/>
        </w:rPr>
      </w:pPr>
      <w:proofErr w:type="spellStart"/>
      <w:r w:rsidRPr="00E42681">
        <w:rPr>
          <w:szCs w:val="24"/>
          <w:lang w:eastAsia="cs-CZ"/>
        </w:rPr>
        <w:t>Whit</w:t>
      </w:r>
      <w:r w:rsidR="007D22D5" w:rsidRPr="00E42681">
        <w:rPr>
          <w:szCs w:val="24"/>
          <w:lang w:eastAsia="cs-CZ"/>
        </w:rPr>
        <w:t>e</w:t>
      </w:r>
      <w:proofErr w:type="spellEnd"/>
      <w:r w:rsidR="007D22D5" w:rsidRPr="00E42681">
        <w:rPr>
          <w:szCs w:val="24"/>
          <w:lang w:eastAsia="cs-CZ"/>
        </w:rPr>
        <w:t xml:space="preserve"> &amp; Case je povinna informovat </w:t>
      </w:r>
      <w:r w:rsidR="00BE6F6C">
        <w:rPr>
          <w:szCs w:val="24"/>
          <w:lang w:eastAsia="cs-CZ"/>
        </w:rPr>
        <w:t>ČDT</w:t>
      </w:r>
      <w:r w:rsidR="007D22D5" w:rsidRPr="00E42681">
        <w:rPr>
          <w:szCs w:val="24"/>
          <w:lang w:eastAsia="cs-CZ"/>
        </w:rPr>
        <w:t xml:space="preserve"> v okamžiku poskytnutí</w:t>
      </w:r>
      <w:r w:rsidRPr="00E42681">
        <w:rPr>
          <w:szCs w:val="24"/>
          <w:lang w:eastAsia="cs-CZ"/>
        </w:rPr>
        <w:t xml:space="preserve"> </w:t>
      </w:r>
      <w:r w:rsidR="007D22D5" w:rsidRPr="00E42681">
        <w:rPr>
          <w:szCs w:val="24"/>
          <w:lang w:eastAsia="cs-CZ"/>
        </w:rPr>
        <w:t>právních</w:t>
      </w:r>
      <w:r w:rsidRPr="00E42681">
        <w:rPr>
          <w:szCs w:val="24"/>
          <w:lang w:eastAsia="cs-CZ"/>
        </w:rPr>
        <w:t xml:space="preserve"> </w:t>
      </w:r>
      <w:r w:rsidR="007D22D5" w:rsidRPr="00E42681">
        <w:rPr>
          <w:szCs w:val="24"/>
          <w:lang w:eastAsia="cs-CZ"/>
        </w:rPr>
        <w:t>služeb</w:t>
      </w:r>
      <w:r w:rsidRPr="00E42681">
        <w:rPr>
          <w:szCs w:val="24"/>
          <w:lang w:eastAsia="cs-CZ"/>
        </w:rPr>
        <w:t xml:space="preserve"> ve</w:t>
      </w:r>
      <w:r w:rsidR="007D22D5" w:rsidRPr="00E42681">
        <w:rPr>
          <w:szCs w:val="24"/>
          <w:lang w:eastAsia="cs-CZ"/>
        </w:rPr>
        <w:t xml:space="preserve"> výši</w:t>
      </w:r>
      <w:r w:rsidRPr="00E42681">
        <w:rPr>
          <w:szCs w:val="24"/>
          <w:lang w:eastAsia="cs-CZ"/>
        </w:rPr>
        <w:t xml:space="preserve"> </w:t>
      </w:r>
      <w:r w:rsidR="007D22D5" w:rsidRPr="00E42681">
        <w:rPr>
          <w:szCs w:val="24"/>
          <w:lang w:eastAsia="cs-CZ"/>
        </w:rPr>
        <w:t>odpovídající 80</w:t>
      </w:r>
      <w:r w:rsidR="00BB569B" w:rsidRPr="00E42681">
        <w:rPr>
          <w:szCs w:val="24"/>
          <w:lang w:eastAsia="cs-CZ"/>
        </w:rPr>
        <w:t xml:space="preserve"> </w:t>
      </w:r>
      <w:r w:rsidR="007D22D5" w:rsidRPr="00E42681">
        <w:rPr>
          <w:szCs w:val="24"/>
          <w:lang w:eastAsia="cs-CZ"/>
        </w:rPr>
        <w:t>% v čl. 3.2 Sm</w:t>
      </w:r>
      <w:r w:rsidRPr="00E42681">
        <w:rPr>
          <w:szCs w:val="24"/>
          <w:lang w:eastAsia="cs-CZ"/>
        </w:rPr>
        <w:t xml:space="preserve">louvy </w:t>
      </w:r>
      <w:r w:rsidR="007D22D5" w:rsidRPr="00E42681">
        <w:rPr>
          <w:szCs w:val="24"/>
          <w:lang w:eastAsia="cs-CZ"/>
        </w:rPr>
        <w:t>celkového</w:t>
      </w:r>
      <w:r w:rsidRPr="00E42681">
        <w:rPr>
          <w:szCs w:val="24"/>
          <w:lang w:eastAsia="cs-CZ"/>
        </w:rPr>
        <w:t xml:space="preserve"> </w:t>
      </w:r>
      <w:r w:rsidR="007D22D5" w:rsidRPr="00E42681">
        <w:rPr>
          <w:szCs w:val="24"/>
          <w:lang w:eastAsia="cs-CZ"/>
        </w:rPr>
        <w:t>sjednaného</w:t>
      </w:r>
      <w:r w:rsidRPr="00E42681">
        <w:rPr>
          <w:szCs w:val="24"/>
          <w:lang w:eastAsia="cs-CZ"/>
        </w:rPr>
        <w:t xml:space="preserve"> </w:t>
      </w:r>
      <w:r w:rsidR="007D22D5" w:rsidRPr="00E42681">
        <w:rPr>
          <w:szCs w:val="24"/>
          <w:lang w:eastAsia="cs-CZ"/>
        </w:rPr>
        <w:t>finančního limi</w:t>
      </w:r>
      <w:r w:rsidRPr="00E42681">
        <w:rPr>
          <w:szCs w:val="24"/>
          <w:lang w:eastAsia="cs-CZ"/>
        </w:rPr>
        <w:t xml:space="preserve">tu. </w:t>
      </w:r>
    </w:p>
    <w:p w14:paraId="64A8F933" w14:textId="77777777" w:rsidR="00ED01DD" w:rsidRPr="00E42681" w:rsidRDefault="00ED01DD" w:rsidP="00ED01DD">
      <w:pPr>
        <w:pStyle w:val="Nadpis1"/>
        <w:spacing w:before="480"/>
        <w:rPr>
          <w:szCs w:val="24"/>
        </w:rPr>
      </w:pPr>
      <w:r w:rsidRPr="00E42681">
        <w:rPr>
          <w:szCs w:val="24"/>
        </w:rPr>
        <w:br/>
        <w:t>Konflikt zájmů</w:t>
      </w:r>
    </w:p>
    <w:p w14:paraId="416D086C" w14:textId="77777777" w:rsidR="00212F58" w:rsidRPr="00E42681" w:rsidRDefault="00FD4513" w:rsidP="00212F58">
      <w:pPr>
        <w:pStyle w:val="Nadpis2"/>
        <w:rPr>
          <w:szCs w:val="24"/>
        </w:rPr>
      </w:pPr>
      <w:r>
        <w:rPr>
          <w:szCs w:val="24"/>
        </w:rPr>
        <w:t xml:space="preserve">Společnost </w:t>
      </w:r>
      <w:proofErr w:type="spellStart"/>
      <w:r w:rsidR="00212F58" w:rsidRPr="00E42681">
        <w:rPr>
          <w:szCs w:val="24"/>
        </w:rPr>
        <w:t>White</w:t>
      </w:r>
      <w:proofErr w:type="spellEnd"/>
      <w:r w:rsidR="00212F58" w:rsidRPr="00E42681">
        <w:rPr>
          <w:szCs w:val="24"/>
        </w:rPr>
        <w:t xml:space="preserve"> &amp; Case zastupuje prostřednictvím svých kanceláří velké množství klientů po celém světě. Je možné, že v průběhu tohoto nebo jakéhokoli jiného zastupování Společností </w:t>
      </w:r>
      <w:proofErr w:type="spellStart"/>
      <w:r w:rsidR="00212F58" w:rsidRPr="00E42681">
        <w:rPr>
          <w:szCs w:val="24"/>
        </w:rPr>
        <w:t>White</w:t>
      </w:r>
      <w:proofErr w:type="spellEnd"/>
      <w:r w:rsidR="00212F58" w:rsidRPr="00E42681">
        <w:rPr>
          <w:szCs w:val="24"/>
        </w:rPr>
        <w:t xml:space="preserve"> &amp; Case mohou ostatní nebo noví klienti požádat Společnost </w:t>
      </w:r>
      <w:proofErr w:type="spellStart"/>
      <w:r w:rsidR="00212F58" w:rsidRPr="00E42681">
        <w:rPr>
          <w:szCs w:val="24"/>
        </w:rPr>
        <w:t>White</w:t>
      </w:r>
      <w:proofErr w:type="spellEnd"/>
      <w:r w:rsidR="00212F58" w:rsidRPr="00E42681">
        <w:rPr>
          <w:szCs w:val="24"/>
        </w:rPr>
        <w:t xml:space="preserve"> &amp; Case, aby je zastupovala a uplatňovala nebo chránila zájmy, které jsou v rozporu se zájmy </w:t>
      </w:r>
      <w:r w:rsidR="00BE6F6C">
        <w:rPr>
          <w:szCs w:val="24"/>
        </w:rPr>
        <w:t>ČDT</w:t>
      </w:r>
      <w:r w:rsidR="00212F58" w:rsidRPr="00E42681">
        <w:rPr>
          <w:szCs w:val="24"/>
        </w:rPr>
        <w:t xml:space="preserve"> nebo zájmy přidružených nebo spřízněných subjektů či osob </w:t>
      </w:r>
      <w:r w:rsidR="00BE6F6C">
        <w:rPr>
          <w:szCs w:val="24"/>
        </w:rPr>
        <w:t>ČDT</w:t>
      </w:r>
      <w:r w:rsidR="00212F58" w:rsidRPr="00E42681">
        <w:rPr>
          <w:szCs w:val="24"/>
        </w:rPr>
        <w:t xml:space="preserve"> („přidružené osoby“ </w:t>
      </w:r>
      <w:r w:rsidR="00BE6F6C">
        <w:rPr>
          <w:szCs w:val="24"/>
        </w:rPr>
        <w:t>ČDT</w:t>
      </w:r>
      <w:r w:rsidR="00212F58" w:rsidRPr="00E42681">
        <w:rPr>
          <w:szCs w:val="24"/>
        </w:rPr>
        <w:t xml:space="preserve">), případně se od nich liší. To může dle profesních pravidel platných v některých jurisdikcích, kde právníci Společnosti </w:t>
      </w:r>
      <w:proofErr w:type="spellStart"/>
      <w:r w:rsidR="00212F58" w:rsidRPr="00E42681">
        <w:rPr>
          <w:szCs w:val="24"/>
        </w:rPr>
        <w:t>White</w:t>
      </w:r>
      <w:proofErr w:type="spellEnd"/>
      <w:r w:rsidR="00212F58" w:rsidRPr="00E42681">
        <w:rPr>
          <w:szCs w:val="24"/>
        </w:rPr>
        <w:t xml:space="preserve"> &amp; Case provozují praxi, zejména ve Spojených státech amerických, představovat střet zájmů, které by Společnosti </w:t>
      </w:r>
      <w:proofErr w:type="spellStart"/>
      <w:r w:rsidR="00212F58" w:rsidRPr="00E42681">
        <w:rPr>
          <w:szCs w:val="24"/>
        </w:rPr>
        <w:t>White</w:t>
      </w:r>
      <w:proofErr w:type="spellEnd"/>
      <w:r w:rsidR="00212F58" w:rsidRPr="00E42681">
        <w:rPr>
          <w:szCs w:val="24"/>
        </w:rPr>
        <w:t xml:space="preserve"> &amp; Case mohly bránit v zastupování stávajících klientů, nových klientů nebo </w:t>
      </w:r>
      <w:r w:rsidR="00BE6F6C">
        <w:rPr>
          <w:szCs w:val="24"/>
        </w:rPr>
        <w:t>ČDT</w:t>
      </w:r>
      <w:r w:rsidR="00212F58" w:rsidRPr="00E42681">
        <w:rPr>
          <w:szCs w:val="24"/>
        </w:rPr>
        <w:t>, nebo by její schopnost je zastupovat omezovaly.</w:t>
      </w:r>
      <w:r w:rsidR="00674BEC">
        <w:rPr>
          <w:szCs w:val="24"/>
        </w:rPr>
        <w:t xml:space="preserve"> </w:t>
      </w:r>
    </w:p>
    <w:p w14:paraId="0EE8EA7C" w14:textId="77777777" w:rsidR="00ED01DD" w:rsidRPr="00E42681" w:rsidRDefault="00ED01DD" w:rsidP="007C597E">
      <w:pPr>
        <w:pStyle w:val="Nadpis2"/>
        <w:rPr>
          <w:szCs w:val="24"/>
        </w:rPr>
      </w:pPr>
      <w:r w:rsidRPr="00E42681">
        <w:rPr>
          <w:szCs w:val="24"/>
        </w:rPr>
        <w:t xml:space="preserve">Podpisem této Smlouvy nebo přijetím služeb </w:t>
      </w:r>
      <w:proofErr w:type="spellStart"/>
      <w:r w:rsidRPr="00E42681">
        <w:rPr>
          <w:szCs w:val="24"/>
        </w:rPr>
        <w:t>White</w:t>
      </w:r>
      <w:proofErr w:type="spellEnd"/>
      <w:r w:rsidRPr="00E42681">
        <w:rPr>
          <w:szCs w:val="24"/>
        </w:rPr>
        <w:t xml:space="preserve"> &amp; Case </w:t>
      </w:r>
      <w:r w:rsidR="00BE6F6C">
        <w:rPr>
          <w:szCs w:val="24"/>
        </w:rPr>
        <w:t>ČDT</w:t>
      </w:r>
      <w:r w:rsidR="009D78FB" w:rsidRPr="00E42681">
        <w:rPr>
          <w:szCs w:val="24"/>
        </w:rPr>
        <w:t xml:space="preserve"> souhlasí s tím, že </w:t>
      </w:r>
      <w:r w:rsidRPr="00E42681">
        <w:rPr>
          <w:szCs w:val="24"/>
        </w:rPr>
        <w:t xml:space="preserve">ostatní zahraniční právníci </w:t>
      </w:r>
      <w:r w:rsidR="0067408F">
        <w:rPr>
          <w:szCs w:val="24"/>
        </w:rPr>
        <w:t xml:space="preserve">Společnosti </w:t>
      </w:r>
      <w:proofErr w:type="spellStart"/>
      <w:r w:rsidRPr="00E42681">
        <w:rPr>
          <w:szCs w:val="24"/>
        </w:rPr>
        <w:t>White</w:t>
      </w:r>
      <w:proofErr w:type="spellEnd"/>
      <w:r w:rsidRPr="00E42681">
        <w:rPr>
          <w:szCs w:val="24"/>
        </w:rPr>
        <w:t xml:space="preserve"> &amp; Case </w:t>
      </w:r>
      <w:r w:rsidR="007C597E" w:rsidRPr="00E42681">
        <w:rPr>
          <w:szCs w:val="24"/>
        </w:rPr>
        <w:t xml:space="preserve">(včetně těch, kteří jsou oprávněni k poskytování právních služeb a/nebo výkonu advokacie v zemích mimo Českou republiku, s výslovným zahrnutím W&amp;C LLP a jejích přidružených osob) </w:t>
      </w:r>
      <w:r w:rsidRPr="00E42681">
        <w:rPr>
          <w:szCs w:val="24"/>
        </w:rPr>
        <w:t xml:space="preserve">jsou i nadále oprávněni zastupovat jakékoli jiné klienty v jakýchkoli jiných záležitostech </w:t>
      </w:r>
      <w:r w:rsidRPr="00E42681">
        <w:rPr>
          <w:szCs w:val="24"/>
        </w:rPr>
        <w:lastRenderedPageBreak/>
        <w:t xml:space="preserve">(včetně sporů, v nichž mohou být zájmy těchto klientů v rozporu se zájmy </w:t>
      </w:r>
      <w:r w:rsidR="00102391" w:rsidRPr="00E42681">
        <w:rPr>
          <w:szCs w:val="24"/>
        </w:rPr>
        <w:t xml:space="preserve">společnosti </w:t>
      </w:r>
      <w:r w:rsidR="00BE6F6C">
        <w:rPr>
          <w:szCs w:val="24"/>
        </w:rPr>
        <w:t>ČDT</w:t>
      </w:r>
      <w:r w:rsidRPr="00E42681">
        <w:rPr>
          <w:szCs w:val="24"/>
        </w:rPr>
        <w:t xml:space="preserve"> a podniků tvořících s ní podnikatelská seskupení</w:t>
      </w:r>
      <w:r w:rsidR="007C597E" w:rsidRPr="00E42681">
        <w:rPr>
          <w:szCs w:val="24"/>
        </w:rPr>
        <w:t xml:space="preserve">. </w:t>
      </w:r>
      <w:r w:rsidRPr="00E42681">
        <w:rPr>
          <w:szCs w:val="24"/>
        </w:rPr>
        <w:t xml:space="preserve">Tento souhlas se dále vztahuje i na případná budoucí zastupování </w:t>
      </w:r>
      <w:r w:rsidR="00BE6F6C">
        <w:rPr>
          <w:szCs w:val="24"/>
        </w:rPr>
        <w:t>ČDT</w:t>
      </w:r>
      <w:r w:rsidRPr="00E42681">
        <w:rPr>
          <w:szCs w:val="24"/>
        </w:rPr>
        <w:t xml:space="preserve"> ze strany </w:t>
      </w:r>
      <w:proofErr w:type="spellStart"/>
      <w:r w:rsidRPr="00E42681">
        <w:rPr>
          <w:szCs w:val="24"/>
        </w:rPr>
        <w:t>White</w:t>
      </w:r>
      <w:proofErr w:type="spellEnd"/>
      <w:r w:rsidRPr="00E42681">
        <w:rPr>
          <w:szCs w:val="24"/>
        </w:rPr>
        <w:t xml:space="preserve"> &amp; Case, pokud </w:t>
      </w:r>
      <w:r w:rsidR="00BE6F6C">
        <w:rPr>
          <w:szCs w:val="24"/>
        </w:rPr>
        <w:t>ČDT</w:t>
      </w:r>
      <w:r w:rsidRPr="00E42681">
        <w:rPr>
          <w:szCs w:val="24"/>
        </w:rPr>
        <w:t xml:space="preserve"> před započetím takového nového zastupování </w:t>
      </w:r>
      <w:proofErr w:type="spellStart"/>
      <w:r w:rsidRPr="00E42681">
        <w:rPr>
          <w:szCs w:val="24"/>
        </w:rPr>
        <w:t>White</w:t>
      </w:r>
      <w:proofErr w:type="spellEnd"/>
      <w:r w:rsidRPr="00E42681">
        <w:rPr>
          <w:szCs w:val="24"/>
        </w:rPr>
        <w:t xml:space="preserve"> &amp; Case nesdělí, že s ním nesouhlasí. </w:t>
      </w:r>
    </w:p>
    <w:p w14:paraId="58AD756A" w14:textId="409B7F9F" w:rsidR="00212F58" w:rsidRPr="00E42681" w:rsidRDefault="00151DBE" w:rsidP="00212F58">
      <w:pPr>
        <w:pStyle w:val="Nadpis2"/>
        <w:rPr>
          <w:szCs w:val="24"/>
        </w:rPr>
      </w:pPr>
      <w:r>
        <w:rPr>
          <w:szCs w:val="24"/>
        </w:rPr>
        <w:t xml:space="preserve">Společnost </w:t>
      </w:r>
      <w:proofErr w:type="spellStart"/>
      <w:r w:rsidRPr="00E42681">
        <w:rPr>
          <w:szCs w:val="24"/>
        </w:rPr>
        <w:t>White</w:t>
      </w:r>
      <w:proofErr w:type="spellEnd"/>
      <w:r w:rsidRPr="00E42681">
        <w:rPr>
          <w:szCs w:val="24"/>
        </w:rPr>
        <w:t xml:space="preserve"> &amp; Case</w:t>
      </w:r>
      <w:r>
        <w:rPr>
          <w:szCs w:val="24"/>
        </w:rPr>
        <w:t xml:space="preserve"> je povinna ihned informovat ČDT o skutečnosti uvedené v čl. 6.1 Smlouvy. </w:t>
      </w:r>
      <w:r w:rsidR="00212F58" w:rsidRPr="00E42681">
        <w:rPr>
          <w:szCs w:val="24"/>
        </w:rPr>
        <w:t xml:space="preserve">Pokud </w:t>
      </w:r>
      <w:r w:rsidR="00BE6F6C">
        <w:rPr>
          <w:szCs w:val="24"/>
        </w:rPr>
        <w:t>ČDT</w:t>
      </w:r>
      <w:r w:rsidR="00212F58" w:rsidRPr="00E42681">
        <w:rPr>
          <w:szCs w:val="24"/>
        </w:rPr>
        <w:t xml:space="preserve"> </w:t>
      </w:r>
      <w:r w:rsidR="009660BF">
        <w:rPr>
          <w:szCs w:val="24"/>
        </w:rPr>
        <w:t>nedá</w:t>
      </w:r>
      <w:r w:rsidR="00212F58" w:rsidRPr="00E42681">
        <w:rPr>
          <w:szCs w:val="24"/>
        </w:rPr>
        <w:t xml:space="preserve"> souhlas, </w:t>
      </w:r>
      <w:r w:rsidR="00FD4513">
        <w:rPr>
          <w:szCs w:val="24"/>
        </w:rPr>
        <w:t xml:space="preserve">Společnost </w:t>
      </w:r>
      <w:proofErr w:type="spellStart"/>
      <w:r w:rsidR="00212F58" w:rsidRPr="00E42681">
        <w:rPr>
          <w:szCs w:val="24"/>
        </w:rPr>
        <w:t>White</w:t>
      </w:r>
      <w:proofErr w:type="spellEnd"/>
      <w:r w:rsidR="00212F58" w:rsidRPr="00E42681">
        <w:rPr>
          <w:szCs w:val="24"/>
        </w:rPr>
        <w:t xml:space="preserve"> &amp; Case se neujme žádného takového nového zastupování, které by bylo v rozporu se zájmy </w:t>
      </w:r>
      <w:r w:rsidR="00BE6F6C">
        <w:rPr>
          <w:szCs w:val="24"/>
        </w:rPr>
        <w:t>ČDT</w:t>
      </w:r>
      <w:r w:rsidR="00212F58" w:rsidRPr="00E42681">
        <w:rPr>
          <w:szCs w:val="24"/>
        </w:rPr>
        <w:t xml:space="preserve"> nebo zájmy přidružených osob </w:t>
      </w:r>
      <w:r w:rsidR="00BE6F6C">
        <w:rPr>
          <w:szCs w:val="24"/>
        </w:rPr>
        <w:t>ČDT</w:t>
      </w:r>
      <w:r w:rsidR="00212F58" w:rsidRPr="00E42681">
        <w:rPr>
          <w:szCs w:val="24"/>
        </w:rPr>
        <w:t xml:space="preserve">, které mají podstatnou vazbu na záležitosti v rámci navrhovaného zastupování. Nehledě na výše uvedené může </w:t>
      </w:r>
      <w:r w:rsidR="00FD4513">
        <w:rPr>
          <w:szCs w:val="24"/>
        </w:rPr>
        <w:t xml:space="preserve">Společnost </w:t>
      </w:r>
      <w:proofErr w:type="spellStart"/>
      <w:r w:rsidR="00212F58" w:rsidRPr="00E42681">
        <w:rPr>
          <w:szCs w:val="24"/>
        </w:rPr>
        <w:t>White</w:t>
      </w:r>
      <w:proofErr w:type="spellEnd"/>
      <w:r w:rsidR="00212F58" w:rsidRPr="00E42681">
        <w:rPr>
          <w:szCs w:val="24"/>
        </w:rPr>
        <w:t xml:space="preserve"> &amp; Case mít více než jednoho klienta, který je fakticky nebo potenciálně zainteresován na předmětu transakce a který usiluje o dosažení stejného cíle (například prodej společnosti v dražbě). </w:t>
      </w:r>
      <w:r w:rsidR="00BE6F6C">
        <w:rPr>
          <w:szCs w:val="24"/>
        </w:rPr>
        <w:t>ČDT</w:t>
      </w:r>
      <w:r w:rsidR="00212F58" w:rsidRPr="00E42681">
        <w:rPr>
          <w:szCs w:val="24"/>
        </w:rPr>
        <w:t xml:space="preserve"> v takovém případě souhlasí, že </w:t>
      </w:r>
      <w:r w:rsidR="00FD4513">
        <w:rPr>
          <w:szCs w:val="24"/>
        </w:rPr>
        <w:t xml:space="preserve">Společnost </w:t>
      </w:r>
      <w:proofErr w:type="spellStart"/>
      <w:r w:rsidR="00212F58" w:rsidRPr="00E42681">
        <w:rPr>
          <w:szCs w:val="24"/>
        </w:rPr>
        <w:t>White</w:t>
      </w:r>
      <w:proofErr w:type="spellEnd"/>
      <w:r w:rsidR="00212F58" w:rsidRPr="00E42681">
        <w:rPr>
          <w:szCs w:val="24"/>
        </w:rPr>
        <w:t xml:space="preserve"> &amp; Case je oprávněna jednat za více než jednoho klienta, a to za předpokladu, že </w:t>
      </w:r>
      <w:proofErr w:type="spellStart"/>
      <w:r w:rsidR="00212F58" w:rsidRPr="00E42681">
        <w:rPr>
          <w:szCs w:val="24"/>
        </w:rPr>
        <w:t>White</w:t>
      </w:r>
      <w:proofErr w:type="spellEnd"/>
      <w:r w:rsidR="00212F58" w:rsidRPr="00E42681">
        <w:rPr>
          <w:szCs w:val="24"/>
        </w:rPr>
        <w:t xml:space="preserve"> &amp; Case sestaví samostatné týmy a vytvoří etický filtr bránící neoprávněnému sdělování informací klientů.</w:t>
      </w:r>
    </w:p>
    <w:p w14:paraId="117E3722" w14:textId="334C6733" w:rsidR="00212F58" w:rsidRDefault="00BE6F6C" w:rsidP="00212F58">
      <w:pPr>
        <w:pStyle w:val="Nadpis2"/>
        <w:rPr>
          <w:szCs w:val="24"/>
        </w:rPr>
      </w:pPr>
      <w:r>
        <w:rPr>
          <w:szCs w:val="24"/>
        </w:rPr>
        <w:t>ČDT</w:t>
      </w:r>
      <w:r w:rsidR="00212F58" w:rsidRPr="00E42681">
        <w:rPr>
          <w:szCs w:val="24"/>
        </w:rPr>
        <w:t xml:space="preserve"> svým podpisem potvrzuj</w:t>
      </w:r>
      <w:r w:rsidR="009660BF">
        <w:rPr>
          <w:szCs w:val="24"/>
        </w:rPr>
        <w:t>e</w:t>
      </w:r>
      <w:r w:rsidR="00212F58" w:rsidRPr="00E42681">
        <w:rPr>
          <w:szCs w:val="24"/>
        </w:rPr>
        <w:t xml:space="preserve">, že </w:t>
      </w:r>
      <w:r w:rsidR="009660BF">
        <w:rPr>
          <w:szCs w:val="24"/>
        </w:rPr>
        <w:t>je</w:t>
      </w:r>
      <w:r w:rsidR="00212F58" w:rsidRPr="00E42681">
        <w:rPr>
          <w:szCs w:val="24"/>
        </w:rPr>
        <w:t xml:space="preserve"> srozuměn</w:t>
      </w:r>
      <w:r w:rsidR="009660BF">
        <w:rPr>
          <w:szCs w:val="24"/>
        </w:rPr>
        <w:t>a</w:t>
      </w:r>
      <w:r w:rsidR="00212F58" w:rsidRPr="00E42681">
        <w:rPr>
          <w:szCs w:val="24"/>
        </w:rPr>
        <w:t xml:space="preserve"> s tím, že předchozí vzdání se práv v souvislosti se střetem zájmů, jak je uvedeno výše, se má vztahovat na každou novou věc, v souvislosti s níž se </w:t>
      </w:r>
      <w:r w:rsidR="00FD4513">
        <w:rPr>
          <w:szCs w:val="24"/>
        </w:rPr>
        <w:t xml:space="preserve">Společnost </w:t>
      </w:r>
      <w:proofErr w:type="spellStart"/>
      <w:r w:rsidR="00212F58" w:rsidRPr="00E42681">
        <w:rPr>
          <w:szCs w:val="24"/>
        </w:rPr>
        <w:t>White</w:t>
      </w:r>
      <w:proofErr w:type="spellEnd"/>
      <w:r w:rsidR="00212F58" w:rsidRPr="00E42681">
        <w:rPr>
          <w:szCs w:val="24"/>
        </w:rPr>
        <w:t xml:space="preserve"> &amp; Case zaváže </w:t>
      </w:r>
      <w:r>
        <w:rPr>
          <w:szCs w:val="24"/>
        </w:rPr>
        <w:t>ČDT</w:t>
      </w:r>
      <w:r w:rsidR="00212F58" w:rsidRPr="00E42681">
        <w:rPr>
          <w:szCs w:val="24"/>
        </w:rPr>
        <w:t xml:space="preserve"> nebo přidružené osoby </w:t>
      </w:r>
      <w:r>
        <w:rPr>
          <w:szCs w:val="24"/>
        </w:rPr>
        <w:t>ČDT</w:t>
      </w:r>
      <w:r w:rsidR="00212F58" w:rsidRPr="00E42681">
        <w:rPr>
          <w:szCs w:val="24"/>
        </w:rPr>
        <w:t xml:space="preserve"> zastupovat, a to nehledě na jakékoli jiné zastupování, které je v rozporu se zájmy </w:t>
      </w:r>
      <w:r>
        <w:rPr>
          <w:szCs w:val="24"/>
        </w:rPr>
        <w:t>ČDT</w:t>
      </w:r>
      <w:r w:rsidR="00212F58" w:rsidRPr="00E42681">
        <w:rPr>
          <w:szCs w:val="24"/>
        </w:rPr>
        <w:t xml:space="preserve"> nebo přidružených osob </w:t>
      </w:r>
      <w:r>
        <w:rPr>
          <w:szCs w:val="24"/>
        </w:rPr>
        <w:t>ČDT</w:t>
      </w:r>
      <w:r w:rsidR="00212F58" w:rsidRPr="00E42681">
        <w:rPr>
          <w:szCs w:val="24"/>
        </w:rPr>
        <w:t xml:space="preserve"> a kterého se </w:t>
      </w:r>
      <w:r w:rsidR="00FD4513">
        <w:rPr>
          <w:szCs w:val="24"/>
        </w:rPr>
        <w:t xml:space="preserve">Společnost </w:t>
      </w:r>
      <w:proofErr w:type="spellStart"/>
      <w:r w:rsidR="00212F58" w:rsidRPr="00E42681">
        <w:rPr>
          <w:szCs w:val="24"/>
        </w:rPr>
        <w:t>White</w:t>
      </w:r>
      <w:proofErr w:type="spellEnd"/>
      <w:r w:rsidR="00212F58" w:rsidRPr="00E42681">
        <w:rPr>
          <w:szCs w:val="24"/>
        </w:rPr>
        <w:t xml:space="preserve"> &amp; Case případně ujala spoléhajíce se na toto předchozí vzdání se práv. Má se za to, že </w:t>
      </w:r>
      <w:r w:rsidR="00FD4513">
        <w:rPr>
          <w:szCs w:val="24"/>
        </w:rPr>
        <w:t>Společnost</w:t>
      </w:r>
      <w:r w:rsidR="00212F58" w:rsidRPr="00E42681">
        <w:rPr>
          <w:szCs w:val="24"/>
        </w:rPr>
        <w:t xml:space="preserve"> </w:t>
      </w:r>
      <w:proofErr w:type="spellStart"/>
      <w:r w:rsidR="009660BF">
        <w:rPr>
          <w:szCs w:val="24"/>
        </w:rPr>
        <w:t>White</w:t>
      </w:r>
      <w:proofErr w:type="spellEnd"/>
      <w:r w:rsidR="009660BF">
        <w:rPr>
          <w:szCs w:val="24"/>
        </w:rPr>
        <w:t xml:space="preserve"> </w:t>
      </w:r>
      <w:r w:rsidR="00212F58" w:rsidRPr="00E42681">
        <w:rPr>
          <w:szCs w:val="24"/>
        </w:rPr>
        <w:t xml:space="preserve">&amp; Case se může na toto vzdání se práv spolehnout a ujmout se takového zastupování v rozporu se zájmy, aniž by takovou skutečnost </w:t>
      </w:r>
      <w:r>
        <w:rPr>
          <w:szCs w:val="24"/>
        </w:rPr>
        <w:t>ČDT</w:t>
      </w:r>
      <w:r w:rsidR="00212F58" w:rsidRPr="00E42681">
        <w:rPr>
          <w:szCs w:val="24"/>
        </w:rPr>
        <w:t xml:space="preserve"> konkrétně oznamovala, ať již v okamžiku, kdy se zastupování v rozporu se zájmy ujme, nebo v okamžiku přijetí nového nesouvisejícího zastupování </w:t>
      </w:r>
      <w:r>
        <w:rPr>
          <w:szCs w:val="24"/>
        </w:rPr>
        <w:t>ČDT</w:t>
      </w:r>
      <w:r w:rsidR="00212F58" w:rsidRPr="00E42681">
        <w:rPr>
          <w:szCs w:val="24"/>
        </w:rPr>
        <w:t xml:space="preserve"> nebo přidružených osob </w:t>
      </w:r>
      <w:r>
        <w:rPr>
          <w:szCs w:val="24"/>
        </w:rPr>
        <w:t>ČDT</w:t>
      </w:r>
      <w:r w:rsidR="00212F58" w:rsidRPr="00E42681">
        <w:rPr>
          <w:szCs w:val="24"/>
        </w:rPr>
        <w:t>.</w:t>
      </w:r>
    </w:p>
    <w:p w14:paraId="7F6DD649" w14:textId="77777777" w:rsidR="009547B4" w:rsidRPr="00E42681" w:rsidRDefault="009547B4" w:rsidP="009547B4">
      <w:pPr>
        <w:pStyle w:val="Nadpis2"/>
        <w:ind w:left="709" w:hanging="709"/>
        <w:rPr>
          <w:szCs w:val="24"/>
        </w:rPr>
      </w:pPr>
      <w:r w:rsidRPr="00E42681">
        <w:rPr>
          <w:szCs w:val="24"/>
        </w:rPr>
        <w:t xml:space="preserve">Práva a povinnosti českých právníků </w:t>
      </w:r>
      <w:proofErr w:type="spellStart"/>
      <w:r w:rsidRPr="00E42681">
        <w:rPr>
          <w:szCs w:val="24"/>
        </w:rPr>
        <w:t>White</w:t>
      </w:r>
      <w:proofErr w:type="spellEnd"/>
      <w:r w:rsidRPr="00E42681">
        <w:rPr>
          <w:szCs w:val="24"/>
        </w:rPr>
        <w:t xml:space="preserve"> &amp; Case se ve všech případech řídí zákonem č. 85/1996 Sb., o advokacii, v platném znění (dále jen „</w:t>
      </w:r>
      <w:r w:rsidRPr="00E42681">
        <w:rPr>
          <w:b/>
          <w:szCs w:val="24"/>
        </w:rPr>
        <w:t>Zákon o advokacii</w:t>
      </w:r>
      <w:r w:rsidRPr="00E42681">
        <w:rPr>
          <w:szCs w:val="24"/>
        </w:rPr>
        <w:t>“) a stavovskými předpisy České advokátní komory, a to i v případě konfliktu zájmů.</w:t>
      </w:r>
    </w:p>
    <w:p w14:paraId="3215BBBD" w14:textId="77777777" w:rsidR="00DB4363" w:rsidRPr="00E42681" w:rsidRDefault="00DB4363" w:rsidP="00DB4363">
      <w:pPr>
        <w:pStyle w:val="Nadpis1"/>
        <w:spacing w:before="480" w:after="0"/>
        <w:ind w:left="142"/>
        <w:rPr>
          <w:szCs w:val="24"/>
        </w:rPr>
      </w:pPr>
    </w:p>
    <w:p w14:paraId="06D017D5" w14:textId="77777777" w:rsidR="00DB4363" w:rsidRPr="00E42681" w:rsidRDefault="00DB4363" w:rsidP="00DB4363">
      <w:pPr>
        <w:pStyle w:val="Zkladntext"/>
        <w:jc w:val="center"/>
        <w:rPr>
          <w:b/>
          <w:szCs w:val="24"/>
          <w:lang w:val="cs-CZ"/>
        </w:rPr>
      </w:pPr>
      <w:r w:rsidRPr="00E42681">
        <w:rPr>
          <w:b/>
          <w:szCs w:val="24"/>
          <w:lang w:val="cs-CZ"/>
        </w:rPr>
        <w:t>Prevence daňových úniků</w:t>
      </w:r>
    </w:p>
    <w:p w14:paraId="782EF581" w14:textId="77777777" w:rsidR="00DB4363" w:rsidRPr="00E42681" w:rsidRDefault="00BE6F6C" w:rsidP="00617B77">
      <w:pPr>
        <w:pStyle w:val="Nadpis2"/>
        <w:rPr>
          <w:szCs w:val="24"/>
        </w:rPr>
      </w:pPr>
      <w:r>
        <w:rPr>
          <w:szCs w:val="24"/>
        </w:rPr>
        <w:t>ČDT</w:t>
      </w:r>
      <w:r w:rsidR="002F0547" w:rsidRPr="00E42681">
        <w:rPr>
          <w:szCs w:val="24"/>
        </w:rPr>
        <w:t xml:space="preserve"> svým podpisem potvrzuj</w:t>
      </w:r>
      <w:r w:rsidR="009660BF">
        <w:rPr>
          <w:szCs w:val="24"/>
        </w:rPr>
        <w:t>e</w:t>
      </w:r>
      <w:r w:rsidR="002F0547" w:rsidRPr="00E42681">
        <w:rPr>
          <w:szCs w:val="24"/>
        </w:rPr>
        <w:t>, že</w:t>
      </w:r>
      <w:r w:rsidR="009B49BD" w:rsidRPr="00E42681">
        <w:rPr>
          <w:szCs w:val="24"/>
        </w:rPr>
        <w:t xml:space="preserve"> si</w:t>
      </w:r>
      <w:r w:rsidR="002F0547" w:rsidRPr="00E42681">
        <w:rPr>
          <w:szCs w:val="24"/>
        </w:rPr>
        <w:t xml:space="preserve"> </w:t>
      </w:r>
      <w:r w:rsidR="009660BF">
        <w:rPr>
          <w:szCs w:val="24"/>
        </w:rPr>
        <w:t>je</w:t>
      </w:r>
      <w:r w:rsidR="002F0547" w:rsidRPr="00E42681">
        <w:rPr>
          <w:szCs w:val="24"/>
        </w:rPr>
        <w:t xml:space="preserve"> vědom</w:t>
      </w:r>
      <w:r w:rsidR="009660BF">
        <w:rPr>
          <w:szCs w:val="24"/>
        </w:rPr>
        <w:t>a</w:t>
      </w:r>
      <w:r w:rsidR="002F0547" w:rsidRPr="00E42681">
        <w:rPr>
          <w:szCs w:val="24"/>
        </w:rPr>
        <w:t xml:space="preserve"> skutečnosti, že</w:t>
      </w:r>
      <w:r w:rsidR="00DB4363" w:rsidRPr="00E42681">
        <w:rPr>
          <w:szCs w:val="24"/>
        </w:rPr>
        <w:t xml:space="preserve"> </w:t>
      </w:r>
      <w:proofErr w:type="spellStart"/>
      <w:r w:rsidR="00DB4363" w:rsidRPr="00E42681">
        <w:rPr>
          <w:szCs w:val="24"/>
        </w:rPr>
        <w:t>White</w:t>
      </w:r>
      <w:proofErr w:type="spellEnd"/>
      <w:r w:rsidR="00DB4363" w:rsidRPr="00E42681">
        <w:rPr>
          <w:szCs w:val="24"/>
        </w:rPr>
        <w:t xml:space="preserve"> &amp; Case </w:t>
      </w:r>
      <w:r w:rsidR="002F0547" w:rsidRPr="00E42681">
        <w:rPr>
          <w:szCs w:val="24"/>
        </w:rPr>
        <w:t xml:space="preserve">je dle právních předpisů různých jurisdikcí </w:t>
      </w:r>
      <w:r w:rsidR="00DB4363" w:rsidRPr="00E42681">
        <w:rPr>
          <w:szCs w:val="24"/>
        </w:rPr>
        <w:t>povinna zajistit, aby z její strany (ani ze strany osob s ní spojených) nedocházelo k napomáhání daňovým únikům</w:t>
      </w:r>
      <w:r w:rsidR="002F0547" w:rsidRPr="00E42681">
        <w:rPr>
          <w:szCs w:val="24"/>
        </w:rPr>
        <w:t xml:space="preserve"> nikde na světě</w:t>
      </w:r>
      <w:r w:rsidR="00DB4363" w:rsidRPr="00E42681">
        <w:rPr>
          <w:szCs w:val="24"/>
        </w:rPr>
        <w:t xml:space="preserve">. Ke splnění těchto zákonných povinností se </w:t>
      </w:r>
      <w:r>
        <w:rPr>
          <w:szCs w:val="24"/>
        </w:rPr>
        <w:t>ČDT</w:t>
      </w:r>
      <w:r w:rsidR="009660BF">
        <w:rPr>
          <w:szCs w:val="24"/>
        </w:rPr>
        <w:t xml:space="preserve"> zavazuje</w:t>
      </w:r>
      <w:r w:rsidR="00DB4363" w:rsidRPr="00E42681">
        <w:rPr>
          <w:szCs w:val="24"/>
        </w:rPr>
        <w:t>, že:</w:t>
      </w:r>
    </w:p>
    <w:p w14:paraId="3C8D5FBB" w14:textId="77777777" w:rsidR="00DB4363" w:rsidRPr="00E42681" w:rsidRDefault="009660BF" w:rsidP="00897C76">
      <w:pPr>
        <w:pStyle w:val="Nadpis3"/>
        <w:rPr>
          <w:szCs w:val="24"/>
        </w:rPr>
      </w:pPr>
      <w:r>
        <w:rPr>
          <w:szCs w:val="24"/>
        </w:rPr>
        <w:t>bude</w:t>
      </w:r>
      <w:r w:rsidR="00DB4363" w:rsidRPr="00E42681">
        <w:rPr>
          <w:szCs w:val="24"/>
        </w:rPr>
        <w:t xml:space="preserve"> </w:t>
      </w:r>
      <w:r w:rsidR="001B0342">
        <w:rPr>
          <w:szCs w:val="24"/>
        </w:rPr>
        <w:t xml:space="preserve">Společnost </w:t>
      </w:r>
      <w:proofErr w:type="spellStart"/>
      <w:r w:rsidR="00DB4363" w:rsidRPr="00E42681">
        <w:rPr>
          <w:szCs w:val="24"/>
        </w:rPr>
        <w:t>White</w:t>
      </w:r>
      <w:proofErr w:type="spellEnd"/>
      <w:r w:rsidR="00DB4363" w:rsidRPr="00E42681">
        <w:rPr>
          <w:szCs w:val="24"/>
        </w:rPr>
        <w:t xml:space="preserve"> &amp; Case </w:t>
      </w:r>
      <w:r w:rsidR="00C73D5A" w:rsidRPr="00E42681">
        <w:rPr>
          <w:szCs w:val="24"/>
        </w:rPr>
        <w:t xml:space="preserve">průběžně informovat o všech hlavních cílech navrhovaného zastupování, jakož i poskytovat </w:t>
      </w:r>
      <w:r w:rsidR="00DB4363" w:rsidRPr="00E42681">
        <w:rPr>
          <w:szCs w:val="24"/>
        </w:rPr>
        <w:t xml:space="preserve">jakékoli jiné informace týkající se zapojení </w:t>
      </w:r>
      <w:r w:rsidR="001B0342">
        <w:rPr>
          <w:szCs w:val="24"/>
        </w:rPr>
        <w:t xml:space="preserve">Společnosti </w:t>
      </w:r>
      <w:proofErr w:type="spellStart"/>
      <w:r w:rsidR="00DB4363" w:rsidRPr="00E42681">
        <w:rPr>
          <w:szCs w:val="24"/>
        </w:rPr>
        <w:t>White</w:t>
      </w:r>
      <w:proofErr w:type="spellEnd"/>
      <w:r w:rsidR="00DB4363" w:rsidRPr="00E42681">
        <w:rPr>
          <w:szCs w:val="24"/>
        </w:rPr>
        <w:t xml:space="preserve"> &amp; Case do realizace těchto cílů; </w:t>
      </w:r>
    </w:p>
    <w:p w14:paraId="169E6B2B" w14:textId="77777777" w:rsidR="00DB4363" w:rsidRPr="00E42681" w:rsidRDefault="00DB4363" w:rsidP="00617B77">
      <w:pPr>
        <w:pStyle w:val="Nadpis3"/>
        <w:rPr>
          <w:szCs w:val="24"/>
        </w:rPr>
      </w:pPr>
      <w:r w:rsidRPr="00E42681">
        <w:rPr>
          <w:szCs w:val="24"/>
        </w:rPr>
        <w:t>se nesnaží</w:t>
      </w:r>
      <w:r w:rsidR="009660BF">
        <w:rPr>
          <w:szCs w:val="24"/>
        </w:rPr>
        <w:t xml:space="preserve"> ani nebude</w:t>
      </w:r>
      <w:r w:rsidRPr="00E42681">
        <w:rPr>
          <w:szCs w:val="24"/>
        </w:rPr>
        <w:t xml:space="preserve"> snažit vyhýbat </w:t>
      </w:r>
      <w:r w:rsidR="001B6F86" w:rsidRPr="00E42681">
        <w:rPr>
          <w:szCs w:val="24"/>
        </w:rPr>
        <w:t>svým daňovým povinnostem</w:t>
      </w:r>
      <w:r w:rsidRPr="00E42681">
        <w:rPr>
          <w:szCs w:val="24"/>
        </w:rPr>
        <w:t xml:space="preserve">; </w:t>
      </w:r>
    </w:p>
    <w:p w14:paraId="5682091E" w14:textId="77777777" w:rsidR="00DB4363" w:rsidRPr="00E42681" w:rsidRDefault="00365DE1" w:rsidP="00617B77">
      <w:pPr>
        <w:pStyle w:val="Nadpis3"/>
        <w:rPr>
          <w:szCs w:val="24"/>
        </w:rPr>
      </w:pPr>
      <w:r>
        <w:rPr>
          <w:szCs w:val="24"/>
        </w:rPr>
        <w:t>nebude</w:t>
      </w:r>
      <w:r w:rsidR="00DB4363" w:rsidRPr="00E42681">
        <w:rPr>
          <w:szCs w:val="24"/>
        </w:rPr>
        <w:t xml:space="preserve"> po </w:t>
      </w:r>
      <w:r w:rsidR="001B0342">
        <w:rPr>
          <w:szCs w:val="24"/>
        </w:rPr>
        <w:t xml:space="preserve">Společnosti </w:t>
      </w:r>
      <w:proofErr w:type="spellStart"/>
      <w:r w:rsidR="00DB4363" w:rsidRPr="00E42681">
        <w:rPr>
          <w:szCs w:val="24"/>
        </w:rPr>
        <w:t>White</w:t>
      </w:r>
      <w:proofErr w:type="spellEnd"/>
      <w:r w:rsidR="00DB4363" w:rsidRPr="00E42681">
        <w:rPr>
          <w:szCs w:val="24"/>
        </w:rPr>
        <w:t xml:space="preserve"> &amp; Case (ani po žádné osobě s ní spojené) vyžadovat </w:t>
      </w:r>
      <w:r w:rsidR="00C73D5A" w:rsidRPr="00E42681">
        <w:rPr>
          <w:szCs w:val="24"/>
        </w:rPr>
        <w:t>napomáhání</w:t>
      </w:r>
      <w:r w:rsidR="00DB4363" w:rsidRPr="00E42681">
        <w:rPr>
          <w:szCs w:val="24"/>
        </w:rPr>
        <w:t xml:space="preserve"> daňovému úniku; a</w:t>
      </w:r>
    </w:p>
    <w:p w14:paraId="55A49C17" w14:textId="77777777" w:rsidR="00DB4363" w:rsidRPr="00E42681" w:rsidRDefault="00DB4363" w:rsidP="00617B77">
      <w:pPr>
        <w:pStyle w:val="Nadpis3"/>
        <w:rPr>
          <w:szCs w:val="24"/>
        </w:rPr>
      </w:pPr>
      <w:r w:rsidRPr="00E42681">
        <w:rPr>
          <w:szCs w:val="24"/>
        </w:rPr>
        <w:lastRenderedPageBreak/>
        <w:t xml:space="preserve">pokud </w:t>
      </w:r>
      <w:r w:rsidR="001B6F86" w:rsidRPr="00E42681">
        <w:rPr>
          <w:szCs w:val="24"/>
        </w:rPr>
        <w:t xml:space="preserve">si </w:t>
      </w:r>
      <w:r w:rsidRPr="00E42681">
        <w:rPr>
          <w:szCs w:val="24"/>
        </w:rPr>
        <w:t>ve vztahu k</w:t>
      </w:r>
      <w:r w:rsidR="001B6F86" w:rsidRPr="00E42681">
        <w:rPr>
          <w:szCs w:val="24"/>
        </w:rPr>
        <w:t> navrhovanému zastupování</w:t>
      </w:r>
      <w:r w:rsidRPr="00E42681">
        <w:rPr>
          <w:szCs w:val="24"/>
        </w:rPr>
        <w:t xml:space="preserve"> najmou jiné poradce, </w:t>
      </w:r>
      <w:r w:rsidR="001B6F86" w:rsidRPr="00E42681">
        <w:rPr>
          <w:szCs w:val="24"/>
        </w:rPr>
        <w:t>se kterými</w:t>
      </w:r>
      <w:r w:rsidRPr="00E42681">
        <w:rPr>
          <w:szCs w:val="24"/>
        </w:rPr>
        <w:t xml:space="preserve"> bude </w:t>
      </w:r>
      <w:r w:rsidR="00760CDF">
        <w:rPr>
          <w:szCs w:val="24"/>
        </w:rPr>
        <w:t xml:space="preserve">Společnost </w:t>
      </w:r>
      <w:proofErr w:type="spellStart"/>
      <w:r w:rsidRPr="00E42681">
        <w:rPr>
          <w:szCs w:val="24"/>
        </w:rPr>
        <w:t>White</w:t>
      </w:r>
      <w:proofErr w:type="spellEnd"/>
      <w:r w:rsidRPr="00E42681">
        <w:rPr>
          <w:szCs w:val="24"/>
        </w:rPr>
        <w:t xml:space="preserve"> &amp; Case</w:t>
      </w:r>
      <w:r w:rsidR="007341C0" w:rsidRPr="00E42681">
        <w:rPr>
          <w:szCs w:val="24"/>
        </w:rPr>
        <w:t xml:space="preserve"> spolupracovat</w:t>
      </w:r>
      <w:r w:rsidR="00365DE1">
        <w:rPr>
          <w:szCs w:val="24"/>
        </w:rPr>
        <w:t xml:space="preserve">, vyžádá </w:t>
      </w:r>
      <w:r w:rsidR="002F0547" w:rsidRPr="00E42681">
        <w:rPr>
          <w:szCs w:val="24"/>
        </w:rPr>
        <w:t>si od nich potvrzení.</w:t>
      </w:r>
    </w:p>
    <w:p w14:paraId="2704F02E" w14:textId="77777777" w:rsidR="00DB4363" w:rsidRPr="00E42681" w:rsidRDefault="00DB4363" w:rsidP="00DB4363">
      <w:pPr>
        <w:pStyle w:val="Nadpis1"/>
        <w:spacing w:before="480"/>
        <w:ind w:left="142"/>
        <w:rPr>
          <w:szCs w:val="24"/>
        </w:rPr>
      </w:pPr>
      <w:r w:rsidRPr="00E42681">
        <w:rPr>
          <w:szCs w:val="24"/>
        </w:rPr>
        <w:br/>
        <w:t>Zpracování osobních údajů</w:t>
      </w:r>
    </w:p>
    <w:p w14:paraId="037ED5AE" w14:textId="77777777" w:rsidR="00DB4363" w:rsidRPr="00E42681" w:rsidRDefault="00DB4363" w:rsidP="00617B77">
      <w:pPr>
        <w:pStyle w:val="Nadpis2"/>
        <w:rPr>
          <w:szCs w:val="24"/>
        </w:rPr>
      </w:pPr>
      <w:r w:rsidRPr="00E42681">
        <w:rPr>
          <w:szCs w:val="24"/>
        </w:rPr>
        <w:t xml:space="preserve">Výrazy, které jsou v tomto článku uvozené velkým písmenem a které nejsou definovány na jiném místě této </w:t>
      </w:r>
      <w:r w:rsidR="007667B6" w:rsidRPr="00E42681">
        <w:rPr>
          <w:szCs w:val="24"/>
        </w:rPr>
        <w:t>S</w:t>
      </w:r>
      <w:r w:rsidRPr="00E42681">
        <w:rPr>
          <w:szCs w:val="24"/>
        </w:rPr>
        <w:t xml:space="preserve">mlouvy, mají tentýž význam, jaký jim přisuzuje nařízení Evropského parlamentu a Rady (EU) 2016/679 (dále jen </w:t>
      </w:r>
      <w:r w:rsidR="00301CFD" w:rsidRPr="00E42681">
        <w:rPr>
          <w:szCs w:val="24"/>
        </w:rPr>
        <w:t>„</w:t>
      </w:r>
      <w:r w:rsidRPr="00E42681">
        <w:rPr>
          <w:b/>
          <w:szCs w:val="24"/>
        </w:rPr>
        <w:t>GDPR</w:t>
      </w:r>
      <w:r w:rsidR="00301CFD" w:rsidRPr="00E42681">
        <w:rPr>
          <w:szCs w:val="24"/>
        </w:rPr>
        <w:t>“</w:t>
      </w:r>
      <w:r w:rsidRPr="00E42681">
        <w:rPr>
          <w:szCs w:val="24"/>
        </w:rPr>
        <w:t>). Dále:</w:t>
      </w:r>
    </w:p>
    <w:p w14:paraId="33D813D5" w14:textId="77777777" w:rsidR="00DB4363" w:rsidRPr="00E42681" w:rsidRDefault="00301CFD" w:rsidP="00E13DFD">
      <w:pPr>
        <w:pStyle w:val="Nadpis3"/>
        <w:numPr>
          <w:ilvl w:val="2"/>
          <w:numId w:val="3"/>
        </w:numPr>
        <w:rPr>
          <w:rFonts w:eastAsia="Calibri" w:cs="Arial"/>
          <w:szCs w:val="24"/>
        </w:rPr>
      </w:pPr>
      <w:r w:rsidRPr="00E42681">
        <w:rPr>
          <w:rFonts w:eastAsia="Calibri" w:cs="Arial"/>
          <w:szCs w:val="24"/>
        </w:rPr>
        <w:t>„</w:t>
      </w:r>
      <w:r w:rsidR="00DB4363" w:rsidRPr="00E42681">
        <w:rPr>
          <w:rFonts w:eastAsia="Calibri" w:cs="Arial"/>
          <w:b/>
          <w:szCs w:val="24"/>
        </w:rPr>
        <w:t>Předpisy na ochranu údajů</w:t>
      </w:r>
      <w:r w:rsidRPr="00E42681">
        <w:rPr>
          <w:rFonts w:eastAsia="Calibri" w:cs="Arial"/>
          <w:szCs w:val="24"/>
        </w:rPr>
        <w:t>“</w:t>
      </w:r>
      <w:r w:rsidR="00DB4363" w:rsidRPr="00E42681">
        <w:rPr>
          <w:rFonts w:eastAsia="Calibri" w:cs="Arial"/>
          <w:szCs w:val="24"/>
        </w:rPr>
        <w:t xml:space="preserve"> znamenají GDPR, Směrnice EU 95/46/ES, 2002/58/ES a 2009/136/ES (každá ve znění implementovaném v příslušném členském státu EU) a/nebo jiné rovnocenné zákony a předpisy, které se na </w:t>
      </w:r>
      <w:r w:rsidR="00FD4513">
        <w:rPr>
          <w:rFonts w:eastAsia="Calibri" w:cs="Arial"/>
          <w:szCs w:val="24"/>
        </w:rPr>
        <w:t xml:space="preserve">Společnost </w:t>
      </w:r>
      <w:proofErr w:type="spellStart"/>
      <w:r w:rsidR="00DB4363" w:rsidRPr="00E42681">
        <w:rPr>
          <w:rFonts w:eastAsia="Calibri" w:cs="Arial"/>
          <w:szCs w:val="24"/>
        </w:rPr>
        <w:t>White</w:t>
      </w:r>
      <w:proofErr w:type="spellEnd"/>
      <w:r w:rsidR="00DB4363" w:rsidRPr="00E42681">
        <w:rPr>
          <w:rFonts w:eastAsia="Calibri" w:cs="Arial"/>
          <w:szCs w:val="24"/>
        </w:rPr>
        <w:t xml:space="preserve"> &amp; Case vztahují kdekoli na světě; a</w:t>
      </w:r>
    </w:p>
    <w:p w14:paraId="037D9EE2" w14:textId="77777777" w:rsidR="00DB4363" w:rsidRPr="00E42681" w:rsidRDefault="00301CFD" w:rsidP="00E13DFD">
      <w:pPr>
        <w:pStyle w:val="Nadpis3"/>
        <w:numPr>
          <w:ilvl w:val="2"/>
          <w:numId w:val="3"/>
        </w:numPr>
        <w:rPr>
          <w:rFonts w:eastAsia="Calibri" w:cs="Arial"/>
          <w:szCs w:val="24"/>
        </w:rPr>
      </w:pPr>
      <w:r w:rsidRPr="00E42681">
        <w:rPr>
          <w:rFonts w:eastAsia="Calibri" w:cs="Arial"/>
          <w:szCs w:val="24"/>
        </w:rPr>
        <w:t>„</w:t>
      </w:r>
      <w:r w:rsidR="00DB4363" w:rsidRPr="00E42681">
        <w:rPr>
          <w:rFonts w:eastAsia="Calibri" w:cs="Arial"/>
          <w:b/>
          <w:szCs w:val="24"/>
        </w:rPr>
        <w:t>Příslušné osobní údaje</w:t>
      </w:r>
      <w:r w:rsidRPr="00E42681">
        <w:rPr>
          <w:rFonts w:eastAsia="Calibri" w:cs="Arial"/>
          <w:szCs w:val="24"/>
        </w:rPr>
        <w:t>“</w:t>
      </w:r>
      <w:r w:rsidR="007667B6" w:rsidRPr="00E42681">
        <w:rPr>
          <w:rFonts w:eastAsia="Calibri" w:cs="Arial"/>
          <w:szCs w:val="24"/>
        </w:rPr>
        <w:t xml:space="preserve"> znamenají</w:t>
      </w:r>
      <w:r w:rsidR="00DB4363" w:rsidRPr="00E42681">
        <w:rPr>
          <w:rFonts w:eastAsia="Calibri" w:cs="Arial"/>
          <w:szCs w:val="24"/>
        </w:rPr>
        <w:t xml:space="preserve"> Osobní údaje Zpracovávan</w:t>
      </w:r>
      <w:r w:rsidR="007667B6" w:rsidRPr="00E42681">
        <w:rPr>
          <w:rFonts w:eastAsia="Calibri" w:cs="Arial"/>
          <w:szCs w:val="24"/>
        </w:rPr>
        <w:t xml:space="preserve">é </w:t>
      </w:r>
      <w:proofErr w:type="spellStart"/>
      <w:r w:rsidR="007667B6" w:rsidRPr="00E42681">
        <w:rPr>
          <w:rFonts w:eastAsia="Calibri" w:cs="Arial"/>
          <w:szCs w:val="24"/>
        </w:rPr>
        <w:t>White</w:t>
      </w:r>
      <w:proofErr w:type="spellEnd"/>
      <w:r w:rsidR="007667B6" w:rsidRPr="00E42681">
        <w:rPr>
          <w:rFonts w:eastAsia="Calibri" w:cs="Arial"/>
          <w:szCs w:val="24"/>
        </w:rPr>
        <w:t xml:space="preserve"> &amp; Case na základě této S</w:t>
      </w:r>
      <w:r w:rsidR="00DB4363" w:rsidRPr="00E42681">
        <w:rPr>
          <w:rFonts w:eastAsia="Calibri" w:cs="Arial"/>
          <w:szCs w:val="24"/>
        </w:rPr>
        <w:t>mlouvy nebo v souvislosti s ní.</w:t>
      </w:r>
    </w:p>
    <w:p w14:paraId="0545090A" w14:textId="77777777" w:rsidR="00DB4363" w:rsidRPr="00E42681" w:rsidRDefault="00DB4363" w:rsidP="00DB4363">
      <w:pPr>
        <w:pStyle w:val="Nadpis2"/>
        <w:ind w:left="709" w:hanging="709"/>
        <w:rPr>
          <w:szCs w:val="24"/>
        </w:rPr>
      </w:pPr>
      <w:bookmarkStart w:id="6" w:name="_Ref497920692"/>
      <w:r w:rsidRPr="00E42681">
        <w:rPr>
          <w:szCs w:val="24"/>
        </w:rPr>
        <w:t xml:space="preserve">Kdykoli bude </w:t>
      </w:r>
      <w:proofErr w:type="spellStart"/>
      <w:r w:rsidRPr="00E42681">
        <w:rPr>
          <w:szCs w:val="24"/>
        </w:rPr>
        <w:t>White</w:t>
      </w:r>
      <w:proofErr w:type="spellEnd"/>
      <w:r w:rsidRPr="00E42681">
        <w:rPr>
          <w:szCs w:val="24"/>
        </w:rPr>
        <w:t xml:space="preserve"> &amp; Case</w:t>
      </w:r>
      <w:r w:rsidRPr="00E42681" w:rsidDel="00A1623C">
        <w:rPr>
          <w:szCs w:val="24"/>
        </w:rPr>
        <w:t xml:space="preserve"> </w:t>
      </w:r>
      <w:r w:rsidR="007667B6" w:rsidRPr="00E42681">
        <w:rPr>
          <w:szCs w:val="24"/>
        </w:rPr>
        <w:t>v kontextu této S</w:t>
      </w:r>
      <w:r w:rsidRPr="00E42681">
        <w:rPr>
          <w:szCs w:val="24"/>
        </w:rPr>
        <w:t>mlouvy Zpracovávat Příslušné osobní údaje, je povinna:</w:t>
      </w:r>
    </w:p>
    <w:p w14:paraId="44787C4E" w14:textId="77777777" w:rsidR="00DB4363" w:rsidRPr="00E42681" w:rsidRDefault="00DB4363" w:rsidP="00E13DFD">
      <w:pPr>
        <w:pStyle w:val="Nadpis3"/>
        <w:numPr>
          <w:ilvl w:val="2"/>
          <w:numId w:val="4"/>
        </w:numPr>
        <w:rPr>
          <w:rFonts w:eastAsia="Calibri" w:cs="Arial"/>
          <w:szCs w:val="24"/>
        </w:rPr>
      </w:pPr>
      <w:r w:rsidRPr="00E42681">
        <w:rPr>
          <w:rFonts w:eastAsia="Calibri" w:cs="Arial"/>
          <w:szCs w:val="24"/>
        </w:rPr>
        <w:t>zajistit, aby toto Zpracování probíhalo v souladu s příslušnými Předpisy na ochranu údajů a v souladu s</w:t>
      </w:r>
      <w:r w:rsidR="007667B6" w:rsidRPr="00E42681">
        <w:rPr>
          <w:rFonts w:eastAsia="Calibri" w:cs="Arial"/>
          <w:szCs w:val="24"/>
        </w:rPr>
        <w:t xml:space="preserve">e směrnicí </w:t>
      </w:r>
      <w:r w:rsidR="00A00CF8">
        <w:rPr>
          <w:rFonts w:eastAsia="Calibri" w:cs="Arial"/>
          <w:szCs w:val="24"/>
        </w:rPr>
        <w:t xml:space="preserve">Společnosti </w:t>
      </w:r>
      <w:proofErr w:type="spellStart"/>
      <w:r w:rsidRPr="00E42681">
        <w:rPr>
          <w:rFonts w:eastAsia="Calibri" w:cs="Arial"/>
          <w:szCs w:val="24"/>
        </w:rPr>
        <w:t>White</w:t>
      </w:r>
      <w:proofErr w:type="spellEnd"/>
      <w:r w:rsidRPr="00E42681">
        <w:rPr>
          <w:rFonts w:eastAsia="Calibri" w:cs="Arial"/>
          <w:szCs w:val="24"/>
        </w:rPr>
        <w:t xml:space="preserve"> &amp; Case</w:t>
      </w:r>
      <w:r w:rsidRPr="00E42681" w:rsidDel="00A1623C">
        <w:rPr>
          <w:rFonts w:eastAsia="Calibri" w:cs="Arial"/>
          <w:szCs w:val="24"/>
        </w:rPr>
        <w:t xml:space="preserve"> </w:t>
      </w:r>
      <w:r w:rsidRPr="00E42681">
        <w:rPr>
          <w:rFonts w:eastAsia="Calibri" w:cs="Arial"/>
          <w:szCs w:val="24"/>
        </w:rPr>
        <w:t xml:space="preserve">o zpracování osobních údajů, která je k dispozici na webových stránkách </w:t>
      </w:r>
      <w:hyperlink r:id="rId8" w:history="1">
        <w:r w:rsidRPr="00E42681">
          <w:rPr>
            <w:rFonts w:eastAsia="Arial"/>
            <w:color w:val="0000FF"/>
            <w:szCs w:val="24"/>
            <w:u w:val="single"/>
          </w:rPr>
          <w:t>www.whitecase.com</w:t>
        </w:r>
      </w:hyperlink>
      <w:r w:rsidRPr="00E42681">
        <w:rPr>
          <w:rFonts w:eastAsia="Arial"/>
          <w:szCs w:val="24"/>
        </w:rPr>
        <w:t xml:space="preserve"> </w:t>
      </w:r>
      <w:r w:rsidRPr="00E42681">
        <w:rPr>
          <w:rFonts w:eastAsia="Calibri" w:cs="Arial"/>
          <w:szCs w:val="24"/>
        </w:rPr>
        <w:t xml:space="preserve">(dále jen </w:t>
      </w:r>
      <w:r w:rsidR="00301CFD" w:rsidRPr="00E42681">
        <w:rPr>
          <w:rFonts w:eastAsia="Calibri" w:cs="Arial"/>
          <w:szCs w:val="24"/>
        </w:rPr>
        <w:t>„</w:t>
      </w:r>
      <w:r w:rsidR="007667B6" w:rsidRPr="00E42681">
        <w:rPr>
          <w:rFonts w:eastAsia="Calibri" w:cs="Arial"/>
          <w:b/>
          <w:szCs w:val="24"/>
        </w:rPr>
        <w:t xml:space="preserve">Směrnice </w:t>
      </w:r>
      <w:r w:rsidR="00A00CF8">
        <w:rPr>
          <w:rFonts w:eastAsia="Calibri" w:cs="Arial"/>
          <w:b/>
          <w:szCs w:val="24"/>
        </w:rPr>
        <w:t xml:space="preserve">Společnosti </w:t>
      </w:r>
      <w:proofErr w:type="spellStart"/>
      <w:r w:rsidRPr="00E42681">
        <w:rPr>
          <w:rFonts w:eastAsia="Calibri" w:cs="Arial"/>
          <w:b/>
          <w:szCs w:val="24"/>
        </w:rPr>
        <w:t>White</w:t>
      </w:r>
      <w:proofErr w:type="spellEnd"/>
      <w:r w:rsidRPr="00E42681">
        <w:rPr>
          <w:rFonts w:eastAsia="Calibri" w:cs="Arial"/>
          <w:b/>
          <w:szCs w:val="24"/>
        </w:rPr>
        <w:t xml:space="preserve"> &amp; Case</w:t>
      </w:r>
      <w:r w:rsidR="00301CFD" w:rsidRPr="00E42681">
        <w:rPr>
          <w:rFonts w:eastAsia="Calibri" w:cs="Arial"/>
          <w:szCs w:val="24"/>
        </w:rPr>
        <w:t>“</w:t>
      </w:r>
      <w:r w:rsidRPr="00E42681">
        <w:rPr>
          <w:rFonts w:eastAsia="Calibri" w:cs="Arial"/>
          <w:szCs w:val="24"/>
        </w:rPr>
        <w:t xml:space="preserve">); </w:t>
      </w:r>
    </w:p>
    <w:p w14:paraId="5D45949A" w14:textId="77777777" w:rsidR="00DB4363" w:rsidRPr="00E42681" w:rsidRDefault="00DB4363" w:rsidP="00E13DFD">
      <w:pPr>
        <w:pStyle w:val="Nadpis3"/>
        <w:numPr>
          <w:ilvl w:val="2"/>
          <w:numId w:val="4"/>
        </w:numPr>
        <w:rPr>
          <w:rFonts w:eastAsia="Calibri" w:cs="Arial"/>
          <w:szCs w:val="24"/>
        </w:rPr>
      </w:pPr>
      <w:r w:rsidRPr="00E42681">
        <w:rPr>
          <w:rFonts w:eastAsia="Calibri" w:cs="Arial"/>
          <w:szCs w:val="24"/>
        </w:rPr>
        <w:t>přijmout odpovídající technická a organizační opatření na ochranu Příslušných osobních údajů před neoprávněným nebo nezákonným Zpracováním; a</w:t>
      </w:r>
    </w:p>
    <w:p w14:paraId="5162B0BC" w14:textId="77777777" w:rsidR="00DB4363" w:rsidRPr="00E42681" w:rsidRDefault="00DB4363" w:rsidP="00E13DFD">
      <w:pPr>
        <w:pStyle w:val="Nadpis3"/>
        <w:numPr>
          <w:ilvl w:val="2"/>
          <w:numId w:val="4"/>
        </w:numPr>
        <w:rPr>
          <w:rFonts w:eastAsia="Calibri" w:cs="Arial"/>
          <w:szCs w:val="24"/>
        </w:rPr>
      </w:pPr>
      <w:r w:rsidRPr="00E42681">
        <w:rPr>
          <w:rFonts w:eastAsia="Calibri" w:cs="Arial"/>
          <w:szCs w:val="24"/>
        </w:rPr>
        <w:t>zajistit, aby Příslušné osobní údaje byly zpřístupněny výhradně těm zaměstnancům a osobám spolupracujícím</w:t>
      </w:r>
      <w:r w:rsidR="00A00CF8">
        <w:rPr>
          <w:rFonts w:eastAsia="Calibri" w:cs="Arial"/>
          <w:szCs w:val="24"/>
        </w:rPr>
        <w:t xml:space="preserve"> se Společností </w:t>
      </w:r>
      <w:proofErr w:type="spellStart"/>
      <w:r w:rsidRPr="00E42681">
        <w:rPr>
          <w:rFonts w:eastAsia="Calibri" w:cs="Arial"/>
          <w:szCs w:val="24"/>
        </w:rPr>
        <w:t>White</w:t>
      </w:r>
      <w:proofErr w:type="spellEnd"/>
      <w:r w:rsidRPr="00E42681">
        <w:rPr>
          <w:rFonts w:eastAsia="Calibri" w:cs="Arial"/>
          <w:szCs w:val="24"/>
        </w:rPr>
        <w:t xml:space="preserve"> &amp; Case, kteří k jejich Zpracování mají oprávněný důvod s ohledem na plnění svých pracovních povinností.</w:t>
      </w:r>
    </w:p>
    <w:p w14:paraId="5222FF80" w14:textId="77777777" w:rsidR="00DB4363" w:rsidRPr="00E42681" w:rsidRDefault="00BE6F6C" w:rsidP="00DB4363">
      <w:pPr>
        <w:pStyle w:val="Nadpis2"/>
        <w:ind w:left="709" w:hanging="709"/>
        <w:rPr>
          <w:szCs w:val="24"/>
        </w:rPr>
      </w:pPr>
      <w:r>
        <w:rPr>
          <w:rFonts w:cs="Arial"/>
          <w:noProof/>
          <w:szCs w:val="24"/>
        </w:rPr>
        <w:t>ČDT</w:t>
      </w:r>
      <w:r w:rsidR="00DB4363" w:rsidRPr="00E42681">
        <w:rPr>
          <w:rFonts w:cs="Arial"/>
          <w:noProof/>
          <w:szCs w:val="24"/>
        </w:rPr>
        <w:t xml:space="preserve"> ber</w:t>
      </w:r>
      <w:r w:rsidR="00365DE1">
        <w:rPr>
          <w:rFonts w:cs="Arial"/>
          <w:noProof/>
          <w:szCs w:val="24"/>
        </w:rPr>
        <w:t>e</w:t>
      </w:r>
      <w:r w:rsidR="00DB4363" w:rsidRPr="00E42681">
        <w:rPr>
          <w:szCs w:val="24"/>
        </w:rPr>
        <w:t xml:space="preserve"> na vědomí, že </w:t>
      </w:r>
      <w:r>
        <w:rPr>
          <w:rFonts w:cs="Arial"/>
          <w:noProof/>
          <w:szCs w:val="24"/>
        </w:rPr>
        <w:t>ČDT</w:t>
      </w:r>
      <w:r w:rsidR="00DB4363" w:rsidRPr="00E42681">
        <w:rPr>
          <w:rFonts w:cs="Arial"/>
          <w:noProof/>
          <w:szCs w:val="24"/>
        </w:rPr>
        <w:t xml:space="preserve"> a</w:t>
      </w:r>
      <w:r w:rsidR="00DB4363" w:rsidRPr="00E42681">
        <w:rPr>
          <w:szCs w:val="24"/>
        </w:rPr>
        <w:t xml:space="preserve"> </w:t>
      </w:r>
      <w:proofErr w:type="spellStart"/>
      <w:r w:rsidR="00DB4363" w:rsidRPr="00E42681">
        <w:rPr>
          <w:rFonts w:eastAsia="Calibri" w:cs="Arial"/>
          <w:szCs w:val="24"/>
        </w:rPr>
        <w:t>White</w:t>
      </w:r>
      <w:proofErr w:type="spellEnd"/>
      <w:r w:rsidR="00DB4363" w:rsidRPr="00E42681">
        <w:rPr>
          <w:rFonts w:eastAsia="Calibri" w:cs="Arial"/>
          <w:szCs w:val="24"/>
        </w:rPr>
        <w:t xml:space="preserve"> &amp; Case</w:t>
      </w:r>
      <w:r w:rsidR="00DB4363" w:rsidRPr="00E42681" w:rsidDel="00A1623C">
        <w:rPr>
          <w:szCs w:val="24"/>
        </w:rPr>
        <w:t xml:space="preserve"> </w:t>
      </w:r>
      <w:r w:rsidR="00DB4363" w:rsidRPr="00E42681">
        <w:rPr>
          <w:szCs w:val="24"/>
        </w:rPr>
        <w:t>jsou v rámci tohoto Zpracování každý Správcem, který sám</w:t>
      </w:r>
      <w:r w:rsidR="007667B6" w:rsidRPr="00E42681">
        <w:rPr>
          <w:szCs w:val="24"/>
        </w:rPr>
        <w:t xml:space="preserve"> nezávisle</w:t>
      </w:r>
      <w:r w:rsidR="00DB4363" w:rsidRPr="00E42681">
        <w:rPr>
          <w:szCs w:val="24"/>
        </w:rPr>
        <w:t xml:space="preserve"> určuje účely a prostředky Zpracování Příslušných osobních údajů.</w:t>
      </w:r>
    </w:p>
    <w:p w14:paraId="23B0BE39" w14:textId="77777777" w:rsidR="00DB4363" w:rsidRPr="00E42681" w:rsidRDefault="00DB4363" w:rsidP="00DB4363">
      <w:pPr>
        <w:pStyle w:val="Nadpis2"/>
        <w:ind w:left="709" w:hanging="709"/>
        <w:rPr>
          <w:szCs w:val="24"/>
        </w:rPr>
      </w:pPr>
      <w:proofErr w:type="spellStart"/>
      <w:r w:rsidRPr="00E42681">
        <w:rPr>
          <w:rFonts w:eastAsia="Calibri" w:cs="Arial"/>
          <w:szCs w:val="24"/>
        </w:rPr>
        <w:t>White</w:t>
      </w:r>
      <w:proofErr w:type="spellEnd"/>
      <w:r w:rsidRPr="00E42681">
        <w:rPr>
          <w:rFonts w:eastAsia="Calibri" w:cs="Arial"/>
          <w:szCs w:val="24"/>
        </w:rPr>
        <w:t xml:space="preserve"> &amp; Case</w:t>
      </w:r>
      <w:r w:rsidRPr="00E42681" w:rsidDel="00A1623C">
        <w:rPr>
          <w:szCs w:val="24"/>
        </w:rPr>
        <w:t xml:space="preserve"> </w:t>
      </w:r>
      <w:r w:rsidRPr="00E42681">
        <w:rPr>
          <w:szCs w:val="24"/>
        </w:rPr>
        <w:t>může Příslušné osobní údaje Zpraco</w:t>
      </w:r>
      <w:r w:rsidR="00745651" w:rsidRPr="00E42681">
        <w:rPr>
          <w:szCs w:val="24"/>
        </w:rPr>
        <w:t>vávat pro účely uvedené v této S</w:t>
      </w:r>
      <w:r w:rsidRPr="00E42681">
        <w:rPr>
          <w:szCs w:val="24"/>
        </w:rPr>
        <w:t xml:space="preserve">mlouvě a ve </w:t>
      </w:r>
      <w:r w:rsidR="00745651" w:rsidRPr="00E42681">
        <w:rPr>
          <w:rFonts w:eastAsia="Calibri" w:cs="Arial"/>
          <w:szCs w:val="24"/>
        </w:rPr>
        <w:t xml:space="preserve">Směrnici </w:t>
      </w:r>
      <w:r w:rsidR="00A00CF8">
        <w:rPr>
          <w:rFonts w:eastAsia="Calibri" w:cs="Arial"/>
          <w:szCs w:val="24"/>
        </w:rPr>
        <w:t xml:space="preserve">Společnosti </w:t>
      </w:r>
      <w:proofErr w:type="spellStart"/>
      <w:r w:rsidRPr="00E42681">
        <w:rPr>
          <w:rFonts w:eastAsia="Calibri" w:cs="Arial"/>
          <w:szCs w:val="24"/>
        </w:rPr>
        <w:t>White</w:t>
      </w:r>
      <w:proofErr w:type="spellEnd"/>
      <w:r w:rsidRPr="00E42681">
        <w:rPr>
          <w:rFonts w:eastAsia="Calibri" w:cs="Arial"/>
          <w:szCs w:val="24"/>
        </w:rPr>
        <w:t xml:space="preserve"> &amp; Case</w:t>
      </w:r>
      <w:r w:rsidRPr="00E42681">
        <w:rPr>
          <w:szCs w:val="24"/>
        </w:rPr>
        <w:t>.</w:t>
      </w:r>
    </w:p>
    <w:p w14:paraId="4E7E59B0" w14:textId="77777777" w:rsidR="00DB4363" w:rsidRPr="00E42681" w:rsidRDefault="00365DE1" w:rsidP="00DB4363">
      <w:pPr>
        <w:pStyle w:val="Nadpis2"/>
        <w:ind w:left="709" w:hanging="709"/>
        <w:rPr>
          <w:szCs w:val="24"/>
        </w:rPr>
      </w:pPr>
      <w:r>
        <w:rPr>
          <w:szCs w:val="24"/>
        </w:rPr>
        <w:t>Pokud bude</w:t>
      </w:r>
      <w:r w:rsidR="00DB4363" w:rsidRPr="00E42681">
        <w:rPr>
          <w:szCs w:val="24"/>
        </w:rPr>
        <w:t xml:space="preserve"> </w:t>
      </w:r>
      <w:r w:rsidR="00BE6F6C">
        <w:rPr>
          <w:szCs w:val="24"/>
        </w:rPr>
        <w:t>ČDT</w:t>
      </w:r>
      <w:r w:rsidR="00DB4363" w:rsidRPr="00E42681">
        <w:rPr>
          <w:szCs w:val="24"/>
        </w:rPr>
        <w:t xml:space="preserve"> </w:t>
      </w:r>
      <w:proofErr w:type="spellStart"/>
      <w:r w:rsidR="00DB4363" w:rsidRPr="00E42681">
        <w:rPr>
          <w:rFonts w:eastAsia="Calibri" w:cs="Arial"/>
          <w:szCs w:val="24"/>
        </w:rPr>
        <w:t>White</w:t>
      </w:r>
      <w:proofErr w:type="spellEnd"/>
      <w:r w:rsidR="00DB4363" w:rsidRPr="00E42681">
        <w:rPr>
          <w:rFonts w:eastAsia="Calibri" w:cs="Arial"/>
          <w:szCs w:val="24"/>
        </w:rPr>
        <w:t xml:space="preserve"> &amp; Case</w:t>
      </w:r>
      <w:r w:rsidR="00DB4363" w:rsidRPr="00E42681" w:rsidDel="00A1623C">
        <w:rPr>
          <w:rFonts w:eastAsia="Calibri" w:cs="Arial"/>
          <w:szCs w:val="24"/>
        </w:rPr>
        <w:t xml:space="preserve"> </w:t>
      </w:r>
      <w:r w:rsidR="00DB4363" w:rsidRPr="00E42681">
        <w:rPr>
          <w:szCs w:val="24"/>
        </w:rPr>
        <w:t xml:space="preserve">zpřístupňovat Osobní údaje, </w:t>
      </w:r>
      <w:r>
        <w:rPr>
          <w:szCs w:val="24"/>
        </w:rPr>
        <w:t>je povinna</w:t>
      </w:r>
      <w:r w:rsidR="00DB4363" w:rsidRPr="00E42681">
        <w:rPr>
          <w:szCs w:val="24"/>
        </w:rPr>
        <w:t xml:space="preserve"> se ještě před jejich předáním ujistit, že jsou k tomu ze zákona oprávněn</w:t>
      </w:r>
      <w:bookmarkEnd w:id="6"/>
      <w:r w:rsidR="00DB4363" w:rsidRPr="00E42681">
        <w:rPr>
          <w:szCs w:val="24"/>
        </w:rPr>
        <w:t xml:space="preserve">y. </w:t>
      </w:r>
      <w:r w:rsidR="00BE6F6C">
        <w:rPr>
          <w:rFonts w:cs="Arial"/>
          <w:noProof/>
          <w:szCs w:val="24"/>
        </w:rPr>
        <w:t>ČDT</w:t>
      </w:r>
      <w:r w:rsidR="00DB4363" w:rsidRPr="00E42681">
        <w:rPr>
          <w:rFonts w:cs="Arial"/>
          <w:noProof/>
          <w:szCs w:val="24"/>
        </w:rPr>
        <w:t xml:space="preserve"> se v</w:t>
      </w:r>
      <w:r w:rsidR="00DB4363" w:rsidRPr="00E42681">
        <w:rPr>
          <w:szCs w:val="24"/>
        </w:rPr>
        <w:t> ma</w:t>
      </w:r>
      <w:r>
        <w:rPr>
          <w:szCs w:val="24"/>
        </w:rPr>
        <w:t>ximálním možném rozsahu zavazuje</w:t>
      </w:r>
      <w:r w:rsidR="00DB4363" w:rsidRPr="00E42681">
        <w:rPr>
          <w:szCs w:val="24"/>
        </w:rPr>
        <w:t xml:space="preserve"> zajistit, </w:t>
      </w:r>
      <w:r>
        <w:rPr>
          <w:szCs w:val="24"/>
        </w:rPr>
        <w:t>že poskytne</w:t>
      </w:r>
      <w:r w:rsidR="00720EC5" w:rsidRPr="00E42681">
        <w:rPr>
          <w:szCs w:val="24"/>
        </w:rPr>
        <w:t xml:space="preserve"> Směrnici</w:t>
      </w:r>
      <w:r w:rsidR="00DB4363" w:rsidRPr="00E42681">
        <w:rPr>
          <w:szCs w:val="24"/>
        </w:rPr>
        <w:t xml:space="preserve"> </w:t>
      </w:r>
      <w:r w:rsidR="001B0342">
        <w:rPr>
          <w:szCs w:val="24"/>
        </w:rPr>
        <w:t xml:space="preserve">Společnosti </w:t>
      </w:r>
      <w:proofErr w:type="spellStart"/>
      <w:r w:rsidR="00DB4363" w:rsidRPr="00E42681">
        <w:rPr>
          <w:szCs w:val="24"/>
        </w:rPr>
        <w:t>White</w:t>
      </w:r>
      <w:proofErr w:type="spellEnd"/>
      <w:r w:rsidR="00DB4363" w:rsidRPr="00E42681">
        <w:rPr>
          <w:szCs w:val="24"/>
        </w:rPr>
        <w:t xml:space="preserve"> &amp; Case dotčeným Subjektům údajů ještě před zpřístupněním jejich Osobních údajů </w:t>
      </w:r>
      <w:proofErr w:type="spellStart"/>
      <w:r w:rsidR="00DB4363" w:rsidRPr="00E42681">
        <w:rPr>
          <w:rFonts w:eastAsia="Calibri" w:cs="Arial"/>
          <w:szCs w:val="24"/>
        </w:rPr>
        <w:t>White</w:t>
      </w:r>
      <w:proofErr w:type="spellEnd"/>
      <w:r w:rsidR="00DB4363" w:rsidRPr="00E42681">
        <w:rPr>
          <w:rFonts w:eastAsia="Calibri" w:cs="Arial"/>
          <w:szCs w:val="24"/>
        </w:rPr>
        <w:t xml:space="preserve"> &amp; Case</w:t>
      </w:r>
      <w:r w:rsidR="00DB4363" w:rsidRPr="00E42681">
        <w:rPr>
          <w:szCs w:val="24"/>
        </w:rPr>
        <w:t xml:space="preserve">, ledaže </w:t>
      </w:r>
      <w:r w:rsidR="00720EC5" w:rsidRPr="00E42681">
        <w:rPr>
          <w:szCs w:val="24"/>
        </w:rPr>
        <w:t xml:space="preserve">Směrnice </w:t>
      </w:r>
      <w:r w:rsidR="001B0342">
        <w:rPr>
          <w:szCs w:val="24"/>
        </w:rPr>
        <w:t xml:space="preserve">Společnosti </w:t>
      </w:r>
      <w:proofErr w:type="spellStart"/>
      <w:r w:rsidR="00DB4363" w:rsidRPr="00E42681">
        <w:rPr>
          <w:szCs w:val="24"/>
        </w:rPr>
        <w:t>White</w:t>
      </w:r>
      <w:proofErr w:type="spellEnd"/>
      <w:r w:rsidR="00DB4363" w:rsidRPr="00E42681">
        <w:rPr>
          <w:szCs w:val="24"/>
        </w:rPr>
        <w:t xml:space="preserve"> &amp; Case byla dotčeným Subjektům údajů poskytnuta již dříve.</w:t>
      </w:r>
    </w:p>
    <w:p w14:paraId="60438BA1" w14:textId="77777777" w:rsidR="00ED01DD" w:rsidRPr="00E42681" w:rsidRDefault="00ED01DD" w:rsidP="00ED01DD">
      <w:pPr>
        <w:pStyle w:val="Nadpis1"/>
        <w:spacing w:before="480"/>
        <w:rPr>
          <w:szCs w:val="24"/>
        </w:rPr>
      </w:pPr>
      <w:r w:rsidRPr="00E42681">
        <w:rPr>
          <w:szCs w:val="24"/>
        </w:rPr>
        <w:lastRenderedPageBreak/>
        <w:br/>
        <w:t>Výpověď Smlouvy</w:t>
      </w:r>
    </w:p>
    <w:p w14:paraId="1A507F66" w14:textId="77777777" w:rsidR="00ED01DD" w:rsidRPr="00E42681" w:rsidRDefault="00E662BB" w:rsidP="00ED01DD">
      <w:pPr>
        <w:pStyle w:val="Nadpis2"/>
        <w:rPr>
          <w:szCs w:val="24"/>
        </w:rPr>
      </w:pPr>
      <w:r w:rsidRPr="00E42681">
        <w:rPr>
          <w:szCs w:val="24"/>
        </w:rPr>
        <w:t>Smluvní vztah na základě této Smlouvy končí</w:t>
      </w:r>
      <w:r w:rsidR="00634DDF" w:rsidRPr="00E42681">
        <w:rPr>
          <w:szCs w:val="24"/>
        </w:rPr>
        <w:t xml:space="preserve"> </w:t>
      </w:r>
      <w:r w:rsidR="005C54C5" w:rsidRPr="00E42681">
        <w:rPr>
          <w:szCs w:val="24"/>
        </w:rPr>
        <w:t xml:space="preserve">uhrazením </w:t>
      </w:r>
      <w:r w:rsidR="00674BEC">
        <w:rPr>
          <w:szCs w:val="24"/>
        </w:rPr>
        <w:t xml:space="preserve">závěrečné </w:t>
      </w:r>
      <w:r w:rsidR="005C54C5" w:rsidRPr="00E42681">
        <w:rPr>
          <w:szCs w:val="24"/>
        </w:rPr>
        <w:t xml:space="preserve">faktury za </w:t>
      </w:r>
      <w:r w:rsidR="00EF6D13">
        <w:rPr>
          <w:szCs w:val="24"/>
        </w:rPr>
        <w:t>Poradenství</w:t>
      </w:r>
      <w:r w:rsidR="00634DDF" w:rsidRPr="00E42681">
        <w:rPr>
          <w:szCs w:val="24"/>
        </w:rPr>
        <w:t xml:space="preserve"> </w:t>
      </w:r>
      <w:r w:rsidR="005C54C5" w:rsidRPr="00E42681">
        <w:rPr>
          <w:szCs w:val="24"/>
        </w:rPr>
        <w:t xml:space="preserve">ze strany </w:t>
      </w:r>
      <w:r w:rsidR="00BE6F6C">
        <w:rPr>
          <w:szCs w:val="24"/>
        </w:rPr>
        <w:t>ČDT</w:t>
      </w:r>
      <w:r w:rsidR="00634DDF" w:rsidRPr="00E42681">
        <w:rPr>
          <w:szCs w:val="24"/>
        </w:rPr>
        <w:t>.</w:t>
      </w:r>
    </w:p>
    <w:p w14:paraId="1D3432B7" w14:textId="77777777" w:rsidR="00ED01DD" w:rsidRPr="00E42681" w:rsidRDefault="00ED01DD" w:rsidP="00ED01DD">
      <w:pPr>
        <w:pStyle w:val="Nadpis2"/>
        <w:rPr>
          <w:szCs w:val="24"/>
        </w:rPr>
      </w:pPr>
      <w:r w:rsidRPr="00E42681">
        <w:rPr>
          <w:szCs w:val="24"/>
        </w:rPr>
        <w:t xml:space="preserve">Jak </w:t>
      </w:r>
      <w:r w:rsidR="00BE6F6C">
        <w:rPr>
          <w:szCs w:val="24"/>
        </w:rPr>
        <w:t>ČDT</w:t>
      </w:r>
      <w:r w:rsidRPr="00E42681">
        <w:rPr>
          <w:szCs w:val="24"/>
        </w:rPr>
        <w:t xml:space="preserve">, tak </w:t>
      </w:r>
      <w:proofErr w:type="spellStart"/>
      <w:r w:rsidRPr="00E42681">
        <w:rPr>
          <w:szCs w:val="24"/>
        </w:rPr>
        <w:t>White</w:t>
      </w:r>
      <w:proofErr w:type="spellEnd"/>
      <w:r w:rsidRPr="00E42681">
        <w:rPr>
          <w:szCs w:val="24"/>
        </w:rPr>
        <w:t xml:space="preserve"> &amp; Case mohou ukončit smluvní vztah na základě této Smlouvy kdykoliv po předání písemné výpovědi druhé straně, avšak za podmínky, že ihned po takové výpovědi </w:t>
      </w:r>
      <w:r w:rsidR="00BE6F6C">
        <w:rPr>
          <w:szCs w:val="24"/>
        </w:rPr>
        <w:t>ČDT</w:t>
      </w:r>
      <w:r w:rsidRPr="00E42681">
        <w:rPr>
          <w:szCs w:val="24"/>
        </w:rPr>
        <w:t xml:space="preserve"> poskytne </w:t>
      </w:r>
      <w:proofErr w:type="spellStart"/>
      <w:r w:rsidRPr="00E42681">
        <w:rPr>
          <w:szCs w:val="24"/>
        </w:rPr>
        <w:t>White</w:t>
      </w:r>
      <w:proofErr w:type="spellEnd"/>
      <w:r w:rsidRPr="00E42681">
        <w:rPr>
          <w:szCs w:val="24"/>
        </w:rPr>
        <w:t xml:space="preserve"> &amp; Case úhradu za zbývající část již vynaloženého pracovního času, vynaložených nákladů a ostatních výloh.</w:t>
      </w:r>
    </w:p>
    <w:p w14:paraId="768A54F8" w14:textId="77777777" w:rsidR="00ED01DD" w:rsidRPr="00E42681" w:rsidRDefault="00ED01DD" w:rsidP="00ED01DD">
      <w:pPr>
        <w:pStyle w:val="Nadpis2"/>
        <w:rPr>
          <w:szCs w:val="24"/>
        </w:rPr>
      </w:pPr>
      <w:r w:rsidRPr="00E42681">
        <w:rPr>
          <w:szCs w:val="24"/>
        </w:rPr>
        <w:t xml:space="preserve">V případě zániku této Smlouvy z důvodu na straně </w:t>
      </w:r>
      <w:r w:rsidR="00BE6F6C">
        <w:rPr>
          <w:szCs w:val="24"/>
        </w:rPr>
        <w:t>ČDT</w:t>
      </w:r>
      <w:r w:rsidRPr="00E42681">
        <w:rPr>
          <w:szCs w:val="24"/>
        </w:rPr>
        <w:t xml:space="preserve"> či </w:t>
      </w:r>
      <w:proofErr w:type="spellStart"/>
      <w:r w:rsidRPr="00E42681">
        <w:rPr>
          <w:szCs w:val="24"/>
        </w:rPr>
        <w:t>White</w:t>
      </w:r>
      <w:proofErr w:type="spellEnd"/>
      <w:r w:rsidRPr="00E42681">
        <w:rPr>
          <w:szCs w:val="24"/>
        </w:rPr>
        <w:t xml:space="preserve"> &amp; Case, zajistí </w:t>
      </w:r>
      <w:proofErr w:type="spellStart"/>
      <w:r w:rsidRPr="00E42681">
        <w:rPr>
          <w:szCs w:val="24"/>
        </w:rPr>
        <w:t>White</w:t>
      </w:r>
      <w:proofErr w:type="spellEnd"/>
      <w:r w:rsidRPr="00E42681">
        <w:rPr>
          <w:szCs w:val="24"/>
        </w:rPr>
        <w:t xml:space="preserve"> &amp; Case učinění neodkladných úkonů tak, aby </w:t>
      </w:r>
      <w:r w:rsidR="00BE6F6C">
        <w:rPr>
          <w:szCs w:val="24"/>
        </w:rPr>
        <w:t>ČDT</w:t>
      </w:r>
      <w:r w:rsidR="00365DE1">
        <w:rPr>
          <w:szCs w:val="24"/>
        </w:rPr>
        <w:t xml:space="preserve"> neutrpěla</w:t>
      </w:r>
      <w:r w:rsidRPr="00E42681">
        <w:rPr>
          <w:szCs w:val="24"/>
        </w:rPr>
        <w:t xml:space="preserve"> na svých právech nebo oprávněných zájmech újmu v souladu s § 20 odst. 6 Zákona o advokacii a § 2442 zákona č. 89/2012 Sb., občanský zákoník (dále jen </w:t>
      </w:r>
      <w:r w:rsidR="00301CFD" w:rsidRPr="00E42681">
        <w:rPr>
          <w:szCs w:val="24"/>
        </w:rPr>
        <w:t>„</w:t>
      </w:r>
      <w:r w:rsidRPr="00E42681">
        <w:rPr>
          <w:b/>
          <w:szCs w:val="24"/>
        </w:rPr>
        <w:t>Občanský zákoník</w:t>
      </w:r>
      <w:r w:rsidR="00301CFD" w:rsidRPr="00E42681">
        <w:rPr>
          <w:szCs w:val="24"/>
        </w:rPr>
        <w:t>“</w:t>
      </w:r>
      <w:r w:rsidRPr="00E42681">
        <w:rPr>
          <w:szCs w:val="24"/>
        </w:rPr>
        <w:t xml:space="preserve">). To neplatí, pokud </w:t>
      </w:r>
      <w:r w:rsidR="00BE6F6C">
        <w:rPr>
          <w:szCs w:val="24"/>
        </w:rPr>
        <w:t>ČDT</w:t>
      </w:r>
      <w:r w:rsidRPr="00E42681">
        <w:rPr>
          <w:szCs w:val="24"/>
        </w:rPr>
        <w:t xml:space="preserve"> </w:t>
      </w:r>
      <w:proofErr w:type="spellStart"/>
      <w:r w:rsidRPr="00E42681">
        <w:rPr>
          <w:szCs w:val="24"/>
        </w:rPr>
        <w:t>White</w:t>
      </w:r>
      <w:proofErr w:type="spellEnd"/>
      <w:r w:rsidRPr="00E42681">
        <w:rPr>
          <w:szCs w:val="24"/>
        </w:rPr>
        <w:t xml:space="preserve"> &amp; Case sdělí, že na splnění této povinnosti netrvá.</w:t>
      </w:r>
    </w:p>
    <w:p w14:paraId="33EA9AAA" w14:textId="77777777" w:rsidR="00ED0646" w:rsidRPr="00E42681" w:rsidRDefault="00ED0646" w:rsidP="00ED0646">
      <w:pPr>
        <w:pStyle w:val="Nadpis2"/>
        <w:rPr>
          <w:szCs w:val="24"/>
        </w:rPr>
      </w:pPr>
      <w:proofErr w:type="spellStart"/>
      <w:r w:rsidRPr="00E42681">
        <w:rPr>
          <w:szCs w:val="24"/>
        </w:rPr>
        <w:t>White</w:t>
      </w:r>
      <w:proofErr w:type="spellEnd"/>
      <w:r w:rsidRPr="00E42681">
        <w:rPr>
          <w:szCs w:val="24"/>
        </w:rPr>
        <w:t xml:space="preserve"> &amp; Case si vyhrazuje právo smluvní vztah založený touto Smlouvou s okamžitou účinností písemně vypovědět v případech stanovených v § 15 zákona č. 253/2008 Sb. o některých opatřeních proti legalizaci výnosů z trestné činnosti a financování terorismu, v platném znění.</w:t>
      </w:r>
    </w:p>
    <w:p w14:paraId="4A3C4D3D" w14:textId="77777777" w:rsidR="00ED01DD" w:rsidRPr="00E42681" w:rsidRDefault="00ED01DD" w:rsidP="00ED01DD">
      <w:pPr>
        <w:pStyle w:val="Nadpis1"/>
        <w:spacing w:before="480"/>
        <w:rPr>
          <w:szCs w:val="24"/>
        </w:rPr>
      </w:pPr>
      <w:r w:rsidRPr="00E42681">
        <w:rPr>
          <w:szCs w:val="24"/>
        </w:rPr>
        <w:br/>
        <w:t>Povinnost zachovávat mlčenlivost</w:t>
      </w:r>
    </w:p>
    <w:p w14:paraId="066C0311" w14:textId="77777777" w:rsidR="00403104" w:rsidRPr="00E42681" w:rsidRDefault="00403104" w:rsidP="00403104">
      <w:pPr>
        <w:pStyle w:val="Nadpis2"/>
        <w:rPr>
          <w:szCs w:val="24"/>
        </w:rPr>
      </w:pPr>
      <w:r w:rsidRPr="00E42681">
        <w:rPr>
          <w:szCs w:val="24"/>
        </w:rPr>
        <w:t xml:space="preserve">Společnost </w:t>
      </w:r>
      <w:proofErr w:type="spellStart"/>
      <w:r w:rsidRPr="00E42681">
        <w:rPr>
          <w:szCs w:val="24"/>
        </w:rPr>
        <w:t>White</w:t>
      </w:r>
      <w:proofErr w:type="spellEnd"/>
      <w:r w:rsidRPr="00E42681">
        <w:rPr>
          <w:szCs w:val="24"/>
        </w:rPr>
        <w:t xml:space="preserve"> &amp; Case zavedla program (systém vnitřních zásad) proti praní špinavých peněz (dále jen „</w:t>
      </w:r>
      <w:r w:rsidRPr="00E42681">
        <w:rPr>
          <w:b/>
          <w:szCs w:val="24"/>
        </w:rPr>
        <w:t>AML</w:t>
      </w:r>
      <w:r w:rsidRPr="00E42681">
        <w:rPr>
          <w:szCs w:val="24"/>
        </w:rPr>
        <w:t>“) a proti financování terorismu (dále jen „</w:t>
      </w:r>
      <w:r w:rsidRPr="00E42681">
        <w:rPr>
          <w:b/>
          <w:szCs w:val="24"/>
        </w:rPr>
        <w:t>CTF</w:t>
      </w:r>
      <w:r w:rsidRPr="00E42681">
        <w:rPr>
          <w:szCs w:val="24"/>
        </w:rPr>
        <w:t>“) (dále jen „</w:t>
      </w:r>
      <w:r w:rsidRPr="00E42681">
        <w:rPr>
          <w:b/>
          <w:szCs w:val="24"/>
        </w:rPr>
        <w:t>Program AML/CTF</w:t>
      </w:r>
      <w:r w:rsidRPr="00E42681">
        <w:rPr>
          <w:szCs w:val="24"/>
        </w:rPr>
        <w:t xml:space="preserve">”) v souladu s příslušnými pravidly a předpisy v oblasti AML/CTF platnými v jurisdikcích, ve kterých Společnost </w:t>
      </w:r>
      <w:proofErr w:type="spellStart"/>
      <w:r w:rsidRPr="00E42681">
        <w:rPr>
          <w:szCs w:val="24"/>
        </w:rPr>
        <w:t>White</w:t>
      </w:r>
      <w:proofErr w:type="spellEnd"/>
      <w:r w:rsidRPr="00E42681">
        <w:rPr>
          <w:szCs w:val="24"/>
        </w:rPr>
        <w:t xml:space="preserve"> &amp; Case působí. Program AML/CTF zahrnuje: (i) podrobné místní zásady AML/CTF (kde jsou relevantní), které vymezují požadavky mj. na výchozí </w:t>
      </w:r>
      <w:proofErr w:type="spellStart"/>
      <w:r w:rsidRPr="00E42681">
        <w:rPr>
          <w:szCs w:val="24"/>
        </w:rPr>
        <w:t>due</w:t>
      </w:r>
      <w:proofErr w:type="spellEnd"/>
      <w:r w:rsidRPr="00E42681">
        <w:rPr>
          <w:szCs w:val="24"/>
        </w:rPr>
        <w:t xml:space="preserve"> diligence (identifikaci a kontrolu), </w:t>
      </w:r>
      <w:r w:rsidR="009061F0" w:rsidRPr="00E42681">
        <w:rPr>
          <w:szCs w:val="24"/>
        </w:rPr>
        <w:t>oznamování</w:t>
      </w:r>
      <w:r w:rsidRPr="00E42681">
        <w:rPr>
          <w:szCs w:val="24"/>
        </w:rPr>
        <w:t xml:space="preserve"> podezřelého obchodu (interního a externího) a uchovávání údajů; a (</w:t>
      </w:r>
      <w:proofErr w:type="spellStart"/>
      <w:r w:rsidRPr="00E42681">
        <w:rPr>
          <w:szCs w:val="24"/>
        </w:rPr>
        <w:t>ii</w:t>
      </w:r>
      <w:proofErr w:type="spellEnd"/>
      <w:r w:rsidRPr="00E42681">
        <w:rPr>
          <w:szCs w:val="24"/>
        </w:rPr>
        <w:t xml:space="preserve">) povinné kroky ke zjištění celkového rizikového profilu klienta a transakce a zdokumentování materiálů z </w:t>
      </w:r>
      <w:proofErr w:type="spellStart"/>
      <w:r w:rsidRPr="00E42681">
        <w:rPr>
          <w:szCs w:val="24"/>
        </w:rPr>
        <w:t>due</w:t>
      </w:r>
      <w:proofErr w:type="spellEnd"/>
      <w:r w:rsidRPr="00E42681">
        <w:rPr>
          <w:szCs w:val="24"/>
        </w:rPr>
        <w:t xml:space="preserve"> diligence získaných ve fázi rozhodování, zda klienta budeme zastupovat. Zásady a postupy Společnosti </w:t>
      </w:r>
      <w:proofErr w:type="spellStart"/>
      <w:r w:rsidRPr="00E42681">
        <w:rPr>
          <w:szCs w:val="24"/>
        </w:rPr>
        <w:t>White</w:t>
      </w:r>
      <w:proofErr w:type="spellEnd"/>
      <w:r w:rsidRPr="00E42681">
        <w:rPr>
          <w:szCs w:val="24"/>
        </w:rPr>
        <w:t xml:space="preserve"> &amp; Case v oblasti AML/CTF jsou pravidelně přezkoumávány a aktualizovány. Stávající Program AML/CTF </w:t>
      </w:r>
      <w:proofErr w:type="spellStart"/>
      <w:r w:rsidRPr="00E42681">
        <w:rPr>
          <w:szCs w:val="24"/>
        </w:rPr>
        <w:t>White</w:t>
      </w:r>
      <w:proofErr w:type="spellEnd"/>
      <w:r w:rsidRPr="00E42681">
        <w:rPr>
          <w:szCs w:val="24"/>
        </w:rPr>
        <w:t xml:space="preserve"> &amp; Case zohledňující požadavky české legislativy v této oblasti nám ukládá řadu povinností, včetně požadavku na ověření identity našich klientů dříve, než je začneme zastupovat, a za určitých okolností i provedení další následné </w:t>
      </w:r>
      <w:proofErr w:type="spellStart"/>
      <w:r w:rsidRPr="00E42681">
        <w:rPr>
          <w:szCs w:val="24"/>
        </w:rPr>
        <w:t>due</w:t>
      </w:r>
      <w:proofErr w:type="spellEnd"/>
      <w:r w:rsidRPr="00E42681">
        <w:rPr>
          <w:szCs w:val="24"/>
        </w:rPr>
        <w:t xml:space="preserve"> dil</w:t>
      </w:r>
      <w:r w:rsidR="00C8541E">
        <w:rPr>
          <w:szCs w:val="24"/>
        </w:rPr>
        <w:t xml:space="preserve">igence klienta. </w:t>
      </w:r>
      <w:r w:rsidRPr="00E42681">
        <w:rPr>
          <w:szCs w:val="24"/>
        </w:rPr>
        <w:t xml:space="preserve">S žádostí o tyto informace se na </w:t>
      </w:r>
      <w:r w:rsidR="00BE6F6C">
        <w:rPr>
          <w:szCs w:val="24"/>
        </w:rPr>
        <w:t>ČDT</w:t>
      </w:r>
      <w:r w:rsidRPr="00E42681">
        <w:rPr>
          <w:szCs w:val="24"/>
        </w:rPr>
        <w:t xml:space="preserve"> </w:t>
      </w:r>
      <w:proofErr w:type="spellStart"/>
      <w:r w:rsidRPr="00E42681">
        <w:rPr>
          <w:szCs w:val="24"/>
        </w:rPr>
        <w:t>White</w:t>
      </w:r>
      <w:proofErr w:type="spellEnd"/>
      <w:r w:rsidRPr="00E42681">
        <w:rPr>
          <w:szCs w:val="24"/>
        </w:rPr>
        <w:t xml:space="preserve"> &amp; Case obrátí na začátku spolupráce a poté průběžně tehdy, když taková povinnost vznikne. V rámci tohoto procesu rovněž může </w:t>
      </w:r>
      <w:proofErr w:type="spellStart"/>
      <w:r w:rsidRPr="00E42681">
        <w:rPr>
          <w:szCs w:val="24"/>
        </w:rPr>
        <w:t>White</w:t>
      </w:r>
      <w:proofErr w:type="spellEnd"/>
      <w:r w:rsidRPr="00E42681">
        <w:rPr>
          <w:szCs w:val="24"/>
        </w:rPr>
        <w:t xml:space="preserve"> &amp; Case získávat informace prostřednictvím elektronických dat poskytovaných třetími osobami.</w:t>
      </w:r>
      <w:r w:rsidR="00453E80">
        <w:rPr>
          <w:szCs w:val="24"/>
        </w:rPr>
        <w:t xml:space="preserve"> </w:t>
      </w:r>
      <w:proofErr w:type="spellStart"/>
      <w:r w:rsidR="00453E80" w:rsidRPr="002908AD">
        <w:rPr>
          <w:szCs w:val="24"/>
        </w:rPr>
        <w:t>White</w:t>
      </w:r>
      <w:proofErr w:type="spellEnd"/>
      <w:r w:rsidR="00453E80" w:rsidRPr="002908AD">
        <w:rPr>
          <w:szCs w:val="24"/>
        </w:rPr>
        <w:t xml:space="preserve"> &amp; Case má v souladu s požadavky AML/CTF předpisů povinnost zpracovávat Příslušné osobní údaje (jak jsou definovány v části „</w:t>
      </w:r>
      <w:r w:rsidR="00453E80" w:rsidRPr="00D86937">
        <w:rPr>
          <w:b/>
          <w:bCs/>
          <w:szCs w:val="24"/>
        </w:rPr>
        <w:t>Zpracování osobních údajů</w:t>
      </w:r>
      <w:r w:rsidR="00453E80" w:rsidRPr="002908AD">
        <w:rPr>
          <w:szCs w:val="24"/>
        </w:rPr>
        <w:t xml:space="preserve">“) </w:t>
      </w:r>
      <w:r w:rsidR="00BE6F6C">
        <w:rPr>
          <w:szCs w:val="24"/>
        </w:rPr>
        <w:t>ČDT</w:t>
      </w:r>
      <w:r w:rsidR="00453E80" w:rsidRPr="002908AD">
        <w:rPr>
          <w:szCs w:val="24"/>
        </w:rPr>
        <w:t xml:space="preserve"> pro účely předcházení legalizaci výnosů z trestné činnosti a financování terorismu. Kontaktní osobou pro účely plnění povinností v oblasti AML/CTF je Mgr. Ivo Janda, partner, telefonní číslo: +420 255 771 237, telefonní číslo mi</w:t>
      </w:r>
      <w:r w:rsidR="00453E80">
        <w:rPr>
          <w:szCs w:val="24"/>
        </w:rPr>
        <w:t>mo běžnou pracovní dobu: +420 603 115 </w:t>
      </w:r>
      <w:r w:rsidR="00453E80" w:rsidRPr="002908AD">
        <w:rPr>
          <w:szCs w:val="24"/>
        </w:rPr>
        <w:t>073, email: ijanda@whitecase.com.</w:t>
      </w:r>
    </w:p>
    <w:p w14:paraId="78BE57D9" w14:textId="77777777" w:rsidR="00ED01DD" w:rsidRPr="00E42681" w:rsidRDefault="00ED01DD" w:rsidP="00CD548E">
      <w:pPr>
        <w:pStyle w:val="Nadpis2"/>
        <w:rPr>
          <w:szCs w:val="24"/>
        </w:rPr>
      </w:pPr>
      <w:proofErr w:type="spellStart"/>
      <w:r w:rsidRPr="00E42681">
        <w:rPr>
          <w:szCs w:val="24"/>
        </w:rPr>
        <w:lastRenderedPageBreak/>
        <w:t>White</w:t>
      </w:r>
      <w:proofErr w:type="spellEnd"/>
      <w:r w:rsidRPr="00E42681">
        <w:rPr>
          <w:szCs w:val="24"/>
        </w:rPr>
        <w:t xml:space="preserve"> &amp; Case potvrzuje, že v souladu s </w:t>
      </w:r>
      <w:r w:rsidR="00CD548E" w:rsidRPr="00E42681">
        <w:rPr>
          <w:szCs w:val="24"/>
        </w:rPr>
        <w:t>požadavky</w:t>
      </w:r>
      <w:r w:rsidRPr="00E42681">
        <w:rPr>
          <w:szCs w:val="24"/>
        </w:rPr>
        <w:t xml:space="preserve"> Zákona o advokacii </w:t>
      </w:r>
      <w:r w:rsidR="00CD548E" w:rsidRPr="00E42681">
        <w:rPr>
          <w:szCs w:val="24"/>
        </w:rPr>
        <w:t>a požadavky stavovských předpisů</w:t>
      </w:r>
      <w:r w:rsidRPr="00E42681">
        <w:rPr>
          <w:szCs w:val="24"/>
        </w:rPr>
        <w:t xml:space="preserve"> České advokátní komory </w:t>
      </w:r>
      <w:r w:rsidR="00CD548E" w:rsidRPr="00E42681">
        <w:rPr>
          <w:szCs w:val="24"/>
        </w:rPr>
        <w:t xml:space="preserve">a požadavky AML předpisů a případně v souladu s dalšími zákonnými povinnostmi a v rozsahu těchto povinností a předpisů </w:t>
      </w:r>
      <w:r w:rsidRPr="00E42681">
        <w:rPr>
          <w:szCs w:val="24"/>
        </w:rPr>
        <w:t xml:space="preserve">bude zachovávat mlčenlivost o všech skutečnostech, o nichž se dozví v souvislosti s poskytováním právních služeb </w:t>
      </w:r>
      <w:r w:rsidR="00BE6F6C">
        <w:rPr>
          <w:szCs w:val="24"/>
        </w:rPr>
        <w:t>ČDT</w:t>
      </w:r>
      <w:r w:rsidRPr="00E42681">
        <w:rPr>
          <w:szCs w:val="24"/>
        </w:rPr>
        <w:t xml:space="preserve"> podle této Smlouvy. Tato povinnost se vztahuje na všechny pracovníky</w:t>
      </w:r>
      <w:r w:rsidR="00CD548E" w:rsidRPr="00E42681">
        <w:rPr>
          <w:szCs w:val="24"/>
        </w:rPr>
        <w:t xml:space="preserve"> a osoby spolupracující s</w:t>
      </w:r>
      <w:r w:rsidRPr="00E42681">
        <w:rPr>
          <w:szCs w:val="24"/>
        </w:rPr>
        <w:t xml:space="preserve"> </w:t>
      </w:r>
      <w:proofErr w:type="spellStart"/>
      <w:r w:rsidRPr="00E42681">
        <w:rPr>
          <w:szCs w:val="24"/>
        </w:rPr>
        <w:t>White</w:t>
      </w:r>
      <w:proofErr w:type="spellEnd"/>
      <w:r w:rsidRPr="00E42681">
        <w:rPr>
          <w:szCs w:val="24"/>
        </w:rPr>
        <w:t> &amp; Case.</w:t>
      </w:r>
    </w:p>
    <w:p w14:paraId="5A0727D9" w14:textId="77777777" w:rsidR="00ED01DD" w:rsidRPr="00E42681" w:rsidRDefault="00ED01DD" w:rsidP="00ED01DD">
      <w:pPr>
        <w:pStyle w:val="Nadpis1"/>
        <w:rPr>
          <w:szCs w:val="24"/>
        </w:rPr>
      </w:pPr>
      <w:r w:rsidRPr="00E42681">
        <w:rPr>
          <w:szCs w:val="24"/>
        </w:rPr>
        <w:br/>
        <w:t>Odpovědnost za újmu</w:t>
      </w:r>
    </w:p>
    <w:p w14:paraId="5F9087DF" w14:textId="77777777" w:rsidR="00ED01DD" w:rsidRPr="00E42681" w:rsidRDefault="00ED01DD" w:rsidP="00ED01DD">
      <w:pPr>
        <w:pStyle w:val="Nadpis2"/>
        <w:rPr>
          <w:szCs w:val="24"/>
        </w:rPr>
      </w:pPr>
      <w:r w:rsidRPr="00E42681">
        <w:rPr>
          <w:szCs w:val="24"/>
        </w:rPr>
        <w:t xml:space="preserve">Odpovědnost </w:t>
      </w:r>
      <w:proofErr w:type="spellStart"/>
      <w:r w:rsidRPr="00E42681">
        <w:rPr>
          <w:szCs w:val="24"/>
        </w:rPr>
        <w:t>White</w:t>
      </w:r>
      <w:proofErr w:type="spellEnd"/>
      <w:r w:rsidRPr="00E42681">
        <w:rPr>
          <w:szCs w:val="24"/>
        </w:rPr>
        <w:t xml:space="preserve"> &amp; Case za újmu způsobenou v souvislosti s výkonem advokacie se řídí příslušnými ustanoveními Zákona o advokacii a Občanského zákoníku. Informace k pojištění odpovědnosti </w:t>
      </w:r>
      <w:proofErr w:type="spellStart"/>
      <w:r w:rsidRPr="00E42681">
        <w:rPr>
          <w:szCs w:val="24"/>
        </w:rPr>
        <w:t>White</w:t>
      </w:r>
      <w:proofErr w:type="spellEnd"/>
      <w:r w:rsidRPr="00E42681">
        <w:rPr>
          <w:szCs w:val="24"/>
        </w:rPr>
        <w:t xml:space="preserve"> &amp; Case, včetně údajů o pojišťovně, kontaktních údajů na pojišťovnu a věcného i místního rozsahu pojištění, bude poskytnuta na vyžádání.</w:t>
      </w:r>
    </w:p>
    <w:p w14:paraId="46B96043" w14:textId="77777777" w:rsidR="00ED01DD" w:rsidRPr="00E42681" w:rsidRDefault="00ED01DD" w:rsidP="00ED01DD">
      <w:pPr>
        <w:pStyle w:val="Nadpis1"/>
        <w:spacing w:before="480"/>
        <w:rPr>
          <w:szCs w:val="24"/>
        </w:rPr>
      </w:pPr>
      <w:r w:rsidRPr="00E42681">
        <w:rPr>
          <w:szCs w:val="24"/>
        </w:rPr>
        <w:br/>
        <w:t>Zmocnění</w:t>
      </w:r>
    </w:p>
    <w:p w14:paraId="50AEB38B" w14:textId="77777777" w:rsidR="00ED01DD" w:rsidRPr="00E42681" w:rsidRDefault="00ED01DD" w:rsidP="00ED01DD">
      <w:pPr>
        <w:pStyle w:val="Nadpis2"/>
        <w:rPr>
          <w:szCs w:val="24"/>
        </w:rPr>
      </w:pPr>
      <w:r w:rsidRPr="00E42681">
        <w:rPr>
          <w:szCs w:val="24"/>
        </w:rPr>
        <w:t xml:space="preserve">Pokud v rámci poskytování právních služeb dle této Smlouvy bude vyžadováno zastupování </w:t>
      </w:r>
      <w:r w:rsidR="00BE6F6C">
        <w:rPr>
          <w:szCs w:val="24"/>
        </w:rPr>
        <w:t>ČDT</w:t>
      </w:r>
      <w:r w:rsidRPr="00E42681">
        <w:rPr>
          <w:szCs w:val="24"/>
        </w:rPr>
        <w:t xml:space="preserve"> v soudních či správních řízeních v ČR nebo v zahraničí, </w:t>
      </w:r>
      <w:r w:rsidR="00BE6F6C">
        <w:rPr>
          <w:szCs w:val="24"/>
        </w:rPr>
        <w:t>ČDT</w:t>
      </w:r>
      <w:r w:rsidRPr="00E42681">
        <w:rPr>
          <w:szCs w:val="24"/>
        </w:rPr>
        <w:t xml:space="preserve"> vystaví příslušným advokátům </w:t>
      </w:r>
      <w:proofErr w:type="spellStart"/>
      <w:r w:rsidRPr="00E42681">
        <w:rPr>
          <w:szCs w:val="24"/>
        </w:rPr>
        <w:t>White</w:t>
      </w:r>
      <w:proofErr w:type="spellEnd"/>
      <w:r w:rsidRPr="00E42681">
        <w:rPr>
          <w:szCs w:val="24"/>
        </w:rPr>
        <w:t xml:space="preserve"> &amp; Case na základě jejich žádosti procesní plnou moc v rozsahu potřebném k zastupování </w:t>
      </w:r>
      <w:r w:rsidR="00BE6F6C">
        <w:rPr>
          <w:szCs w:val="24"/>
        </w:rPr>
        <w:t>ČDT</w:t>
      </w:r>
      <w:r w:rsidRPr="00E42681">
        <w:rPr>
          <w:szCs w:val="24"/>
        </w:rPr>
        <w:t>.</w:t>
      </w:r>
    </w:p>
    <w:p w14:paraId="592AC718" w14:textId="77777777" w:rsidR="00ED01DD" w:rsidRPr="00E42681" w:rsidRDefault="00ED01DD" w:rsidP="00ED01DD">
      <w:pPr>
        <w:pStyle w:val="Nadpis2"/>
        <w:rPr>
          <w:szCs w:val="24"/>
        </w:rPr>
      </w:pPr>
      <w:r w:rsidRPr="00E42681">
        <w:rPr>
          <w:szCs w:val="24"/>
        </w:rPr>
        <w:t xml:space="preserve">Za předpokladu, že </w:t>
      </w:r>
      <w:r w:rsidR="00BE6F6C">
        <w:rPr>
          <w:szCs w:val="24"/>
        </w:rPr>
        <w:t>ČDT</w:t>
      </w:r>
      <w:r w:rsidRPr="00E42681">
        <w:rPr>
          <w:szCs w:val="24"/>
        </w:rPr>
        <w:t xml:space="preserve"> </w:t>
      </w:r>
      <w:r w:rsidR="00C8541E">
        <w:rPr>
          <w:szCs w:val="24"/>
        </w:rPr>
        <w:t>bude</w:t>
      </w:r>
      <w:r w:rsidRPr="00E42681">
        <w:rPr>
          <w:szCs w:val="24"/>
        </w:rPr>
        <w:t xml:space="preserve"> udělovat </w:t>
      </w:r>
      <w:proofErr w:type="spellStart"/>
      <w:r w:rsidRPr="00E42681">
        <w:rPr>
          <w:szCs w:val="24"/>
        </w:rPr>
        <w:t>White</w:t>
      </w:r>
      <w:proofErr w:type="spellEnd"/>
      <w:r w:rsidRPr="00E42681">
        <w:rPr>
          <w:szCs w:val="24"/>
        </w:rPr>
        <w:t xml:space="preserve"> &amp; Case plnou moc k podpisu jakéhokoliv dokumentu, kterým se zakládají hmotněprávní práva a povinnosti, včetně, ale nikoliv výlučně smlouvy jménem klienta, přihlášky pohledávky do insolvenčního řízení či jiného dokumentu, </w:t>
      </w:r>
      <w:proofErr w:type="spellStart"/>
      <w:r w:rsidRPr="00E42681">
        <w:rPr>
          <w:szCs w:val="24"/>
        </w:rPr>
        <w:t>White</w:t>
      </w:r>
      <w:proofErr w:type="spellEnd"/>
      <w:r w:rsidRPr="00E42681">
        <w:rPr>
          <w:szCs w:val="24"/>
        </w:rPr>
        <w:t xml:space="preserve"> &amp; Case si vyhrazuje právo vyžadovat od </w:t>
      </w:r>
      <w:r w:rsidR="00BE6F6C">
        <w:rPr>
          <w:szCs w:val="24"/>
        </w:rPr>
        <w:t>ČDT</w:t>
      </w:r>
      <w:r w:rsidRPr="00E42681">
        <w:rPr>
          <w:szCs w:val="24"/>
        </w:rPr>
        <w:t xml:space="preserve"> podepsání k tomu určené speciální plné moci dle vzoru, který </w:t>
      </w:r>
      <w:proofErr w:type="spellStart"/>
      <w:r w:rsidRPr="00E42681">
        <w:rPr>
          <w:szCs w:val="24"/>
        </w:rPr>
        <w:t>White</w:t>
      </w:r>
      <w:proofErr w:type="spellEnd"/>
      <w:r w:rsidRPr="00E42681">
        <w:rPr>
          <w:szCs w:val="24"/>
        </w:rPr>
        <w:t xml:space="preserve"> &amp; Case předloží </w:t>
      </w:r>
      <w:r w:rsidR="00BE6F6C">
        <w:rPr>
          <w:szCs w:val="24"/>
        </w:rPr>
        <w:t>ČDT</w:t>
      </w:r>
      <w:r w:rsidRPr="00E42681">
        <w:rPr>
          <w:szCs w:val="24"/>
        </w:rPr>
        <w:t xml:space="preserve"> před provedením příslušného právního jednání. </w:t>
      </w:r>
    </w:p>
    <w:p w14:paraId="5924B743" w14:textId="77777777" w:rsidR="00ED01DD" w:rsidRPr="00E42681" w:rsidRDefault="00ED01DD" w:rsidP="00ED01DD">
      <w:pPr>
        <w:pStyle w:val="Nadpis1"/>
        <w:spacing w:before="480"/>
        <w:rPr>
          <w:szCs w:val="24"/>
        </w:rPr>
      </w:pPr>
      <w:r w:rsidRPr="00E42681">
        <w:rPr>
          <w:szCs w:val="24"/>
        </w:rPr>
        <w:br/>
        <w:t>Závěrečná ustanovení</w:t>
      </w:r>
    </w:p>
    <w:p w14:paraId="7097737B" w14:textId="77777777" w:rsidR="00ED01DD" w:rsidRPr="00E42681" w:rsidRDefault="00ED01DD" w:rsidP="00ED01DD">
      <w:pPr>
        <w:pStyle w:val="Nadpis2"/>
        <w:rPr>
          <w:szCs w:val="24"/>
        </w:rPr>
      </w:pPr>
      <w:r w:rsidRPr="00E42681">
        <w:rPr>
          <w:szCs w:val="24"/>
        </w:rPr>
        <w:t>Tato Smlouva se řídí příslušnými ustanoveními Zákona o advokacii, stavovskými předpisy České advokátní komory a Občanským zákoníkem.</w:t>
      </w:r>
    </w:p>
    <w:p w14:paraId="7D363655" w14:textId="77777777" w:rsidR="00ED01DD" w:rsidRPr="00E42681" w:rsidRDefault="00ED01DD" w:rsidP="00ED01DD">
      <w:pPr>
        <w:pStyle w:val="Nadpis2"/>
        <w:tabs>
          <w:tab w:val="num" w:pos="720"/>
        </w:tabs>
        <w:overflowPunct/>
        <w:autoSpaceDE/>
        <w:autoSpaceDN/>
        <w:adjustRightInd/>
        <w:textAlignment w:val="auto"/>
        <w:rPr>
          <w:szCs w:val="24"/>
        </w:rPr>
      </w:pPr>
      <w:r w:rsidRPr="00E42681">
        <w:rPr>
          <w:szCs w:val="24"/>
        </w:rPr>
        <w:t>Tuto Smlouvu lze měnit pouze písemně.</w:t>
      </w:r>
    </w:p>
    <w:p w14:paraId="23CF5670" w14:textId="77777777" w:rsidR="00ED01DD" w:rsidRPr="00E42681" w:rsidRDefault="00ED01DD" w:rsidP="00ED01DD">
      <w:pPr>
        <w:pStyle w:val="Nadpis2"/>
        <w:tabs>
          <w:tab w:val="num" w:pos="720"/>
        </w:tabs>
        <w:overflowPunct/>
        <w:autoSpaceDE/>
        <w:autoSpaceDN/>
        <w:adjustRightInd/>
        <w:textAlignment w:val="auto"/>
        <w:rPr>
          <w:szCs w:val="24"/>
        </w:rPr>
      </w:pPr>
      <w:r w:rsidRPr="00E42681">
        <w:rPr>
          <w:szCs w:val="24"/>
        </w:rPr>
        <w:t>Případná neplatnost některého z ustanovení této Smlouvy nemá za následek neplatnost ostatních ustanovení. Pro případ, že ustanovení této Smlouvy oddělitelné od ostatního obsahu se stane neúčinným nebo neplatným, Smluvní strany se zavazují bez zbytečných odkladů nahradit takovéto ustanovení novým.</w:t>
      </w:r>
    </w:p>
    <w:p w14:paraId="6433CE64" w14:textId="77777777" w:rsidR="00ED01DD" w:rsidRPr="00E42681" w:rsidRDefault="00ED01DD" w:rsidP="00ED01DD">
      <w:pPr>
        <w:pStyle w:val="Nadpis2"/>
        <w:rPr>
          <w:szCs w:val="24"/>
        </w:rPr>
      </w:pPr>
      <w:r w:rsidRPr="00E42681">
        <w:rPr>
          <w:szCs w:val="24"/>
        </w:rPr>
        <w:t>Názvy článků v této Smlouvě jsou určeny pouze pro snazší orientaci a nebude jim přisuzován žádný věcný ani interpretační význam.</w:t>
      </w:r>
    </w:p>
    <w:p w14:paraId="3281CC03" w14:textId="6058B1E7" w:rsidR="00ED01DD" w:rsidRPr="00E42681" w:rsidRDefault="00ED01DD" w:rsidP="00ED01DD">
      <w:pPr>
        <w:pStyle w:val="Nadpis2"/>
        <w:tabs>
          <w:tab w:val="num" w:pos="720"/>
        </w:tabs>
        <w:overflowPunct/>
        <w:autoSpaceDE/>
        <w:autoSpaceDN/>
        <w:adjustRightInd/>
        <w:textAlignment w:val="auto"/>
        <w:rPr>
          <w:szCs w:val="24"/>
        </w:rPr>
      </w:pPr>
      <w:r w:rsidRPr="00E42681">
        <w:rPr>
          <w:szCs w:val="24"/>
        </w:rPr>
        <w:t xml:space="preserve">Tato Smlouva a v ní uvedené podmínky pro poskytování právních služeb nabývá platnosti dnem jejího podpisu oběma Smluvními stranami. Stejné podmínky se obdobně použijí i na práci a služby související s </w:t>
      </w:r>
      <w:r w:rsidR="00EF6D13">
        <w:rPr>
          <w:szCs w:val="24"/>
        </w:rPr>
        <w:t>Poradenstvím</w:t>
      </w:r>
      <w:r w:rsidRPr="00E42681">
        <w:rPr>
          <w:szCs w:val="24"/>
        </w:rPr>
        <w:t xml:space="preserve">, které byly </w:t>
      </w:r>
      <w:r w:rsidR="00BE6F6C">
        <w:rPr>
          <w:szCs w:val="24"/>
        </w:rPr>
        <w:t>ČDT</w:t>
      </w:r>
      <w:r w:rsidRPr="00E42681">
        <w:rPr>
          <w:szCs w:val="24"/>
        </w:rPr>
        <w:t xml:space="preserve"> ze strany </w:t>
      </w:r>
      <w:proofErr w:type="spellStart"/>
      <w:r w:rsidRPr="00E42681">
        <w:rPr>
          <w:szCs w:val="24"/>
        </w:rPr>
        <w:t>White</w:t>
      </w:r>
      <w:proofErr w:type="spellEnd"/>
      <w:r w:rsidRPr="00E42681">
        <w:rPr>
          <w:szCs w:val="24"/>
        </w:rPr>
        <w:t xml:space="preserve"> &amp; Case poskytnuty před tímto datem.</w:t>
      </w:r>
    </w:p>
    <w:p w14:paraId="387C6855" w14:textId="1368AAEB" w:rsidR="00A1725E" w:rsidRPr="00B53636" w:rsidRDefault="00187050" w:rsidP="00A1725E">
      <w:pPr>
        <w:pStyle w:val="Nadpis2"/>
        <w:rPr>
          <w:szCs w:val="24"/>
        </w:rPr>
      </w:pPr>
      <w:r w:rsidRPr="00B53636">
        <w:rPr>
          <w:szCs w:val="24"/>
        </w:rPr>
        <w:lastRenderedPageBreak/>
        <w:t xml:space="preserve">Smluvní strany berou na vědomí, že ČDT má povinnost ze zákona č. 340/2015 Sb., zákon o registru smluv v platném znění, tuto Smlouvu, pod zákonem stanovenou sankcí uveřejnit v registru smluv. Účinnost této Smlouvy tak nastane jejím publikováním v registru smluv. Zveřejnění v registru smluv zajistí ČDT. Současně smluvní strany prohlašují, že považují celý obsah čl. </w:t>
      </w:r>
      <w:r w:rsidR="00BD1777" w:rsidRPr="00B53636">
        <w:rPr>
          <w:szCs w:val="24"/>
        </w:rPr>
        <w:t xml:space="preserve">I, čl. III. a čl. </w:t>
      </w:r>
      <w:r w:rsidR="00B050BF" w:rsidRPr="00B53636">
        <w:rPr>
          <w:szCs w:val="24"/>
        </w:rPr>
        <w:t>4.1</w:t>
      </w:r>
      <w:r w:rsidR="00BD1777" w:rsidRPr="00B53636">
        <w:rPr>
          <w:szCs w:val="24"/>
        </w:rPr>
        <w:t xml:space="preserve"> </w:t>
      </w:r>
      <w:r w:rsidRPr="00B53636">
        <w:rPr>
          <w:szCs w:val="24"/>
        </w:rPr>
        <w:t>této Smlouvy, včetně všech jejích příloh za předmět ob</w:t>
      </w:r>
      <w:r w:rsidR="00BD1777" w:rsidRPr="00B53636">
        <w:rPr>
          <w:szCs w:val="24"/>
        </w:rPr>
        <w:t>c</w:t>
      </w:r>
      <w:r w:rsidRPr="00B53636">
        <w:rPr>
          <w:szCs w:val="24"/>
        </w:rPr>
        <w:t xml:space="preserve">hodního tajemství ve smyslu § 504 zák. č. 89/2012 Sb., občanského zákoníku. </w:t>
      </w:r>
    </w:p>
    <w:p w14:paraId="17BB452C" w14:textId="77777777" w:rsidR="00ED01DD" w:rsidRPr="00E42681" w:rsidRDefault="00ED01DD" w:rsidP="00ED01DD">
      <w:pPr>
        <w:pStyle w:val="Nadpis2"/>
        <w:tabs>
          <w:tab w:val="num" w:pos="720"/>
        </w:tabs>
        <w:overflowPunct/>
        <w:autoSpaceDE/>
        <w:autoSpaceDN/>
        <w:adjustRightInd/>
        <w:textAlignment w:val="auto"/>
        <w:rPr>
          <w:szCs w:val="24"/>
        </w:rPr>
      </w:pPr>
      <w:r w:rsidRPr="00E42681">
        <w:rPr>
          <w:szCs w:val="24"/>
        </w:rPr>
        <w:t>Tato Smlouva je vyhotovena ve dvou (2) stejnopisech, přičemž každá ze Smluvních stran obdrží jedno (1) vyhotovení s platností originálu.</w:t>
      </w:r>
    </w:p>
    <w:p w14:paraId="0659569F" w14:textId="77777777" w:rsidR="00ED01DD" w:rsidRPr="00E42681" w:rsidRDefault="00ED01DD" w:rsidP="00ED01DD">
      <w:pPr>
        <w:pStyle w:val="Zkladntext"/>
        <w:rPr>
          <w:szCs w:val="24"/>
          <w:lang w:val="cs-CZ"/>
        </w:rPr>
      </w:pPr>
    </w:p>
    <w:tbl>
      <w:tblPr>
        <w:tblW w:w="0" w:type="auto"/>
        <w:tblBorders>
          <w:insideH w:val="single" w:sz="4" w:space="0" w:color="auto"/>
        </w:tblBorders>
        <w:tblLook w:val="01E0" w:firstRow="1" w:lastRow="1" w:firstColumn="1" w:lastColumn="1" w:noHBand="0" w:noVBand="0"/>
      </w:tblPr>
      <w:tblGrid>
        <w:gridCol w:w="4507"/>
        <w:gridCol w:w="4520"/>
      </w:tblGrid>
      <w:tr w:rsidR="00ED01DD" w:rsidRPr="00E42681" w14:paraId="2B78D77A" w14:textId="77777777" w:rsidTr="00027BC1">
        <w:trPr>
          <w:trHeight w:val="2283"/>
        </w:trPr>
        <w:tc>
          <w:tcPr>
            <w:tcW w:w="4621" w:type="dxa"/>
            <w:shd w:val="clear" w:color="auto" w:fill="auto"/>
          </w:tcPr>
          <w:p w14:paraId="2C5CB6A1" w14:textId="77777777" w:rsidR="00ED01DD" w:rsidRPr="00E42681" w:rsidRDefault="00897C76" w:rsidP="00897C76">
            <w:pPr>
              <w:spacing w:after="240"/>
              <w:ind w:left="360"/>
              <w:jc w:val="both"/>
              <w:rPr>
                <w:rFonts w:eastAsia="SimSun"/>
                <w:b/>
              </w:rPr>
            </w:pPr>
            <w:proofErr w:type="gramStart"/>
            <w:r>
              <w:rPr>
                <w:rFonts w:eastAsia="SimSun"/>
                <w:b/>
              </w:rPr>
              <w:t>ČD - Telematika</w:t>
            </w:r>
            <w:proofErr w:type="gramEnd"/>
            <w:r w:rsidR="00ED01DD" w:rsidRPr="00E42681">
              <w:rPr>
                <w:rFonts w:eastAsia="SimSun"/>
                <w:b/>
              </w:rPr>
              <w:t xml:space="preserve"> a.s.</w:t>
            </w:r>
          </w:p>
          <w:p w14:paraId="7BD7000C" w14:textId="77777777" w:rsidR="00ED01DD" w:rsidRPr="00E42681" w:rsidRDefault="00ED01DD" w:rsidP="00897C76">
            <w:pPr>
              <w:spacing w:after="240"/>
              <w:ind w:left="360"/>
              <w:jc w:val="both"/>
              <w:rPr>
                <w:rFonts w:eastAsia="SimSun"/>
                <w:b/>
              </w:rPr>
            </w:pPr>
          </w:p>
          <w:p w14:paraId="0229CA18" w14:textId="77777777" w:rsidR="00ED01DD" w:rsidRPr="00E42681" w:rsidRDefault="00C1707F" w:rsidP="00897C76">
            <w:pPr>
              <w:spacing w:after="240"/>
              <w:ind w:left="357"/>
              <w:jc w:val="both"/>
              <w:rPr>
                <w:rFonts w:eastAsia="SimSun"/>
              </w:rPr>
            </w:pPr>
            <w:r>
              <w:rPr>
                <w:rFonts w:eastAsia="SimSun"/>
              </w:rPr>
              <w:t>V Praze dne ________________ 2022</w:t>
            </w:r>
          </w:p>
          <w:p w14:paraId="183AA668" w14:textId="77777777" w:rsidR="00ED01DD" w:rsidRPr="00E42681" w:rsidRDefault="00ED01DD" w:rsidP="00897C76">
            <w:pPr>
              <w:ind w:left="357"/>
              <w:jc w:val="both"/>
              <w:rPr>
                <w:rFonts w:eastAsia="SimSun"/>
              </w:rPr>
            </w:pPr>
          </w:p>
          <w:p w14:paraId="1D0E934A" w14:textId="77777777" w:rsidR="00ED01DD" w:rsidRPr="00E42681" w:rsidRDefault="00ED01DD" w:rsidP="00897C76">
            <w:pPr>
              <w:ind w:left="357"/>
              <w:jc w:val="both"/>
              <w:rPr>
                <w:rFonts w:eastAsia="SimSun"/>
              </w:rPr>
            </w:pPr>
          </w:p>
          <w:p w14:paraId="53354E81" w14:textId="77777777" w:rsidR="00ED01DD" w:rsidRPr="00E42681" w:rsidRDefault="00ED01DD" w:rsidP="00897C76">
            <w:pPr>
              <w:ind w:left="357"/>
              <w:jc w:val="both"/>
              <w:rPr>
                <w:rFonts w:eastAsia="SimSun"/>
              </w:rPr>
            </w:pPr>
          </w:p>
          <w:p w14:paraId="3F1195C9" w14:textId="77777777" w:rsidR="008D2160" w:rsidRPr="00E42681" w:rsidRDefault="008D2160" w:rsidP="008D2160">
            <w:pPr>
              <w:ind w:left="357"/>
              <w:jc w:val="both"/>
              <w:rPr>
                <w:rFonts w:eastAsia="SimSun"/>
              </w:rPr>
            </w:pPr>
            <w:r w:rsidRPr="00E42681">
              <w:rPr>
                <w:rFonts w:eastAsia="SimSun"/>
              </w:rPr>
              <w:t>_____________________________</w:t>
            </w:r>
          </w:p>
          <w:p w14:paraId="20AC2194" w14:textId="77777777" w:rsidR="008D2160" w:rsidRPr="00E42681" w:rsidRDefault="008D2160" w:rsidP="008D2160">
            <w:pPr>
              <w:ind w:left="357"/>
              <w:jc w:val="both"/>
              <w:rPr>
                <w:rFonts w:eastAsia="SimSun"/>
                <w:b/>
              </w:rPr>
            </w:pPr>
          </w:p>
          <w:p w14:paraId="0690F147" w14:textId="77777777" w:rsidR="008D2160" w:rsidRPr="00E42681" w:rsidRDefault="00C94936" w:rsidP="008D2160">
            <w:pPr>
              <w:ind w:left="357"/>
              <w:jc w:val="both"/>
              <w:rPr>
                <w:rFonts w:eastAsia="SimSun"/>
              </w:rPr>
            </w:pPr>
            <w:r w:rsidRPr="00E42681">
              <w:rPr>
                <w:rFonts w:eastAsia="SimSun"/>
              </w:rPr>
              <w:t>Jméno:</w:t>
            </w:r>
            <w:r w:rsidR="00187050">
              <w:rPr>
                <w:rFonts w:eastAsia="SimSun"/>
              </w:rPr>
              <w:t xml:space="preserve"> Ing. Mgr. Lukáš Svoboda, ACCA</w:t>
            </w:r>
          </w:p>
          <w:p w14:paraId="0184E15A" w14:textId="77777777" w:rsidR="008D2160" w:rsidRPr="00E42681" w:rsidRDefault="00C94936" w:rsidP="008D2160">
            <w:pPr>
              <w:ind w:left="357"/>
              <w:jc w:val="both"/>
              <w:rPr>
                <w:rFonts w:eastAsia="SimSun"/>
              </w:rPr>
            </w:pPr>
            <w:r w:rsidRPr="00E42681">
              <w:rPr>
                <w:rFonts w:eastAsia="SimSun"/>
              </w:rPr>
              <w:t>Funkce:</w:t>
            </w:r>
            <w:r w:rsidR="00187050">
              <w:rPr>
                <w:rFonts w:eastAsia="SimSun"/>
              </w:rPr>
              <w:t xml:space="preserve"> ředitel úseku ekonomiky a sdílených služeb, na základě plné moci</w:t>
            </w:r>
          </w:p>
          <w:p w14:paraId="61C5E1C8" w14:textId="77777777" w:rsidR="008D2160" w:rsidRPr="00E42681" w:rsidRDefault="008D2160" w:rsidP="00897C76">
            <w:pPr>
              <w:ind w:left="357"/>
              <w:jc w:val="both"/>
              <w:rPr>
                <w:rFonts w:eastAsia="SimSun"/>
              </w:rPr>
            </w:pPr>
          </w:p>
          <w:p w14:paraId="7F739650" w14:textId="77777777" w:rsidR="008D2160" w:rsidRPr="00E42681" w:rsidRDefault="008D2160" w:rsidP="00897C76">
            <w:pPr>
              <w:ind w:left="357"/>
              <w:jc w:val="both"/>
              <w:rPr>
                <w:rFonts w:eastAsia="SimSun"/>
              </w:rPr>
            </w:pPr>
          </w:p>
          <w:p w14:paraId="741DDFE9" w14:textId="27062BAC" w:rsidR="00ED01DD" w:rsidRPr="00E42681" w:rsidRDefault="00ED01DD" w:rsidP="0077333A">
            <w:pPr>
              <w:ind w:left="357"/>
              <w:jc w:val="both"/>
              <w:rPr>
                <w:rFonts w:eastAsia="SimSun"/>
              </w:rPr>
            </w:pPr>
          </w:p>
        </w:tc>
        <w:tc>
          <w:tcPr>
            <w:tcW w:w="4622" w:type="dxa"/>
            <w:shd w:val="clear" w:color="auto" w:fill="auto"/>
          </w:tcPr>
          <w:p w14:paraId="3923F1AB" w14:textId="77777777" w:rsidR="00ED01DD" w:rsidRPr="00E42681" w:rsidRDefault="00617B77" w:rsidP="00AB65BB">
            <w:pPr>
              <w:spacing w:after="480"/>
              <w:ind w:left="420"/>
              <w:jc w:val="both"/>
              <w:rPr>
                <w:rFonts w:eastAsia="SimSun"/>
                <w:b/>
              </w:rPr>
            </w:pPr>
            <w:proofErr w:type="spellStart"/>
            <w:r w:rsidRPr="00E42681">
              <w:rPr>
                <w:rFonts w:eastAsia="SimSun"/>
                <w:b/>
              </w:rPr>
              <w:t>White</w:t>
            </w:r>
            <w:proofErr w:type="spellEnd"/>
            <w:r w:rsidRPr="00E42681">
              <w:rPr>
                <w:rFonts w:eastAsia="SimSun"/>
                <w:b/>
              </w:rPr>
              <w:t xml:space="preserve"> &amp; Case, s.r.o., advokátní kancelář</w:t>
            </w:r>
          </w:p>
          <w:p w14:paraId="32FB090F" w14:textId="77777777" w:rsidR="00ED01DD" w:rsidRPr="00E42681" w:rsidRDefault="00C1707F" w:rsidP="00897C76">
            <w:pPr>
              <w:spacing w:after="240"/>
              <w:ind w:left="357"/>
              <w:jc w:val="both"/>
              <w:rPr>
                <w:rFonts w:eastAsia="SimSun"/>
              </w:rPr>
            </w:pPr>
            <w:r>
              <w:rPr>
                <w:rFonts w:eastAsia="SimSun"/>
              </w:rPr>
              <w:t>V Praze dne _______________ 2022</w:t>
            </w:r>
          </w:p>
          <w:p w14:paraId="6397596B" w14:textId="77777777" w:rsidR="00ED01DD" w:rsidRPr="00E42681" w:rsidRDefault="00ED01DD" w:rsidP="00897C76">
            <w:pPr>
              <w:ind w:left="419"/>
              <w:jc w:val="both"/>
              <w:rPr>
                <w:rFonts w:eastAsia="SimSun"/>
              </w:rPr>
            </w:pPr>
          </w:p>
          <w:p w14:paraId="404E36F6" w14:textId="77777777" w:rsidR="00ED01DD" w:rsidRPr="00E42681" w:rsidRDefault="00ED01DD" w:rsidP="00897C76">
            <w:pPr>
              <w:ind w:left="419"/>
              <w:jc w:val="both"/>
              <w:rPr>
                <w:rFonts w:eastAsia="SimSun"/>
              </w:rPr>
            </w:pPr>
          </w:p>
          <w:p w14:paraId="139F5416" w14:textId="77777777" w:rsidR="00ED01DD" w:rsidRPr="00E42681" w:rsidRDefault="00ED01DD" w:rsidP="00897C76">
            <w:pPr>
              <w:ind w:left="419"/>
              <w:jc w:val="both"/>
              <w:rPr>
                <w:rFonts w:eastAsia="SimSun"/>
              </w:rPr>
            </w:pPr>
          </w:p>
          <w:p w14:paraId="626985DD" w14:textId="77777777" w:rsidR="00ED01DD" w:rsidRPr="00E42681" w:rsidRDefault="00ED01DD" w:rsidP="00897C76">
            <w:pPr>
              <w:ind w:left="419"/>
              <w:jc w:val="both"/>
              <w:rPr>
                <w:rFonts w:eastAsia="SimSun"/>
              </w:rPr>
            </w:pPr>
            <w:r w:rsidRPr="00E42681">
              <w:rPr>
                <w:rFonts w:eastAsia="SimSun"/>
              </w:rPr>
              <w:t>_____________________________</w:t>
            </w:r>
          </w:p>
          <w:p w14:paraId="05416022" w14:textId="77777777" w:rsidR="00ED01DD" w:rsidRPr="00E42681" w:rsidRDefault="00ED01DD" w:rsidP="00897C76">
            <w:pPr>
              <w:ind w:left="357"/>
              <w:jc w:val="both"/>
              <w:rPr>
                <w:rFonts w:eastAsia="SimSun"/>
                <w:b/>
              </w:rPr>
            </w:pPr>
          </w:p>
          <w:p w14:paraId="38119A98" w14:textId="77777777" w:rsidR="00ED01DD" w:rsidRPr="00E42681" w:rsidRDefault="00C94936" w:rsidP="00866069">
            <w:pPr>
              <w:ind w:left="357"/>
              <w:rPr>
                <w:rFonts w:eastAsia="SimSun"/>
              </w:rPr>
            </w:pPr>
            <w:r w:rsidRPr="0077333A">
              <w:rPr>
                <w:rFonts w:eastAsia="SimSun"/>
              </w:rPr>
              <w:t xml:space="preserve">Jan </w:t>
            </w:r>
            <w:r w:rsidR="00FE0EAA" w:rsidRPr="0077333A">
              <w:rPr>
                <w:rFonts w:eastAsia="SimSun"/>
              </w:rPr>
              <w:t>Linda</w:t>
            </w:r>
            <w:r w:rsidR="00AB65BB" w:rsidRPr="0077333A">
              <w:rPr>
                <w:rFonts w:eastAsia="SimSun"/>
              </w:rPr>
              <w:t>, Partner</w:t>
            </w:r>
          </w:p>
          <w:p w14:paraId="1664936F" w14:textId="77777777" w:rsidR="00ED01DD" w:rsidRPr="00E42681" w:rsidRDefault="00E2681C" w:rsidP="00AB65BB">
            <w:pPr>
              <w:ind w:left="357"/>
              <w:rPr>
                <w:rFonts w:eastAsia="SimSun"/>
              </w:rPr>
            </w:pPr>
            <w:r>
              <w:rPr>
                <w:rFonts w:eastAsia="SimSun"/>
              </w:rPr>
              <w:t>na základě plné moci</w:t>
            </w:r>
          </w:p>
        </w:tc>
      </w:tr>
      <w:bookmarkEnd w:id="3"/>
    </w:tbl>
    <w:p w14:paraId="55EF281A" w14:textId="77777777" w:rsidR="002274C3" w:rsidRPr="00E42681" w:rsidRDefault="002274C3" w:rsidP="00ED01DD"/>
    <w:sectPr w:rsidR="002274C3" w:rsidRPr="00E42681" w:rsidSect="00DB1EFA">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9"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2BE15" w14:textId="77777777" w:rsidR="007D611F" w:rsidRDefault="007D611F">
      <w:r>
        <w:separator/>
      </w:r>
    </w:p>
  </w:endnote>
  <w:endnote w:type="continuationSeparator" w:id="0">
    <w:p w14:paraId="54C3B100" w14:textId="77777777" w:rsidR="007D611F" w:rsidRDefault="007D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D26C" w14:textId="77777777" w:rsidR="00365DE1" w:rsidRDefault="00365DE1" w:rsidP="00984925">
    <w:pPr>
      <w:pStyle w:val="Zpat"/>
    </w:pPr>
  </w:p>
  <w:tbl>
    <w:tblPr>
      <w:tblW w:w="9167" w:type="dxa"/>
      <w:tblLayout w:type="fixed"/>
      <w:tblCellMar>
        <w:left w:w="70" w:type="dxa"/>
        <w:right w:w="70" w:type="dxa"/>
      </w:tblCellMar>
      <w:tblLook w:val="0000" w:firstRow="0" w:lastRow="0" w:firstColumn="0" w:lastColumn="0" w:noHBand="0" w:noVBand="0"/>
    </w:tblPr>
    <w:tblGrid>
      <w:gridCol w:w="3667"/>
      <w:gridCol w:w="1833"/>
      <w:gridCol w:w="3667"/>
    </w:tblGrid>
    <w:tr w:rsidR="00365DE1" w14:paraId="00B88DA1" w14:textId="77777777" w:rsidTr="009547B4">
      <w:tc>
        <w:tcPr>
          <w:tcW w:w="2000" w:type="pct"/>
          <w:shd w:val="clear" w:color="auto" w:fill="auto"/>
          <w:vAlign w:val="bottom"/>
        </w:tcPr>
        <w:p w14:paraId="15C93973" w14:textId="66EA6136" w:rsidR="00365DE1" w:rsidRPr="009547B4" w:rsidRDefault="009547B4" w:rsidP="009547B4">
          <w:pPr>
            <w:pStyle w:val="Zpat"/>
          </w:pPr>
          <w:r w:rsidRPr="009547B4">
            <w:t>EMEA 137773885</w:t>
          </w:r>
        </w:p>
      </w:tc>
      <w:tc>
        <w:tcPr>
          <w:tcW w:w="1000" w:type="pct"/>
          <w:shd w:val="clear" w:color="auto" w:fill="auto"/>
        </w:tcPr>
        <w:p w14:paraId="63ADBDCD" w14:textId="77777777" w:rsidR="00365DE1" w:rsidRDefault="00365DE1" w:rsidP="009547B4">
          <w:pPr>
            <w:pStyle w:val="WCPageNumber"/>
          </w:pPr>
        </w:p>
      </w:tc>
      <w:tc>
        <w:tcPr>
          <w:tcW w:w="2000" w:type="pct"/>
          <w:shd w:val="clear" w:color="auto" w:fill="auto"/>
        </w:tcPr>
        <w:p w14:paraId="1B575730" w14:textId="77777777" w:rsidR="00365DE1" w:rsidRDefault="00365DE1" w:rsidP="009547B4">
          <w:pPr>
            <w:pStyle w:val="Zpat"/>
            <w:jc w:val="right"/>
          </w:pPr>
        </w:p>
      </w:tc>
    </w:tr>
  </w:tbl>
  <w:p w14:paraId="431E0E03" w14:textId="77777777" w:rsidR="00365DE1" w:rsidRPr="009547B4" w:rsidRDefault="00365DE1" w:rsidP="00984925">
    <w:pPr>
      <w:pStyle w:val="Zpa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EBBE" w14:textId="77777777" w:rsidR="00365DE1" w:rsidRDefault="00365DE1">
    <w:pPr>
      <w:pStyle w:val="Zpat"/>
    </w:pPr>
  </w:p>
  <w:tbl>
    <w:tblPr>
      <w:tblW w:w="9243" w:type="dxa"/>
      <w:tblLayout w:type="fixed"/>
      <w:tblLook w:val="0000" w:firstRow="0" w:lastRow="0" w:firstColumn="0" w:lastColumn="0" w:noHBand="0" w:noVBand="0"/>
    </w:tblPr>
    <w:tblGrid>
      <w:gridCol w:w="3081"/>
      <w:gridCol w:w="3082"/>
      <w:gridCol w:w="3080"/>
    </w:tblGrid>
    <w:tr w:rsidR="00365DE1" w14:paraId="65E135FC" w14:textId="77777777" w:rsidTr="009547B4">
      <w:tc>
        <w:tcPr>
          <w:tcW w:w="1667" w:type="pct"/>
          <w:shd w:val="clear" w:color="auto" w:fill="auto"/>
          <w:vAlign w:val="bottom"/>
        </w:tcPr>
        <w:p w14:paraId="135DA37B" w14:textId="31EB25D8" w:rsidR="00365DE1" w:rsidRPr="009547B4" w:rsidRDefault="009547B4" w:rsidP="009547B4">
          <w:pPr>
            <w:pStyle w:val="Zpat"/>
          </w:pPr>
          <w:r w:rsidRPr="009547B4">
            <w:t>EMEA 137773885</w:t>
          </w:r>
        </w:p>
      </w:tc>
      <w:tc>
        <w:tcPr>
          <w:tcW w:w="1667" w:type="pct"/>
          <w:shd w:val="clear" w:color="auto" w:fill="auto"/>
        </w:tcPr>
        <w:p w14:paraId="0A5555CB" w14:textId="6DE4B098" w:rsidR="00365DE1" w:rsidRDefault="00365DE1" w:rsidP="009547B4">
          <w:pPr>
            <w:pStyle w:val="WCPageNumber"/>
          </w:pPr>
          <w:r>
            <w:rPr>
              <w:rStyle w:val="slostrnky"/>
            </w:rPr>
            <w:t xml:space="preserve">- </w:t>
          </w:r>
          <w:r>
            <w:rPr>
              <w:rStyle w:val="slostrnky"/>
            </w:rPr>
            <w:fldChar w:fldCharType="begin"/>
          </w:r>
          <w:r>
            <w:rPr>
              <w:rStyle w:val="slostrnky"/>
            </w:rPr>
            <w:instrText xml:space="preserve"> PAGE </w:instrText>
          </w:r>
          <w:r>
            <w:rPr>
              <w:rStyle w:val="slostrnky"/>
            </w:rPr>
            <w:fldChar w:fldCharType="separate"/>
          </w:r>
          <w:r w:rsidR="009547B4">
            <w:rPr>
              <w:rStyle w:val="slostrnky"/>
              <w:noProof/>
            </w:rPr>
            <w:t>6</w:t>
          </w:r>
          <w:r>
            <w:rPr>
              <w:rStyle w:val="slostrnky"/>
            </w:rPr>
            <w:fldChar w:fldCharType="end"/>
          </w:r>
          <w:r>
            <w:rPr>
              <w:rStyle w:val="slostrnky"/>
            </w:rPr>
            <w:t xml:space="preserve"> -</w:t>
          </w:r>
        </w:p>
      </w:tc>
      <w:tc>
        <w:tcPr>
          <w:tcW w:w="1667" w:type="pct"/>
          <w:shd w:val="clear" w:color="auto" w:fill="auto"/>
        </w:tcPr>
        <w:p w14:paraId="06C8F164" w14:textId="77777777" w:rsidR="00365DE1" w:rsidRDefault="00365DE1" w:rsidP="009547B4">
          <w:pPr>
            <w:pStyle w:val="Zpat"/>
            <w:jc w:val="right"/>
          </w:pPr>
        </w:p>
      </w:tc>
    </w:tr>
  </w:tbl>
  <w:p w14:paraId="0BE0E848" w14:textId="77777777" w:rsidR="00365DE1" w:rsidRPr="009547B4" w:rsidRDefault="00365DE1">
    <w:pPr>
      <w:pStyle w:val="Zpat"/>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BF3A" w14:textId="77777777" w:rsidR="00365DE1" w:rsidRDefault="00365DE1" w:rsidP="00984925">
    <w:pPr>
      <w:pStyle w:val="Zpat"/>
    </w:pPr>
  </w:p>
  <w:tbl>
    <w:tblPr>
      <w:tblW w:w="9167" w:type="dxa"/>
      <w:tblLayout w:type="fixed"/>
      <w:tblCellMar>
        <w:left w:w="70" w:type="dxa"/>
        <w:right w:w="70" w:type="dxa"/>
      </w:tblCellMar>
      <w:tblLook w:val="0000" w:firstRow="0" w:lastRow="0" w:firstColumn="0" w:lastColumn="0" w:noHBand="0" w:noVBand="0"/>
    </w:tblPr>
    <w:tblGrid>
      <w:gridCol w:w="3667"/>
      <w:gridCol w:w="1833"/>
      <w:gridCol w:w="3667"/>
    </w:tblGrid>
    <w:tr w:rsidR="00365DE1" w14:paraId="5BF879EE" w14:textId="77777777" w:rsidTr="009547B4">
      <w:tc>
        <w:tcPr>
          <w:tcW w:w="2000" w:type="pct"/>
          <w:shd w:val="clear" w:color="auto" w:fill="auto"/>
          <w:vAlign w:val="bottom"/>
        </w:tcPr>
        <w:p w14:paraId="1EDF0A4F" w14:textId="359D61C1" w:rsidR="00365DE1" w:rsidRPr="009547B4" w:rsidRDefault="009547B4" w:rsidP="009547B4">
          <w:pPr>
            <w:pStyle w:val="Zpat"/>
          </w:pPr>
          <w:r w:rsidRPr="009547B4">
            <w:t>EMEA 137773885</w:t>
          </w:r>
        </w:p>
      </w:tc>
      <w:tc>
        <w:tcPr>
          <w:tcW w:w="1000" w:type="pct"/>
          <w:shd w:val="clear" w:color="auto" w:fill="auto"/>
        </w:tcPr>
        <w:p w14:paraId="6D9B4473" w14:textId="77777777" w:rsidR="00365DE1" w:rsidRDefault="00365DE1" w:rsidP="009547B4">
          <w:pPr>
            <w:pStyle w:val="WCPageNumber"/>
          </w:pPr>
        </w:p>
      </w:tc>
      <w:tc>
        <w:tcPr>
          <w:tcW w:w="2000" w:type="pct"/>
          <w:shd w:val="clear" w:color="auto" w:fill="auto"/>
        </w:tcPr>
        <w:p w14:paraId="789DE21D" w14:textId="77777777" w:rsidR="00365DE1" w:rsidRDefault="00365DE1" w:rsidP="009547B4">
          <w:pPr>
            <w:pStyle w:val="Zpat"/>
            <w:jc w:val="right"/>
          </w:pPr>
        </w:p>
      </w:tc>
    </w:tr>
  </w:tbl>
  <w:p w14:paraId="666A81FD" w14:textId="77777777" w:rsidR="00365DE1" w:rsidRPr="009547B4" w:rsidRDefault="00365DE1" w:rsidP="00984925">
    <w:pPr>
      <w:pStyle w:val="Zpa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64B19" w14:textId="77777777" w:rsidR="007D611F" w:rsidRDefault="007D611F">
      <w:r>
        <w:separator/>
      </w:r>
    </w:p>
  </w:footnote>
  <w:footnote w:type="continuationSeparator" w:id="0">
    <w:p w14:paraId="68962C4A" w14:textId="77777777" w:rsidR="007D611F" w:rsidRDefault="007D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3745" w14:textId="77777777" w:rsidR="002044AD" w:rsidRDefault="002044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FC2EC" w14:textId="77777777" w:rsidR="002044AD" w:rsidRDefault="002044A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813B" w14:textId="77777777" w:rsidR="002044AD" w:rsidRDefault="002044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3FF054FE"/>
    <w:name w:val="List Number 3"/>
    <w:lvl w:ilvl="0">
      <w:start w:val="1"/>
      <w:numFmt w:val="decimal"/>
      <w:pStyle w:val="slovanseznam3"/>
      <w:lvlText w:val="%1."/>
      <w:lvlJc w:val="left"/>
      <w:pPr>
        <w:tabs>
          <w:tab w:val="num" w:pos="1080"/>
        </w:tabs>
        <w:ind w:left="1080" w:hanging="360"/>
      </w:pPr>
    </w:lvl>
  </w:abstractNum>
  <w:abstractNum w:abstractNumId="1" w15:restartNumberingAfterBreak="0">
    <w:nsid w:val="01166334"/>
    <w:multiLevelType w:val="multilevel"/>
    <w:tmpl w:val="1506C62C"/>
    <w:lvl w:ilvl="0">
      <w:start w:val="1"/>
      <w:numFmt w:val="upperRoman"/>
      <w:suff w:val="nothing"/>
      <w:lvlText w:val="Článek %1"/>
      <w:lvlJc w:val="left"/>
      <w:pPr>
        <w:ind w:left="0" w:firstLine="0"/>
      </w:pPr>
      <w:rPr>
        <w:rFonts w:ascii="Times New Roman" w:hAnsi="Times New Roman" w:cs="Times New Roman" w:hint="default"/>
        <w:b/>
        <w:i w:val="0"/>
        <w:caps w:val="0"/>
        <w:strike w:val="0"/>
        <w:dstrike w:val="0"/>
        <w:vanish w:val="0"/>
        <w:color w:val="auto"/>
        <w:spacing w:val="0"/>
        <w:w w:val="100"/>
        <w:kern w:val="0"/>
        <w:position w:val="0"/>
        <w:sz w:val="24"/>
        <w:u w:val="none"/>
        <w:effect w:val="none"/>
        <w:vertAlign w:val="baseline"/>
      </w:rPr>
    </w:lvl>
    <w:lvl w:ilvl="1">
      <w:start w:val="1"/>
      <w:numFmt w:val="decimal"/>
      <w:isLgl/>
      <w:lvlText w:val="%1.%2"/>
      <w:lvlJc w:val="left"/>
      <w:pPr>
        <w:ind w:left="72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rPr>
    </w:lvl>
    <w:lvl w:ilvl="2">
      <w:start w:val="1"/>
      <w:numFmt w:val="lowerLetter"/>
      <w:lvlText w:val="(%3)"/>
      <w:lvlJc w:val="left"/>
      <w:pPr>
        <w:ind w:left="1440" w:hanging="720"/>
      </w:pPr>
      <w:rPr>
        <w:rFonts w:hint="default"/>
        <w:b w:val="0"/>
        <w:i w:val="0"/>
        <w:caps w:val="0"/>
        <w:strike w:val="0"/>
        <w:dstrike w:val="0"/>
        <w:vanish w:val="0"/>
        <w:color w:val="auto"/>
        <w:spacing w:val="0"/>
        <w:w w:val="100"/>
        <w:kern w:val="0"/>
        <w:position w:val="0"/>
        <w:sz w:val="24"/>
        <w:u w:val="none"/>
        <w:effect w:val="none"/>
        <w:vertAlign w:val="baseline"/>
      </w:rPr>
    </w:lvl>
    <w:lvl w:ilvl="3">
      <w:start w:val="1"/>
      <w:numFmt w:val="none"/>
      <w:suff w:val="nothing"/>
      <w:lvlText w:val=""/>
      <w:lvlJc w:val="left"/>
      <w:pPr>
        <w:ind w:left="212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2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rPr>
    </w:lvl>
    <w:lvl w:ilvl="5">
      <w:start w:val="1"/>
      <w:numFmt w:val="none"/>
      <w:suff w:val="nothing"/>
      <w:lvlText w:val=""/>
      <w:lvlJc w:val="left"/>
      <w:pPr>
        <w:ind w:left="360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suff w:val="nothing"/>
      <w:lvlText w:val=""/>
      <w:lvlJc w:val="left"/>
      <w:pPr>
        <w:ind w:left="432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suff w:val="nothing"/>
      <w:lvlText w:val=""/>
      <w:lvlJc w:val="left"/>
      <w:pPr>
        <w:ind w:left="504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suff w:val="nothing"/>
      <w:lvlText w:val=""/>
      <w:lvlJc w:val="left"/>
      <w:pPr>
        <w:ind w:left="576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2" w15:restartNumberingAfterBreak="0">
    <w:nsid w:val="0AA51D45"/>
    <w:multiLevelType w:val="multilevel"/>
    <w:tmpl w:val="6E5632A2"/>
    <w:lvl w:ilvl="0">
      <w:start w:val="1"/>
      <w:numFmt w:val="upperRoman"/>
      <w:pStyle w:val="Nadpis1"/>
      <w:suff w:val="nothing"/>
      <w:lvlText w:val="Článek %1"/>
      <w:lvlJc w:val="left"/>
      <w:pPr>
        <w:ind w:left="0" w:firstLine="0"/>
      </w:pPr>
      <w:rPr>
        <w:rFonts w:ascii="Times New Roman" w:hAnsi="Times New Roman" w:cs="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ind w:left="72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adpis3"/>
      <w:lvlText w:val="(%3)"/>
      <w:lvlJc w:val="left"/>
      <w:pPr>
        <w:ind w:left="144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Nadpis4"/>
      <w:lvlText w:val="(%4)"/>
      <w:lvlJc w:val="left"/>
      <w:pPr>
        <w:ind w:left="2160" w:hanging="771"/>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Nadpis5"/>
      <w:suff w:val="nothing"/>
      <w:lvlText w:val=""/>
      <w:lvlJc w:val="left"/>
      <w:pPr>
        <w:ind w:left="282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Nadpis6"/>
      <w:suff w:val="nothing"/>
      <w:lvlText w:val=""/>
      <w:lvlJc w:val="left"/>
      <w:pPr>
        <w:ind w:left="360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Nadpis7"/>
      <w:suff w:val="nothing"/>
      <w:lvlText w:val=""/>
      <w:lvlJc w:val="left"/>
      <w:pPr>
        <w:ind w:left="432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Nadpis8"/>
      <w:suff w:val="nothing"/>
      <w:lvlText w:val=""/>
      <w:lvlJc w:val="left"/>
      <w:pPr>
        <w:ind w:left="504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Nadpis9"/>
      <w:suff w:val="nothing"/>
      <w:lvlText w:val=""/>
      <w:lvlJc w:val="left"/>
      <w:pPr>
        <w:ind w:left="576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3617166"/>
    <w:multiLevelType w:val="multilevel"/>
    <w:tmpl w:val="BBCE6F8E"/>
    <w:name w:val="Heading"/>
    <w:lvl w:ilvl="0">
      <w:start w:val="1"/>
      <w:numFmt w:val="decimal"/>
      <w:lvlText w:val="%1."/>
      <w:lvlJc w:val="left"/>
      <w:pPr>
        <w:tabs>
          <w:tab w:val="num" w:pos="720"/>
        </w:tabs>
        <w:ind w:left="720" w:hanging="720"/>
      </w:pPr>
      <w:rPr>
        <w:rFonts w:ascii="Times New Roman" w:hAnsi="Times New Roman" w:cs="Times New Roman" w:hint="default"/>
        <w:b w:val="0"/>
        <w:bCs w:val="0"/>
        <w:i w:val="0"/>
        <w:iCs w:val="0"/>
        <w:color w:val="000000" w:themeColor="text1"/>
        <w:sz w:val="22"/>
        <w:szCs w:val="22"/>
      </w:rPr>
    </w:lvl>
    <w:lvl w:ilvl="1">
      <w:start w:val="1"/>
      <w:numFmt w:val="decimal"/>
      <w:isLgl/>
      <w:lvlText w:val="%1.%2"/>
      <w:lvlJc w:val="left"/>
      <w:pPr>
        <w:tabs>
          <w:tab w:val="num" w:pos="720"/>
        </w:tabs>
        <w:ind w:left="720" w:hanging="720"/>
      </w:pPr>
      <w:rPr>
        <w:rFonts w:ascii="Times New Roman" w:hAnsi="Times New Roman" w:cs="Times New Roman" w:hint="default"/>
        <w:b w:val="0"/>
        <w:bCs w:val="0"/>
        <w:i w:val="0"/>
        <w:iCs w:val="0"/>
        <w:color w:val="000000" w:themeColor="text1"/>
        <w:sz w:val="22"/>
        <w:szCs w:val="22"/>
      </w:rPr>
    </w:lvl>
    <w:lvl w:ilvl="2">
      <w:start w:val="1"/>
      <w:numFmt w:val="lowerLetter"/>
      <w:lvlText w:val="(%3)"/>
      <w:lvlJc w:val="left"/>
      <w:pPr>
        <w:tabs>
          <w:tab w:val="num" w:pos="1440"/>
        </w:tabs>
        <w:ind w:left="1440" w:hanging="720"/>
      </w:pPr>
      <w:rPr>
        <w:rFonts w:hint="default"/>
        <w:color w:val="000000" w:themeColor="text1"/>
      </w:rPr>
    </w:lvl>
    <w:lvl w:ilvl="3">
      <w:start w:val="1"/>
      <w:numFmt w:val="lowerRoman"/>
      <w:lvlText w:val="(%4)"/>
      <w:lvlJc w:val="left"/>
      <w:pPr>
        <w:tabs>
          <w:tab w:val="num" w:pos="2160"/>
        </w:tabs>
        <w:ind w:left="2160" w:hanging="720"/>
      </w:pPr>
      <w:rPr>
        <w:rFonts w:hint="default"/>
        <w:color w:val="000000" w:themeColor="text1"/>
      </w:rPr>
    </w:lvl>
    <w:lvl w:ilvl="4">
      <w:start w:val="1"/>
      <w:numFmt w:val="upperLetter"/>
      <w:lvlText w:val="(%5)"/>
      <w:lvlJc w:val="left"/>
      <w:pPr>
        <w:tabs>
          <w:tab w:val="num" w:pos="2880"/>
        </w:tabs>
        <w:ind w:left="2880" w:hanging="720"/>
      </w:pPr>
      <w:rPr>
        <w:rFonts w:hint="default"/>
        <w:color w:val="000000" w:themeColor="text1"/>
      </w:rPr>
    </w:lvl>
    <w:lvl w:ilvl="5">
      <w:start w:val="1"/>
      <w:numFmt w:val="decimal"/>
      <w:lvlText w:val="(%6)"/>
      <w:lvlJc w:val="left"/>
      <w:pPr>
        <w:tabs>
          <w:tab w:val="num" w:pos="3600"/>
        </w:tabs>
        <w:ind w:left="3600" w:hanging="720"/>
      </w:pPr>
      <w:rPr>
        <w:rFonts w:hint="default"/>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7E6B2B37"/>
    <w:multiLevelType w:val="multilevel"/>
    <w:tmpl w:val="1506C62C"/>
    <w:lvl w:ilvl="0">
      <w:start w:val="1"/>
      <w:numFmt w:val="upperRoman"/>
      <w:suff w:val="nothing"/>
      <w:lvlText w:val="Článek %1"/>
      <w:lvlJc w:val="left"/>
      <w:pPr>
        <w:ind w:left="0" w:firstLine="0"/>
      </w:pPr>
      <w:rPr>
        <w:rFonts w:ascii="Times New Roman" w:hAnsi="Times New Roman" w:cs="Times New Roman" w:hint="default"/>
        <w:b/>
        <w:i w:val="0"/>
        <w:caps w:val="0"/>
        <w:strike w:val="0"/>
        <w:dstrike w:val="0"/>
        <w:vanish w:val="0"/>
        <w:color w:val="auto"/>
        <w:spacing w:val="0"/>
        <w:w w:val="100"/>
        <w:kern w:val="0"/>
        <w:position w:val="0"/>
        <w:sz w:val="24"/>
        <w:u w:val="none"/>
        <w:effect w:val="none"/>
        <w:vertAlign w:val="baseline"/>
      </w:rPr>
    </w:lvl>
    <w:lvl w:ilvl="1">
      <w:start w:val="1"/>
      <w:numFmt w:val="decimal"/>
      <w:isLgl/>
      <w:lvlText w:val="%1.%2"/>
      <w:lvlJc w:val="left"/>
      <w:pPr>
        <w:ind w:left="72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rPr>
    </w:lvl>
    <w:lvl w:ilvl="2">
      <w:start w:val="1"/>
      <w:numFmt w:val="lowerLetter"/>
      <w:lvlText w:val="(%3)"/>
      <w:lvlJc w:val="left"/>
      <w:pPr>
        <w:ind w:left="1440" w:hanging="720"/>
      </w:pPr>
      <w:rPr>
        <w:rFonts w:hint="default"/>
        <w:b w:val="0"/>
        <w:i w:val="0"/>
        <w:caps w:val="0"/>
        <w:strike w:val="0"/>
        <w:dstrike w:val="0"/>
        <w:vanish w:val="0"/>
        <w:color w:val="auto"/>
        <w:spacing w:val="0"/>
        <w:w w:val="100"/>
        <w:kern w:val="0"/>
        <w:position w:val="0"/>
        <w:sz w:val="24"/>
        <w:u w:val="none"/>
        <w:effect w:val="none"/>
        <w:vertAlign w:val="baseline"/>
      </w:rPr>
    </w:lvl>
    <w:lvl w:ilvl="3">
      <w:start w:val="1"/>
      <w:numFmt w:val="none"/>
      <w:suff w:val="nothing"/>
      <w:lvlText w:val=""/>
      <w:lvlJc w:val="left"/>
      <w:pPr>
        <w:ind w:left="212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20" w:hanging="720"/>
      </w:pPr>
      <w:rPr>
        <w:rFonts w:ascii="Times New Roman" w:hAnsi="Times New Roman" w:cs="Times New Roman" w:hint="default"/>
        <w:b w:val="0"/>
        <w:i w:val="0"/>
        <w:caps w:val="0"/>
        <w:strike w:val="0"/>
        <w:dstrike w:val="0"/>
        <w:vanish w:val="0"/>
        <w:color w:val="auto"/>
        <w:spacing w:val="0"/>
        <w:w w:val="100"/>
        <w:kern w:val="0"/>
        <w:position w:val="0"/>
        <w:sz w:val="24"/>
        <w:u w:val="none"/>
        <w:effect w:val="none"/>
        <w:vertAlign w:val="baseline"/>
      </w:rPr>
    </w:lvl>
    <w:lvl w:ilvl="5">
      <w:start w:val="1"/>
      <w:numFmt w:val="none"/>
      <w:suff w:val="nothing"/>
      <w:lvlText w:val=""/>
      <w:lvlJc w:val="left"/>
      <w:pPr>
        <w:ind w:left="360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suff w:val="nothing"/>
      <w:lvlText w:val=""/>
      <w:lvlJc w:val="left"/>
      <w:pPr>
        <w:ind w:left="432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suff w:val="nothing"/>
      <w:lvlText w:val=""/>
      <w:lvlJc w:val="left"/>
      <w:pPr>
        <w:ind w:left="504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suff w:val="nothing"/>
      <w:lvlText w:val=""/>
      <w:lvlJc w:val="left"/>
      <w:pPr>
        <w:ind w:left="576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num w:numId="1">
    <w:abstractNumId w:val="2"/>
  </w:num>
  <w:num w:numId="2">
    <w:abstractNumId w:val="0"/>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Heading"/>
    <w:docVar w:name="SWAllDesigns" w:val="Heading|"/>
    <w:docVar w:name="SWAllLineBreaks" w:val="Heading~~1|0|0|0|0|0|0|0|0|@@"/>
    <w:docVar w:name="W&amp;C_Doc#" w:val="115831184"/>
    <w:docVar w:name="W&amp;C_Lib" w:val="EMEA"/>
    <w:docVar w:name="W&amp;C_Ver#" w:val="2"/>
  </w:docVars>
  <w:rsids>
    <w:rsidRoot w:val="00F22DED"/>
    <w:rsid w:val="00000632"/>
    <w:rsid w:val="00027BC1"/>
    <w:rsid w:val="00033A2E"/>
    <w:rsid w:val="00037085"/>
    <w:rsid w:val="00044ACA"/>
    <w:rsid w:val="00050B69"/>
    <w:rsid w:val="00053E19"/>
    <w:rsid w:val="000678B2"/>
    <w:rsid w:val="00073D24"/>
    <w:rsid w:val="000746CC"/>
    <w:rsid w:val="00085A5C"/>
    <w:rsid w:val="000924E4"/>
    <w:rsid w:val="0009291B"/>
    <w:rsid w:val="00092E1A"/>
    <w:rsid w:val="00093C15"/>
    <w:rsid w:val="000A25B6"/>
    <w:rsid w:val="000B099F"/>
    <w:rsid w:val="000B1EBE"/>
    <w:rsid w:val="000C5881"/>
    <w:rsid w:val="000D551F"/>
    <w:rsid w:val="000D6E03"/>
    <w:rsid w:val="000D72AA"/>
    <w:rsid w:val="000E367F"/>
    <w:rsid w:val="00102391"/>
    <w:rsid w:val="0011097B"/>
    <w:rsid w:val="00135343"/>
    <w:rsid w:val="00141DAD"/>
    <w:rsid w:val="00143064"/>
    <w:rsid w:val="00145062"/>
    <w:rsid w:val="0014702B"/>
    <w:rsid w:val="00151DBE"/>
    <w:rsid w:val="001537EC"/>
    <w:rsid w:val="00155963"/>
    <w:rsid w:val="00155A5E"/>
    <w:rsid w:val="00156642"/>
    <w:rsid w:val="001603B5"/>
    <w:rsid w:val="00171C5A"/>
    <w:rsid w:val="00177E80"/>
    <w:rsid w:val="00180D03"/>
    <w:rsid w:val="00181BAE"/>
    <w:rsid w:val="00187050"/>
    <w:rsid w:val="00195DDA"/>
    <w:rsid w:val="001A09F4"/>
    <w:rsid w:val="001A7BB4"/>
    <w:rsid w:val="001B0342"/>
    <w:rsid w:val="001B1DF6"/>
    <w:rsid w:val="001B58E2"/>
    <w:rsid w:val="001B6F86"/>
    <w:rsid w:val="001B754D"/>
    <w:rsid w:val="001C3013"/>
    <w:rsid w:val="001C3A89"/>
    <w:rsid w:val="001D6899"/>
    <w:rsid w:val="001D79CC"/>
    <w:rsid w:val="001E1448"/>
    <w:rsid w:val="001E2911"/>
    <w:rsid w:val="001F0B36"/>
    <w:rsid w:val="001F7BF3"/>
    <w:rsid w:val="002044AD"/>
    <w:rsid w:val="0021035F"/>
    <w:rsid w:val="0021039B"/>
    <w:rsid w:val="00212F39"/>
    <w:rsid w:val="00212F58"/>
    <w:rsid w:val="00214C90"/>
    <w:rsid w:val="002274C3"/>
    <w:rsid w:val="0024188B"/>
    <w:rsid w:val="00246550"/>
    <w:rsid w:val="0026354D"/>
    <w:rsid w:val="00270113"/>
    <w:rsid w:val="0027462B"/>
    <w:rsid w:val="0027662F"/>
    <w:rsid w:val="00280235"/>
    <w:rsid w:val="002839AD"/>
    <w:rsid w:val="0028401A"/>
    <w:rsid w:val="0028799A"/>
    <w:rsid w:val="00287C76"/>
    <w:rsid w:val="00291BC2"/>
    <w:rsid w:val="00294BD6"/>
    <w:rsid w:val="00294E53"/>
    <w:rsid w:val="00295FA6"/>
    <w:rsid w:val="002C4606"/>
    <w:rsid w:val="002E0F26"/>
    <w:rsid w:val="002E3CB7"/>
    <w:rsid w:val="002F0547"/>
    <w:rsid w:val="002F5D1D"/>
    <w:rsid w:val="00301CFD"/>
    <w:rsid w:val="00306D82"/>
    <w:rsid w:val="00313B84"/>
    <w:rsid w:val="00320367"/>
    <w:rsid w:val="00324DFC"/>
    <w:rsid w:val="00325272"/>
    <w:rsid w:val="003379BF"/>
    <w:rsid w:val="00342827"/>
    <w:rsid w:val="003556A6"/>
    <w:rsid w:val="00356604"/>
    <w:rsid w:val="003632D5"/>
    <w:rsid w:val="00365DE1"/>
    <w:rsid w:val="00375976"/>
    <w:rsid w:val="0038146C"/>
    <w:rsid w:val="00384346"/>
    <w:rsid w:val="00386DA1"/>
    <w:rsid w:val="00390347"/>
    <w:rsid w:val="00390616"/>
    <w:rsid w:val="00395E9B"/>
    <w:rsid w:val="00396CAE"/>
    <w:rsid w:val="0039760E"/>
    <w:rsid w:val="003B16DE"/>
    <w:rsid w:val="003B69C2"/>
    <w:rsid w:val="003C1208"/>
    <w:rsid w:val="003C1790"/>
    <w:rsid w:val="003C20A3"/>
    <w:rsid w:val="003D4FB6"/>
    <w:rsid w:val="003D5D19"/>
    <w:rsid w:val="003E0880"/>
    <w:rsid w:val="003E0B69"/>
    <w:rsid w:val="003F1EB8"/>
    <w:rsid w:val="00403104"/>
    <w:rsid w:val="004100C0"/>
    <w:rsid w:val="0041086E"/>
    <w:rsid w:val="00420BA7"/>
    <w:rsid w:val="00422619"/>
    <w:rsid w:val="004234FA"/>
    <w:rsid w:val="004235FE"/>
    <w:rsid w:val="004268AF"/>
    <w:rsid w:val="00453E80"/>
    <w:rsid w:val="004603FB"/>
    <w:rsid w:val="00464118"/>
    <w:rsid w:val="00466ABE"/>
    <w:rsid w:val="00475200"/>
    <w:rsid w:val="0047701E"/>
    <w:rsid w:val="00491A71"/>
    <w:rsid w:val="00495E9F"/>
    <w:rsid w:val="004B0A46"/>
    <w:rsid w:val="004C3B9A"/>
    <w:rsid w:val="004C5085"/>
    <w:rsid w:val="004D274B"/>
    <w:rsid w:val="004D5164"/>
    <w:rsid w:val="004E44FD"/>
    <w:rsid w:val="004F43FC"/>
    <w:rsid w:val="00517940"/>
    <w:rsid w:val="00522C68"/>
    <w:rsid w:val="00541071"/>
    <w:rsid w:val="00541DC6"/>
    <w:rsid w:val="00542366"/>
    <w:rsid w:val="00546418"/>
    <w:rsid w:val="00556FB4"/>
    <w:rsid w:val="005575FA"/>
    <w:rsid w:val="0057305F"/>
    <w:rsid w:val="00577BCA"/>
    <w:rsid w:val="00596C94"/>
    <w:rsid w:val="005A616A"/>
    <w:rsid w:val="005B79FF"/>
    <w:rsid w:val="005C2F00"/>
    <w:rsid w:val="005C54C5"/>
    <w:rsid w:val="005D1632"/>
    <w:rsid w:val="005D5897"/>
    <w:rsid w:val="005E193D"/>
    <w:rsid w:val="005E311C"/>
    <w:rsid w:val="00602128"/>
    <w:rsid w:val="00602CCC"/>
    <w:rsid w:val="00617B77"/>
    <w:rsid w:val="0062792F"/>
    <w:rsid w:val="006330CE"/>
    <w:rsid w:val="00634DDF"/>
    <w:rsid w:val="006418F7"/>
    <w:rsid w:val="00653F27"/>
    <w:rsid w:val="00662222"/>
    <w:rsid w:val="00663DB7"/>
    <w:rsid w:val="00666D19"/>
    <w:rsid w:val="00667FE9"/>
    <w:rsid w:val="00672706"/>
    <w:rsid w:val="00673727"/>
    <w:rsid w:val="0067408F"/>
    <w:rsid w:val="00674BEC"/>
    <w:rsid w:val="00675E42"/>
    <w:rsid w:val="00681B33"/>
    <w:rsid w:val="00682748"/>
    <w:rsid w:val="006927B1"/>
    <w:rsid w:val="0069367B"/>
    <w:rsid w:val="006A2A7E"/>
    <w:rsid w:val="006B1F55"/>
    <w:rsid w:val="006D6B81"/>
    <w:rsid w:val="006F0878"/>
    <w:rsid w:val="00705B46"/>
    <w:rsid w:val="0071131E"/>
    <w:rsid w:val="0071612D"/>
    <w:rsid w:val="00720EC5"/>
    <w:rsid w:val="00723B25"/>
    <w:rsid w:val="007341C0"/>
    <w:rsid w:val="00737187"/>
    <w:rsid w:val="00745651"/>
    <w:rsid w:val="0075027F"/>
    <w:rsid w:val="00750F1C"/>
    <w:rsid w:val="00752961"/>
    <w:rsid w:val="00760CDF"/>
    <w:rsid w:val="0076351F"/>
    <w:rsid w:val="007646D5"/>
    <w:rsid w:val="007667B6"/>
    <w:rsid w:val="0077333A"/>
    <w:rsid w:val="007863CB"/>
    <w:rsid w:val="0079503F"/>
    <w:rsid w:val="00795506"/>
    <w:rsid w:val="007A525B"/>
    <w:rsid w:val="007B0F07"/>
    <w:rsid w:val="007B10D6"/>
    <w:rsid w:val="007B1C4A"/>
    <w:rsid w:val="007B5F4C"/>
    <w:rsid w:val="007C082A"/>
    <w:rsid w:val="007C10A3"/>
    <w:rsid w:val="007C1B58"/>
    <w:rsid w:val="007C4910"/>
    <w:rsid w:val="007C519A"/>
    <w:rsid w:val="007C597E"/>
    <w:rsid w:val="007D22D5"/>
    <w:rsid w:val="007D611F"/>
    <w:rsid w:val="007E47AA"/>
    <w:rsid w:val="007F049A"/>
    <w:rsid w:val="00804ECC"/>
    <w:rsid w:val="00805418"/>
    <w:rsid w:val="008139C1"/>
    <w:rsid w:val="008206E3"/>
    <w:rsid w:val="008226F0"/>
    <w:rsid w:val="008315AD"/>
    <w:rsid w:val="00833885"/>
    <w:rsid w:val="00833B78"/>
    <w:rsid w:val="008534CF"/>
    <w:rsid w:val="00857197"/>
    <w:rsid w:val="00861734"/>
    <w:rsid w:val="00861FB3"/>
    <w:rsid w:val="00863D23"/>
    <w:rsid w:val="00866069"/>
    <w:rsid w:val="00866906"/>
    <w:rsid w:val="0087755B"/>
    <w:rsid w:val="00884A42"/>
    <w:rsid w:val="00890FDB"/>
    <w:rsid w:val="00892318"/>
    <w:rsid w:val="00895162"/>
    <w:rsid w:val="00897C76"/>
    <w:rsid w:val="008B18D7"/>
    <w:rsid w:val="008B4965"/>
    <w:rsid w:val="008B52BB"/>
    <w:rsid w:val="008B71BE"/>
    <w:rsid w:val="008C4DBC"/>
    <w:rsid w:val="008C504C"/>
    <w:rsid w:val="008D2160"/>
    <w:rsid w:val="008E0BCC"/>
    <w:rsid w:val="008E3760"/>
    <w:rsid w:val="009061F0"/>
    <w:rsid w:val="00912954"/>
    <w:rsid w:val="00913AD7"/>
    <w:rsid w:val="00921297"/>
    <w:rsid w:val="009224D5"/>
    <w:rsid w:val="0093123A"/>
    <w:rsid w:val="00932468"/>
    <w:rsid w:val="00933905"/>
    <w:rsid w:val="009547B4"/>
    <w:rsid w:val="00957647"/>
    <w:rsid w:val="00964037"/>
    <w:rsid w:val="009660BF"/>
    <w:rsid w:val="009670BB"/>
    <w:rsid w:val="009839A7"/>
    <w:rsid w:val="00983EA3"/>
    <w:rsid w:val="00984925"/>
    <w:rsid w:val="00984A78"/>
    <w:rsid w:val="00986C12"/>
    <w:rsid w:val="009A3C37"/>
    <w:rsid w:val="009B207B"/>
    <w:rsid w:val="009B40BC"/>
    <w:rsid w:val="009B4344"/>
    <w:rsid w:val="009B49BD"/>
    <w:rsid w:val="009C021D"/>
    <w:rsid w:val="009C6F5B"/>
    <w:rsid w:val="009D28A7"/>
    <w:rsid w:val="009D3DDA"/>
    <w:rsid w:val="009D4D63"/>
    <w:rsid w:val="009D78FB"/>
    <w:rsid w:val="009E1221"/>
    <w:rsid w:val="009F412D"/>
    <w:rsid w:val="00A00CF8"/>
    <w:rsid w:val="00A01ADE"/>
    <w:rsid w:val="00A04887"/>
    <w:rsid w:val="00A070F0"/>
    <w:rsid w:val="00A1158E"/>
    <w:rsid w:val="00A1725E"/>
    <w:rsid w:val="00A22A38"/>
    <w:rsid w:val="00A2558E"/>
    <w:rsid w:val="00A2704D"/>
    <w:rsid w:val="00A4366B"/>
    <w:rsid w:val="00A43F01"/>
    <w:rsid w:val="00A55EA0"/>
    <w:rsid w:val="00A561C7"/>
    <w:rsid w:val="00A56B45"/>
    <w:rsid w:val="00A67B17"/>
    <w:rsid w:val="00A7051A"/>
    <w:rsid w:val="00A74D2C"/>
    <w:rsid w:val="00A8162C"/>
    <w:rsid w:val="00AA396C"/>
    <w:rsid w:val="00AB0E13"/>
    <w:rsid w:val="00AB62CF"/>
    <w:rsid w:val="00AB65BB"/>
    <w:rsid w:val="00AB6CF1"/>
    <w:rsid w:val="00AC7055"/>
    <w:rsid w:val="00B00A07"/>
    <w:rsid w:val="00B050BF"/>
    <w:rsid w:val="00B24F56"/>
    <w:rsid w:val="00B26F01"/>
    <w:rsid w:val="00B27C29"/>
    <w:rsid w:val="00B308C3"/>
    <w:rsid w:val="00B34F22"/>
    <w:rsid w:val="00B45CBE"/>
    <w:rsid w:val="00B46934"/>
    <w:rsid w:val="00B53636"/>
    <w:rsid w:val="00B53CA3"/>
    <w:rsid w:val="00B55485"/>
    <w:rsid w:val="00B559D1"/>
    <w:rsid w:val="00B5670B"/>
    <w:rsid w:val="00B60066"/>
    <w:rsid w:val="00B66154"/>
    <w:rsid w:val="00B74E65"/>
    <w:rsid w:val="00B81568"/>
    <w:rsid w:val="00B819CC"/>
    <w:rsid w:val="00B90516"/>
    <w:rsid w:val="00B90BF2"/>
    <w:rsid w:val="00B941FE"/>
    <w:rsid w:val="00B952B0"/>
    <w:rsid w:val="00BA4BE8"/>
    <w:rsid w:val="00BB569B"/>
    <w:rsid w:val="00BC4C9C"/>
    <w:rsid w:val="00BC4CED"/>
    <w:rsid w:val="00BD1777"/>
    <w:rsid w:val="00BD7D4A"/>
    <w:rsid w:val="00BE2720"/>
    <w:rsid w:val="00BE69A5"/>
    <w:rsid w:val="00BE6F6C"/>
    <w:rsid w:val="00BF0334"/>
    <w:rsid w:val="00BF416D"/>
    <w:rsid w:val="00C15947"/>
    <w:rsid w:val="00C16A3D"/>
    <w:rsid w:val="00C1707F"/>
    <w:rsid w:val="00C250C5"/>
    <w:rsid w:val="00C25DDF"/>
    <w:rsid w:val="00C34334"/>
    <w:rsid w:val="00C43D0E"/>
    <w:rsid w:val="00C440B9"/>
    <w:rsid w:val="00C44614"/>
    <w:rsid w:val="00C45071"/>
    <w:rsid w:val="00C47E4F"/>
    <w:rsid w:val="00C62939"/>
    <w:rsid w:val="00C629AF"/>
    <w:rsid w:val="00C66D7F"/>
    <w:rsid w:val="00C676A0"/>
    <w:rsid w:val="00C71FF4"/>
    <w:rsid w:val="00C73D5A"/>
    <w:rsid w:val="00C82B02"/>
    <w:rsid w:val="00C8346C"/>
    <w:rsid w:val="00C8541E"/>
    <w:rsid w:val="00C917BF"/>
    <w:rsid w:val="00C94936"/>
    <w:rsid w:val="00CA1EFD"/>
    <w:rsid w:val="00CA2F95"/>
    <w:rsid w:val="00CB2EAE"/>
    <w:rsid w:val="00CD548E"/>
    <w:rsid w:val="00CD7448"/>
    <w:rsid w:val="00CD7628"/>
    <w:rsid w:val="00D001B1"/>
    <w:rsid w:val="00D02E5C"/>
    <w:rsid w:val="00D058D9"/>
    <w:rsid w:val="00D06E1C"/>
    <w:rsid w:val="00D07347"/>
    <w:rsid w:val="00D11844"/>
    <w:rsid w:val="00D21882"/>
    <w:rsid w:val="00D22611"/>
    <w:rsid w:val="00D23885"/>
    <w:rsid w:val="00D26875"/>
    <w:rsid w:val="00D27701"/>
    <w:rsid w:val="00D36947"/>
    <w:rsid w:val="00D435DC"/>
    <w:rsid w:val="00D460E2"/>
    <w:rsid w:val="00D51B6E"/>
    <w:rsid w:val="00D51F2F"/>
    <w:rsid w:val="00D54AD0"/>
    <w:rsid w:val="00D6541F"/>
    <w:rsid w:val="00D663A0"/>
    <w:rsid w:val="00D7170A"/>
    <w:rsid w:val="00D753E9"/>
    <w:rsid w:val="00D81CE0"/>
    <w:rsid w:val="00D86A12"/>
    <w:rsid w:val="00D93F9E"/>
    <w:rsid w:val="00DB1EFA"/>
    <w:rsid w:val="00DB4363"/>
    <w:rsid w:val="00DC2774"/>
    <w:rsid w:val="00DC418C"/>
    <w:rsid w:val="00DC6F5E"/>
    <w:rsid w:val="00DE643E"/>
    <w:rsid w:val="00DF55F7"/>
    <w:rsid w:val="00E05661"/>
    <w:rsid w:val="00E13700"/>
    <w:rsid w:val="00E13DFD"/>
    <w:rsid w:val="00E22AD4"/>
    <w:rsid w:val="00E2681C"/>
    <w:rsid w:val="00E3396F"/>
    <w:rsid w:val="00E417FD"/>
    <w:rsid w:val="00E42681"/>
    <w:rsid w:val="00E50C0E"/>
    <w:rsid w:val="00E55F77"/>
    <w:rsid w:val="00E61BFB"/>
    <w:rsid w:val="00E64F28"/>
    <w:rsid w:val="00E662BB"/>
    <w:rsid w:val="00E77B38"/>
    <w:rsid w:val="00EA469C"/>
    <w:rsid w:val="00EB1A56"/>
    <w:rsid w:val="00EC0DEF"/>
    <w:rsid w:val="00EC15CD"/>
    <w:rsid w:val="00EC3593"/>
    <w:rsid w:val="00EC3FD8"/>
    <w:rsid w:val="00ED01DD"/>
    <w:rsid w:val="00ED0646"/>
    <w:rsid w:val="00ED5744"/>
    <w:rsid w:val="00EF47F3"/>
    <w:rsid w:val="00EF6D13"/>
    <w:rsid w:val="00F061F6"/>
    <w:rsid w:val="00F07A83"/>
    <w:rsid w:val="00F142C6"/>
    <w:rsid w:val="00F17789"/>
    <w:rsid w:val="00F22D6A"/>
    <w:rsid w:val="00F22DED"/>
    <w:rsid w:val="00F31F10"/>
    <w:rsid w:val="00F32D11"/>
    <w:rsid w:val="00F40CE3"/>
    <w:rsid w:val="00F41BC7"/>
    <w:rsid w:val="00F42609"/>
    <w:rsid w:val="00F54E56"/>
    <w:rsid w:val="00F61FB3"/>
    <w:rsid w:val="00F6279F"/>
    <w:rsid w:val="00F63362"/>
    <w:rsid w:val="00F71050"/>
    <w:rsid w:val="00F82DE8"/>
    <w:rsid w:val="00FA093D"/>
    <w:rsid w:val="00FA0EAC"/>
    <w:rsid w:val="00FB1FB6"/>
    <w:rsid w:val="00FB332B"/>
    <w:rsid w:val="00FB4AD3"/>
    <w:rsid w:val="00FB5671"/>
    <w:rsid w:val="00FD0530"/>
    <w:rsid w:val="00FD4513"/>
    <w:rsid w:val="00FE0EAA"/>
  </w:rsids>
  <m:mathPr>
    <m:mathFont m:val="Cambria Math"/>
    <m:brkBin m:val="before"/>
    <m:brkBinSub m:val="--"/>
    <m:smallFrac m:val="0"/>
    <m:dispDef/>
    <m:lMargin m:val="0"/>
    <m:rMargin m:val="0"/>
    <m:defJc m:val="centerGroup"/>
    <m:wrapIndent m:val="1440"/>
    <m:intLim m:val="subSup"/>
    <m:naryLim m:val="undOvr"/>
  </m:mathPr>
  <w:themeFontLang w:val="cs-CZ"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0E85E"/>
  <w15:docId w15:val="{0372C9E9-2AC5-4584-A4FB-729C90C3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B1C4A"/>
    <w:rPr>
      <w:sz w:val="24"/>
      <w:szCs w:val="24"/>
      <w:lang w:eastAsia="en-US"/>
    </w:rPr>
  </w:style>
  <w:style w:type="paragraph" w:styleId="Nadpis1">
    <w:name w:val="heading 1"/>
    <w:basedOn w:val="Normln"/>
    <w:next w:val="Zkladntext"/>
    <w:qFormat/>
    <w:pPr>
      <w:keepNext/>
      <w:numPr>
        <w:numId w:val="1"/>
      </w:numPr>
      <w:overflowPunct w:val="0"/>
      <w:autoSpaceDE w:val="0"/>
      <w:autoSpaceDN w:val="0"/>
      <w:adjustRightInd w:val="0"/>
      <w:spacing w:before="240" w:after="240"/>
      <w:jc w:val="center"/>
      <w:textAlignment w:val="baseline"/>
      <w:outlineLvl w:val="0"/>
    </w:pPr>
    <w:rPr>
      <w:b/>
      <w:kern w:val="32"/>
      <w:szCs w:val="20"/>
    </w:rPr>
  </w:style>
  <w:style w:type="paragraph" w:styleId="Nadpis2">
    <w:name w:val="heading 2"/>
    <w:basedOn w:val="Normln"/>
    <w:next w:val="Nadpis3"/>
    <w:qFormat/>
    <w:pPr>
      <w:numPr>
        <w:ilvl w:val="1"/>
        <w:numId w:val="1"/>
      </w:numPr>
      <w:overflowPunct w:val="0"/>
      <w:autoSpaceDE w:val="0"/>
      <w:autoSpaceDN w:val="0"/>
      <w:adjustRightInd w:val="0"/>
      <w:spacing w:after="240"/>
      <w:jc w:val="both"/>
      <w:textAlignment w:val="baseline"/>
      <w:outlineLvl w:val="1"/>
    </w:pPr>
    <w:rPr>
      <w:szCs w:val="20"/>
    </w:rPr>
  </w:style>
  <w:style w:type="paragraph" w:styleId="Nadpis3">
    <w:name w:val="heading 3"/>
    <w:basedOn w:val="Normln"/>
    <w:next w:val="Zkladntext"/>
    <w:link w:val="Nadpis3Char"/>
    <w:qFormat/>
    <w:pPr>
      <w:numPr>
        <w:ilvl w:val="2"/>
        <w:numId w:val="1"/>
      </w:numPr>
      <w:overflowPunct w:val="0"/>
      <w:autoSpaceDE w:val="0"/>
      <w:autoSpaceDN w:val="0"/>
      <w:adjustRightInd w:val="0"/>
      <w:spacing w:after="240"/>
      <w:jc w:val="both"/>
      <w:textAlignment w:val="baseline"/>
      <w:outlineLvl w:val="2"/>
    </w:pPr>
    <w:rPr>
      <w:szCs w:val="20"/>
    </w:rPr>
  </w:style>
  <w:style w:type="paragraph" w:styleId="Nadpis4">
    <w:name w:val="heading 4"/>
    <w:basedOn w:val="Normln"/>
    <w:next w:val="Zkladntext"/>
    <w:qFormat/>
    <w:pPr>
      <w:numPr>
        <w:ilvl w:val="3"/>
        <w:numId w:val="1"/>
      </w:numPr>
      <w:overflowPunct w:val="0"/>
      <w:autoSpaceDE w:val="0"/>
      <w:autoSpaceDN w:val="0"/>
      <w:adjustRightInd w:val="0"/>
      <w:spacing w:after="240"/>
      <w:jc w:val="both"/>
      <w:textAlignment w:val="baseline"/>
      <w:outlineLvl w:val="3"/>
    </w:pPr>
    <w:rPr>
      <w:szCs w:val="20"/>
    </w:rPr>
  </w:style>
  <w:style w:type="paragraph" w:styleId="Nadpis5">
    <w:name w:val="heading 5"/>
    <w:basedOn w:val="Normln"/>
    <w:next w:val="Zkladntext"/>
    <w:qFormat/>
    <w:pPr>
      <w:numPr>
        <w:ilvl w:val="4"/>
        <w:numId w:val="1"/>
      </w:numPr>
      <w:overflowPunct w:val="0"/>
      <w:autoSpaceDE w:val="0"/>
      <w:autoSpaceDN w:val="0"/>
      <w:adjustRightInd w:val="0"/>
      <w:spacing w:after="240"/>
      <w:jc w:val="both"/>
      <w:textAlignment w:val="baseline"/>
      <w:outlineLvl w:val="4"/>
    </w:pPr>
    <w:rPr>
      <w:szCs w:val="20"/>
    </w:rPr>
  </w:style>
  <w:style w:type="paragraph" w:styleId="Nadpis6">
    <w:name w:val="heading 6"/>
    <w:basedOn w:val="Normln"/>
    <w:next w:val="Zkladntext"/>
    <w:qFormat/>
    <w:pPr>
      <w:keepNext/>
      <w:numPr>
        <w:ilvl w:val="5"/>
        <w:numId w:val="1"/>
      </w:numPr>
      <w:overflowPunct w:val="0"/>
      <w:autoSpaceDE w:val="0"/>
      <w:autoSpaceDN w:val="0"/>
      <w:adjustRightInd w:val="0"/>
      <w:jc w:val="center"/>
      <w:textAlignment w:val="baseline"/>
      <w:outlineLvl w:val="5"/>
    </w:pPr>
    <w:rPr>
      <w:b/>
      <w:szCs w:val="20"/>
    </w:rPr>
  </w:style>
  <w:style w:type="paragraph" w:styleId="Nadpis7">
    <w:name w:val="heading 7"/>
    <w:basedOn w:val="Normln"/>
    <w:next w:val="Zkladntext"/>
    <w:qFormat/>
    <w:pPr>
      <w:numPr>
        <w:ilvl w:val="6"/>
        <w:numId w:val="1"/>
      </w:numPr>
      <w:overflowPunct w:val="0"/>
      <w:autoSpaceDE w:val="0"/>
      <w:autoSpaceDN w:val="0"/>
      <w:adjustRightInd w:val="0"/>
      <w:spacing w:before="240" w:after="60"/>
      <w:textAlignment w:val="baseline"/>
      <w:outlineLvl w:val="6"/>
    </w:pPr>
  </w:style>
  <w:style w:type="paragraph" w:styleId="Nadpis8">
    <w:name w:val="heading 8"/>
    <w:basedOn w:val="Normln"/>
    <w:next w:val="Zkladntext"/>
    <w:qFormat/>
    <w:pPr>
      <w:numPr>
        <w:ilvl w:val="7"/>
        <w:numId w:val="1"/>
      </w:numPr>
      <w:overflowPunct w:val="0"/>
      <w:autoSpaceDE w:val="0"/>
      <w:autoSpaceDN w:val="0"/>
      <w:adjustRightInd w:val="0"/>
      <w:spacing w:before="240" w:after="60"/>
      <w:textAlignment w:val="baseline"/>
      <w:outlineLvl w:val="7"/>
    </w:pPr>
    <w:rPr>
      <w:i/>
      <w:iCs/>
    </w:rPr>
  </w:style>
  <w:style w:type="paragraph" w:styleId="Nadpis9">
    <w:name w:val="heading 9"/>
    <w:basedOn w:val="Normln"/>
    <w:next w:val="Zkladntext"/>
    <w:qFormat/>
    <w:pPr>
      <w:numPr>
        <w:ilvl w:val="8"/>
        <w:numId w:val="1"/>
      </w:num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320"/>
        <w:tab w:val="right" w:pos="8640"/>
      </w:tabs>
    </w:pPr>
  </w:style>
  <w:style w:type="paragraph" w:customStyle="1" w:styleId="Text">
    <w:name w:val="Text"/>
    <w:aliases w:val="Body,T,body"/>
    <w:basedOn w:val="BaseTimes"/>
    <w:link w:val="TextChar"/>
    <w:pPr>
      <w:spacing w:after="240"/>
      <w:jc w:val="both"/>
    </w:pPr>
  </w:style>
  <w:style w:type="paragraph" w:styleId="Zpat">
    <w:name w:val="footer"/>
    <w:rPr>
      <w:sz w:val="12"/>
      <w:lang w:eastAsia="en-US"/>
    </w:rPr>
  </w:style>
  <w:style w:type="paragraph" w:styleId="Textpoznpodarou">
    <w:name w:val="footnote text"/>
    <w:basedOn w:val="Normln"/>
    <w:semiHidden/>
    <w:rPr>
      <w:sz w:val="20"/>
      <w:szCs w:val="20"/>
    </w:rPr>
  </w:style>
  <w:style w:type="character" w:styleId="slostrnky">
    <w:name w:val="page number"/>
    <w:rPr>
      <w:sz w:val="24"/>
    </w:rPr>
  </w:style>
  <w:style w:type="paragraph" w:customStyle="1" w:styleId="WCPageNumber">
    <w:name w:val="WCPageNumber"/>
    <w:pPr>
      <w:jc w:val="center"/>
    </w:pPr>
    <w:rPr>
      <w:sz w:val="24"/>
      <w:lang w:val="en-US" w:eastAsia="en-US"/>
    </w:rPr>
  </w:style>
  <w:style w:type="paragraph" w:customStyle="1" w:styleId="BaseArial">
    <w:name w:val="BaseArial"/>
    <w:rPr>
      <w:rFonts w:ascii="Arial" w:hAnsi="Arial"/>
      <w:sz w:val="24"/>
      <w:lang w:eastAsia="en-US"/>
    </w:rPr>
  </w:style>
  <w:style w:type="paragraph" w:customStyle="1" w:styleId="BaseTimes">
    <w:name w:val="BaseTimes"/>
    <w:rPr>
      <w:sz w:val="24"/>
      <w:lang w:eastAsia="en-US"/>
    </w:rPr>
  </w:style>
  <w:style w:type="character" w:customStyle="1" w:styleId="CharBaseArial">
    <w:name w:val="CharBaseArial"/>
    <w:rPr>
      <w:rFonts w:ascii="Arial" w:hAnsi="Arial"/>
      <w:sz w:val="24"/>
      <w:lang w:val="cs-CZ"/>
    </w:rPr>
  </w:style>
  <w:style w:type="character" w:customStyle="1" w:styleId="CharBaseTimes">
    <w:name w:val="CharBaseTimes"/>
    <w:rPr>
      <w:rFonts w:ascii="Times New Roman" w:hAnsi="Times New Roman"/>
      <w:sz w:val="24"/>
      <w:lang w:val="cs-CZ"/>
    </w:rPr>
  </w:style>
  <w:style w:type="paragraph" w:styleId="Zkladntext2">
    <w:name w:val="Body Text 2"/>
    <w:basedOn w:val="Normln"/>
    <w:pPr>
      <w:autoSpaceDE w:val="0"/>
      <w:autoSpaceDN w:val="0"/>
      <w:adjustRightInd w:val="0"/>
      <w:spacing w:after="240"/>
      <w:jc w:val="both"/>
    </w:pPr>
    <w:rPr>
      <w:szCs w:val="20"/>
    </w:rPr>
  </w:style>
  <w:style w:type="paragraph" w:styleId="Zkladntextodsazen">
    <w:name w:val="Body Text Indent"/>
    <w:basedOn w:val="Normln"/>
    <w:pPr>
      <w:autoSpaceDE w:val="0"/>
      <w:autoSpaceDN w:val="0"/>
      <w:adjustRightInd w:val="0"/>
      <w:spacing w:after="240"/>
      <w:ind w:left="720" w:hanging="720"/>
      <w:jc w:val="both"/>
    </w:pPr>
    <w:rPr>
      <w:szCs w:val="20"/>
    </w:rPr>
  </w:style>
  <w:style w:type="paragraph" w:customStyle="1" w:styleId="Sylclanek">
    <w:name w:val="Syl clanek"/>
    <w:basedOn w:val="Normln"/>
    <w:pPr>
      <w:spacing w:before="480"/>
      <w:jc w:val="center"/>
    </w:pPr>
    <w:rPr>
      <w:b/>
      <w:sz w:val="28"/>
      <w:lang w:val="en-US"/>
    </w:rPr>
  </w:style>
  <w:style w:type="character" w:styleId="Siln">
    <w:name w:val="Strong"/>
    <w:qFormat/>
    <w:rPr>
      <w:b/>
      <w:bCs/>
    </w:rPr>
  </w:style>
  <w:style w:type="paragraph" w:customStyle="1" w:styleId="text0">
    <w:name w:val="text"/>
    <w:basedOn w:val="Normln"/>
    <w:pPr>
      <w:spacing w:before="100" w:beforeAutospacing="1" w:after="100" w:afterAutospacing="1"/>
    </w:pPr>
    <w:rPr>
      <w:rFonts w:ascii="Arial Unicode MS" w:eastAsia="Arial Unicode MS" w:hAnsi="Arial Unicode MS" w:cs="Arial Unicode MS"/>
      <w:lang w:val="en-US"/>
    </w:rPr>
  </w:style>
  <w:style w:type="paragraph" w:styleId="Zkladntext">
    <w:name w:val="Body Text"/>
    <w:basedOn w:val="Normln"/>
    <w:pPr>
      <w:overflowPunct w:val="0"/>
      <w:autoSpaceDE w:val="0"/>
      <w:autoSpaceDN w:val="0"/>
      <w:adjustRightInd w:val="0"/>
      <w:spacing w:after="120"/>
      <w:textAlignment w:val="baseline"/>
    </w:pPr>
    <w:rPr>
      <w:szCs w:val="20"/>
      <w:lang w:val="en-US"/>
    </w:rPr>
  </w:style>
  <w:style w:type="character" w:styleId="Znakapoznpodarou">
    <w:name w:val="footnote reference"/>
    <w:semiHidden/>
    <w:rPr>
      <w:color w:val="auto"/>
      <w:spacing w:val="0"/>
      <w:kern w:val="0"/>
      <w:position w:val="0"/>
      <w:sz w:val="24"/>
      <w:u w:val="none"/>
      <w:vertAlign w:val="superscript"/>
    </w:rPr>
  </w:style>
  <w:style w:type="paragraph" w:styleId="Normlnweb">
    <w:name w:val="Normal (Web)"/>
    <w:basedOn w:val="Normln"/>
    <w:pPr>
      <w:spacing w:before="100" w:beforeAutospacing="1" w:after="100" w:afterAutospacing="1"/>
    </w:pPr>
    <w:rPr>
      <w:lang w:val="en-US" w:bidi="th-TH"/>
    </w:rPr>
  </w:style>
  <w:style w:type="paragraph" w:customStyle="1" w:styleId="TextIndent">
    <w:name w:val="Text Indent"/>
    <w:basedOn w:val="Text"/>
    <w:pPr>
      <w:ind w:left="720"/>
    </w:pPr>
  </w:style>
  <w:style w:type="character" w:customStyle="1" w:styleId="TextChar">
    <w:name w:val="Text Char"/>
    <w:aliases w:val="Body Char"/>
    <w:link w:val="Text"/>
    <w:locked/>
    <w:rPr>
      <w:sz w:val="24"/>
      <w:lang w:val="cs-CZ" w:eastAsia="en-US" w:bidi="ar-SA"/>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Zkladntextodsazen2">
    <w:name w:val="Body Text Indent 2"/>
    <w:basedOn w:val="Normln"/>
    <w:link w:val="Zkladntextodsazen2Char"/>
    <w:rsid w:val="00964037"/>
    <w:pPr>
      <w:spacing w:after="120" w:line="480" w:lineRule="auto"/>
      <w:ind w:left="283"/>
    </w:pPr>
  </w:style>
  <w:style w:type="character" w:customStyle="1" w:styleId="Zkladntextodsazen2Char">
    <w:name w:val="Základní text odsazený 2 Char"/>
    <w:link w:val="Zkladntextodsazen2"/>
    <w:rsid w:val="00964037"/>
    <w:rPr>
      <w:sz w:val="24"/>
      <w:szCs w:val="24"/>
      <w:lang w:eastAsia="en-US"/>
    </w:rPr>
  </w:style>
  <w:style w:type="paragraph" w:customStyle="1" w:styleId="LBodycopy">
    <w:name w:val="L_Body copy"/>
    <w:link w:val="LBodycopyCharChar"/>
    <w:uiPriority w:val="99"/>
    <w:rsid w:val="007C10A3"/>
    <w:pPr>
      <w:spacing w:after="240"/>
      <w:ind w:right="3119"/>
    </w:pPr>
    <w:rPr>
      <w:rFonts w:ascii="Arial" w:hAnsi="Arial"/>
      <w:lang w:val="en-GB" w:eastAsia="en-US"/>
    </w:rPr>
  </w:style>
  <w:style w:type="character" w:customStyle="1" w:styleId="LBodycopyCharChar">
    <w:name w:val="L_Body copy Char Char"/>
    <w:link w:val="LBodycopy"/>
    <w:uiPriority w:val="99"/>
    <w:rsid w:val="007C10A3"/>
    <w:rPr>
      <w:rFonts w:ascii="Arial" w:hAnsi="Arial"/>
      <w:lang w:val="en-GB" w:eastAsia="en-US"/>
    </w:rPr>
  </w:style>
  <w:style w:type="paragraph" w:styleId="Odstavecseseznamem">
    <w:name w:val="List Paragraph"/>
    <w:basedOn w:val="Normln"/>
    <w:uiPriority w:val="34"/>
    <w:qFormat/>
    <w:rsid w:val="00375976"/>
    <w:pPr>
      <w:ind w:left="720"/>
    </w:pPr>
  </w:style>
  <w:style w:type="character" w:customStyle="1" w:styleId="selectableonclick">
    <w:name w:val="selectableonclick"/>
    <w:rsid w:val="00422619"/>
  </w:style>
  <w:style w:type="paragraph" w:styleId="slovanseznam3">
    <w:name w:val="List Number 3"/>
    <w:basedOn w:val="Normln"/>
    <w:uiPriority w:val="99"/>
    <w:rsid w:val="00FB1FB6"/>
    <w:pPr>
      <w:numPr>
        <w:numId w:val="2"/>
      </w:numPr>
    </w:pPr>
    <w:rPr>
      <w:rFonts w:eastAsia="MS Mincho" w:cstheme="minorBidi"/>
      <w:sz w:val="22"/>
      <w:szCs w:val="22"/>
    </w:rPr>
  </w:style>
  <w:style w:type="paragraph" w:customStyle="1" w:styleId="wText">
    <w:name w:val="wText"/>
    <w:basedOn w:val="Normln"/>
    <w:link w:val="wTextChar"/>
    <w:uiPriority w:val="2"/>
    <w:qFormat/>
    <w:rsid w:val="007C082A"/>
    <w:pPr>
      <w:spacing w:after="180"/>
      <w:ind w:firstLine="720"/>
      <w:jc w:val="both"/>
    </w:pPr>
    <w:rPr>
      <w:rFonts w:eastAsiaTheme="minorHAnsi" w:cstheme="minorBidi"/>
      <w:sz w:val="22"/>
      <w:szCs w:val="22"/>
    </w:rPr>
  </w:style>
  <w:style w:type="character" w:customStyle="1" w:styleId="Nadpis3Char">
    <w:name w:val="Nadpis 3 Char"/>
    <w:basedOn w:val="Standardnpsmoodstavce"/>
    <w:link w:val="Nadpis3"/>
    <w:rsid w:val="00F31F10"/>
    <w:rPr>
      <w:sz w:val="24"/>
      <w:lang w:eastAsia="en-US"/>
    </w:rPr>
  </w:style>
  <w:style w:type="paragraph" w:customStyle="1" w:styleId="Address">
    <w:name w:val="Address"/>
    <w:basedOn w:val="Normln"/>
    <w:next w:val="Normln"/>
    <w:uiPriority w:val="99"/>
    <w:semiHidden/>
    <w:rsid w:val="00DF55F7"/>
    <w:pPr>
      <w:keepLines/>
      <w:spacing w:after="240"/>
    </w:pPr>
    <w:rPr>
      <w:noProof/>
      <w:sz w:val="22"/>
      <w:szCs w:val="20"/>
    </w:rPr>
  </w:style>
  <w:style w:type="paragraph" w:customStyle="1" w:styleId="hdrpicank">
    <w:name w:val="hdr_pic_ank"/>
    <w:basedOn w:val="BaseTimes"/>
    <w:uiPriority w:val="99"/>
    <w:semiHidden/>
    <w:rsid w:val="008C504C"/>
    <w:rPr>
      <w:sz w:val="12"/>
    </w:rPr>
  </w:style>
  <w:style w:type="character" w:customStyle="1" w:styleId="wTextChar">
    <w:name w:val="wText Char"/>
    <w:basedOn w:val="Standardnpsmoodstavce"/>
    <w:link w:val="wText"/>
    <w:rsid w:val="007A525B"/>
    <w:rPr>
      <w:rFonts w:eastAsiaTheme="minorHAnsi" w:cstheme="minorBidi"/>
      <w:sz w:val="22"/>
      <w:szCs w:val="22"/>
      <w:lang w:eastAsia="en-US"/>
    </w:rPr>
  </w:style>
  <w:style w:type="paragraph" w:customStyle="1" w:styleId="DraftLineWC">
    <w:name w:val="DraftLineW&amp;C"/>
    <w:basedOn w:val="Normln"/>
    <w:uiPriority w:val="99"/>
    <w:semiHidden/>
    <w:rsid w:val="00D51B6E"/>
    <w:pPr>
      <w:framePr w:w="5328" w:hSpace="187" w:vSpace="187" w:wrap="around" w:vAnchor="page" w:hAnchor="page" w:x="5761" w:y="721"/>
      <w:jc w:val="right"/>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418303">
      <w:bodyDiv w:val="1"/>
      <w:marLeft w:val="0"/>
      <w:marRight w:val="0"/>
      <w:marTop w:val="0"/>
      <w:marBottom w:val="0"/>
      <w:divBdr>
        <w:top w:val="none" w:sz="0" w:space="0" w:color="auto"/>
        <w:left w:val="none" w:sz="0" w:space="0" w:color="auto"/>
        <w:bottom w:val="none" w:sz="0" w:space="0" w:color="auto"/>
        <w:right w:val="none" w:sz="0" w:space="0" w:color="auto"/>
      </w:divBdr>
    </w:div>
    <w:div w:id="1102844674">
      <w:bodyDiv w:val="1"/>
      <w:marLeft w:val="0"/>
      <w:marRight w:val="0"/>
      <w:marTop w:val="0"/>
      <w:marBottom w:val="0"/>
      <w:divBdr>
        <w:top w:val="none" w:sz="0" w:space="0" w:color="auto"/>
        <w:left w:val="none" w:sz="0" w:space="0" w:color="auto"/>
        <w:bottom w:val="none" w:sz="0" w:space="0" w:color="auto"/>
        <w:right w:val="none" w:sz="0" w:space="0" w:color="auto"/>
      </w:divBdr>
    </w:div>
    <w:div w:id="2075739114">
      <w:bodyDiv w:val="1"/>
      <w:marLeft w:val="0"/>
      <w:marRight w:val="0"/>
      <w:marTop w:val="0"/>
      <w:marBottom w:val="0"/>
      <w:divBdr>
        <w:top w:val="none" w:sz="0" w:space="0" w:color="auto"/>
        <w:left w:val="none" w:sz="0" w:space="0" w:color="auto"/>
        <w:bottom w:val="none" w:sz="0" w:space="0" w:color="auto"/>
        <w:right w:val="none" w:sz="0" w:space="0" w:color="auto"/>
      </w:divBdr>
      <w:divsChild>
        <w:div w:id="136524774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0ahUKEwiQm9TNk5nbAhXBHJoKHdeTBGAQFggoMAA&amp;url=https%3A%2F%2Fwww.whitecase.com%2F&amp;usg=AOvVaw23t_NhzxJ5iiL7l8HNzMX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ctemplates\W&amp;C%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22AEF-C5C0-4008-9850-D944FED6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W&amp;C Standard.dot</Template>
  <TotalTime>1</TotalTime>
  <Pages>9</Pages>
  <Words>2623</Words>
  <Characters>15482</Characters>
  <Application>Microsoft Office Word</Application>
  <DocSecurity>0</DocSecurity>
  <Lines>129</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Standard</vt:lpstr>
      <vt:lpstr>Standard</vt:lpstr>
    </vt:vector>
  </TitlesOfParts>
  <Company>White &amp; Case</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kohoupe</dc:creator>
  <cp:lastModifiedBy>Kateřina Žáková</cp:lastModifiedBy>
  <cp:revision>2</cp:revision>
  <cp:lastPrinted>2016-09-13T20:12:00Z</cp:lastPrinted>
  <dcterms:created xsi:type="dcterms:W3CDTF">2022-03-21T11:22:00Z</dcterms:created>
  <dcterms:modified xsi:type="dcterms:W3CDTF">2022-03-21T11:22:00Z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In2000">
    <vt:bool>true</vt:bool>
  </property>
  <property fmtid="{D5CDD505-2E9C-101B-9397-08002B2CF9AE}" pid="3" name="WCFooterVersion">
    <vt:i4>1</vt:i4>
  </property>
  <property fmtid="{D5CDD505-2E9C-101B-9397-08002B2CF9AE}" pid="4" name="DocIDFieldExists">
    <vt:bool>false</vt:bool>
  </property>
  <property fmtid="{D5CDD505-2E9C-101B-9397-08002B2CF9AE}" pid="5" name="NRT_DocNumber">
    <vt:lpwstr>137773885</vt:lpwstr>
  </property>
  <property fmtid="{D5CDD505-2E9C-101B-9397-08002B2CF9AE}" pid="6" name="NRT_DocVersion">
    <vt:lpwstr>3</vt:lpwstr>
  </property>
  <property fmtid="{D5CDD505-2E9C-101B-9397-08002B2CF9AE}" pid="7" name="NRT_DocName">
    <vt:lpwstr>CD - Telematika - Mandate Agreement - Sberbank_March 2022</vt:lpwstr>
  </property>
  <property fmtid="{D5CDD505-2E9C-101B-9397-08002B2CF9AE}" pid="8" name="NRT_AuthorDescription">
    <vt:lpwstr>Cermakova, Linda</vt:lpwstr>
  </property>
  <property fmtid="{D5CDD505-2E9C-101B-9397-08002B2CF9AE}" pid="9" name="NRT_Author">
    <vt:lpwstr>CERMALI</vt:lpwstr>
  </property>
  <property fmtid="{D5CDD505-2E9C-101B-9397-08002B2CF9AE}" pid="10" name="NRT_OperatorDescription">
    <vt:lpwstr>Hudec, Petr</vt:lpwstr>
  </property>
  <property fmtid="{D5CDD505-2E9C-101B-9397-08002B2CF9AE}" pid="11" name="NRT_Operator">
    <vt:lpwstr>cermali</vt:lpwstr>
  </property>
  <property fmtid="{D5CDD505-2E9C-101B-9397-08002B2CF9AE}" pid="12" name="NRT_ELITE_Client">
    <vt:lpwstr>6690090</vt:lpwstr>
  </property>
  <property fmtid="{D5CDD505-2E9C-101B-9397-08002B2CF9AE}" pid="13" name="NRT_ELITE_Matter">
    <vt:lpwstr>0904</vt:lpwstr>
  </property>
  <property fmtid="{D5CDD505-2E9C-101B-9397-08002B2CF9AE}" pid="14" name="NRT_Database">
    <vt:lpwstr>EMEA</vt:lpwstr>
  </property>
  <property fmtid="{D5CDD505-2E9C-101B-9397-08002B2CF9AE}" pid="15" name="pDocNumber">
    <vt:lpwstr>137773885_3 [EMEA]</vt:lpwstr>
  </property>
  <property fmtid="{D5CDD505-2E9C-101B-9397-08002B2CF9AE}" pid="16" name="pDocRef">
    <vt:lpwstr>6690090-0904.CERMALI</vt:lpwstr>
  </property>
  <property fmtid="{D5CDD505-2E9C-101B-9397-08002B2CF9AE}" pid="17" name="WC_LAST_MODIFIED">
    <vt:lpwstr>3/8/2022 4:15:41 PM</vt:lpwstr>
  </property>
  <property fmtid="{D5CDD505-2E9C-101B-9397-08002B2CF9AE}" pid="18" name="Office">
    <vt:lpwstr>Praha</vt:lpwstr>
  </property>
  <property fmtid="{D5CDD505-2E9C-101B-9397-08002B2CF9AE}" pid="19" name="Dateformat">
    <vt:lpwstr>DAY. MONTH YEAR</vt:lpwstr>
  </property>
  <property fmtid="{D5CDD505-2E9C-101B-9397-08002B2CF9AE}" pid="20" name="Language1">
    <vt:lpwstr>Czech</vt:lpwstr>
  </property>
  <property fmtid="{D5CDD505-2E9C-101B-9397-08002B2CF9AE}" pid="21" name="WCOffice">
    <vt:lpwstr>Prague</vt:lpwstr>
  </property>
  <property fmtid="{D5CDD505-2E9C-101B-9397-08002B2CF9AE}" pid="22" name="DocID">
    <vt:i4>1</vt:i4>
  </property>
</Properties>
</file>