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pPr w:leftFromText="181" w:rightFromText="181" w:vertAnchor="page" w:tblpY="568"/>
        <w:tblOverlap w:val="never"/>
        <w:tblW w:w="9701" w:type="dxa"/>
        <w:tblLayout w:type="fixed"/>
        <w:tblCellMar>
          <w:left w:w="0" w:type="dxa"/>
          <w:right w:w="0" w:type="dxa"/>
        </w:tblCellMar>
        <w:tblLook w:val="04A0" w:firstRow="1" w:lastRow="0" w:firstColumn="1" w:lastColumn="0" w:noHBand="0" w:noVBand="1"/>
      </w:tblPr>
      <w:tblGrid>
        <w:gridCol w:w="6804"/>
        <w:gridCol w:w="2897"/>
      </w:tblGrid>
      <w:tr w:rsidR="009176E5" w:rsidRPr="009B00EA" w14:paraId="06DE4543" w14:textId="77777777" w:rsidTr="00745C9A">
        <w:trPr>
          <w:trHeight w:hRule="exact" w:val="64"/>
        </w:trPr>
        <w:tc>
          <w:tcPr>
            <w:tcW w:w="6804" w:type="dxa"/>
          </w:tcPr>
          <w:p w14:paraId="1C0FF488" w14:textId="77777777" w:rsidR="009176E5" w:rsidRPr="009B00EA" w:rsidRDefault="009176E5" w:rsidP="009176E5">
            <w:pPr>
              <w:rPr>
                <w:lang w:val="cs-CZ"/>
              </w:rPr>
            </w:pPr>
          </w:p>
        </w:tc>
        <w:tc>
          <w:tcPr>
            <w:tcW w:w="2897" w:type="dxa"/>
            <w:vMerge w:val="restart"/>
          </w:tcPr>
          <w:p w14:paraId="2B24CC4A" w14:textId="77777777" w:rsidR="009176E5" w:rsidRPr="009B00EA" w:rsidRDefault="009176E5" w:rsidP="009176E5">
            <w:pPr>
              <w:pStyle w:val="Deloitteaddress"/>
              <w:rPr>
                <w:lang w:val="cs-CZ"/>
              </w:rPr>
            </w:pPr>
            <w:proofErr w:type="spellStart"/>
            <w:r w:rsidRPr="009B00EA">
              <w:rPr>
                <w:lang w:val="cs-CZ"/>
              </w:rPr>
              <w:t>Deloitte</w:t>
            </w:r>
            <w:proofErr w:type="spellEnd"/>
            <w:r w:rsidRPr="009B00EA">
              <w:rPr>
                <w:lang w:val="cs-CZ"/>
              </w:rPr>
              <w:t xml:space="preserve"> </w:t>
            </w:r>
            <w:proofErr w:type="spellStart"/>
            <w:r w:rsidRPr="009B00EA">
              <w:rPr>
                <w:lang w:val="cs-CZ"/>
              </w:rPr>
              <w:t>Legal</w:t>
            </w:r>
            <w:proofErr w:type="spellEnd"/>
            <w:r w:rsidRPr="009B00EA">
              <w:rPr>
                <w:lang w:val="cs-CZ"/>
              </w:rPr>
              <w:t xml:space="preserve"> s.r.o., advokátní kancelář</w:t>
            </w:r>
          </w:p>
          <w:p w14:paraId="3DBE0647" w14:textId="77777777" w:rsidR="009176E5" w:rsidRPr="009B00EA" w:rsidRDefault="009176E5" w:rsidP="009176E5">
            <w:pPr>
              <w:pStyle w:val="Deloitteaddress"/>
              <w:rPr>
                <w:lang w:val="cs-CZ"/>
              </w:rPr>
            </w:pPr>
          </w:p>
          <w:p w14:paraId="3E03B200" w14:textId="77777777" w:rsidR="009176E5" w:rsidRPr="009B00EA" w:rsidRDefault="009176E5" w:rsidP="009176E5">
            <w:pPr>
              <w:pStyle w:val="Deloitteaddress"/>
              <w:rPr>
                <w:lang w:val="cs-CZ"/>
              </w:rPr>
            </w:pPr>
            <w:r w:rsidRPr="009B00EA">
              <w:rPr>
                <w:lang w:val="cs-CZ"/>
              </w:rPr>
              <w:t>Sídlo: Italská 2581/67, 120 00 Praha 2</w:t>
            </w:r>
          </w:p>
          <w:p w14:paraId="2ED08C88" w14:textId="77777777" w:rsidR="009176E5" w:rsidRPr="009B00EA" w:rsidRDefault="009176E5" w:rsidP="009176E5">
            <w:pPr>
              <w:pStyle w:val="Deloitteaddress"/>
              <w:rPr>
                <w:lang w:val="cs-CZ"/>
              </w:rPr>
            </w:pPr>
          </w:p>
          <w:p w14:paraId="11AC11C7" w14:textId="03E17A18" w:rsidR="009176E5" w:rsidRPr="009B00EA" w:rsidRDefault="009176E5" w:rsidP="009176E5">
            <w:pPr>
              <w:pStyle w:val="Deloitteaddress"/>
              <w:rPr>
                <w:lang w:val="cs-CZ"/>
              </w:rPr>
            </w:pPr>
            <w:r w:rsidRPr="009B00EA">
              <w:rPr>
                <w:lang w:val="cs-CZ"/>
              </w:rPr>
              <w:t xml:space="preserve">Tel.: </w:t>
            </w:r>
            <w:proofErr w:type="spellStart"/>
            <w:r w:rsidR="00816FB6">
              <w:rPr>
                <w:lang w:val="cs-CZ"/>
              </w:rPr>
              <w:t>xxx</w:t>
            </w:r>
            <w:proofErr w:type="spellEnd"/>
          </w:p>
          <w:p w14:paraId="1132C701" w14:textId="70CA84B8" w:rsidR="009176E5" w:rsidRPr="009B00EA" w:rsidRDefault="009176E5" w:rsidP="009176E5">
            <w:pPr>
              <w:pStyle w:val="Deloitteaddress"/>
              <w:rPr>
                <w:lang w:val="cs-CZ"/>
              </w:rPr>
            </w:pPr>
            <w:r w:rsidRPr="009B00EA">
              <w:rPr>
                <w:lang w:val="cs-CZ"/>
              </w:rPr>
              <w:t xml:space="preserve">Fax: </w:t>
            </w:r>
            <w:proofErr w:type="spellStart"/>
            <w:r w:rsidR="00816FB6">
              <w:rPr>
                <w:lang w:val="cs-CZ"/>
              </w:rPr>
              <w:t>xxx</w:t>
            </w:r>
            <w:proofErr w:type="spellEnd"/>
          </w:p>
          <w:p w14:paraId="64091E52" w14:textId="77777777" w:rsidR="009176E5" w:rsidRPr="009B00EA" w:rsidRDefault="009176E5" w:rsidP="009176E5">
            <w:pPr>
              <w:pStyle w:val="Deloitteaddress"/>
              <w:rPr>
                <w:lang w:val="cs-CZ"/>
              </w:rPr>
            </w:pPr>
            <w:r w:rsidRPr="009B00EA">
              <w:rPr>
                <w:lang w:val="cs-CZ"/>
              </w:rPr>
              <w:t>www.deloittelegal.cz</w:t>
            </w:r>
          </w:p>
          <w:p w14:paraId="4CDD0907" w14:textId="77777777" w:rsidR="009176E5" w:rsidRPr="009B00EA" w:rsidRDefault="009176E5" w:rsidP="009176E5">
            <w:pPr>
              <w:pStyle w:val="Deloitteaddress"/>
              <w:rPr>
                <w:lang w:val="cs-CZ"/>
              </w:rPr>
            </w:pPr>
          </w:p>
          <w:p w14:paraId="56B03832" w14:textId="77777777" w:rsidR="009176E5" w:rsidRPr="009B00EA" w:rsidRDefault="009176E5" w:rsidP="009176E5">
            <w:pPr>
              <w:pStyle w:val="Deloitteaddress"/>
              <w:rPr>
                <w:lang w:val="cs-CZ"/>
              </w:rPr>
            </w:pPr>
            <w:r w:rsidRPr="009B00EA">
              <w:rPr>
                <w:lang w:val="cs-CZ"/>
              </w:rPr>
              <w:t>Zapsána v obchodním rejstříku Městského</w:t>
            </w:r>
          </w:p>
          <w:p w14:paraId="4168AA29" w14:textId="77777777" w:rsidR="009176E5" w:rsidRPr="009B00EA" w:rsidRDefault="009176E5" w:rsidP="009176E5">
            <w:pPr>
              <w:pStyle w:val="Deloitteaddress"/>
              <w:rPr>
                <w:lang w:val="cs-CZ"/>
              </w:rPr>
            </w:pPr>
            <w:r w:rsidRPr="009B00EA">
              <w:rPr>
                <w:lang w:val="cs-CZ"/>
              </w:rPr>
              <w:t xml:space="preserve">soudu v Praze, </w:t>
            </w:r>
            <w:proofErr w:type="spellStart"/>
            <w:r w:rsidRPr="009B00EA">
              <w:rPr>
                <w:lang w:val="cs-CZ"/>
              </w:rPr>
              <w:t>sp</w:t>
            </w:r>
            <w:proofErr w:type="spellEnd"/>
            <w:r w:rsidRPr="009B00EA">
              <w:rPr>
                <w:lang w:val="cs-CZ"/>
              </w:rPr>
              <w:t>. zn. C 163302</w:t>
            </w:r>
          </w:p>
          <w:p w14:paraId="6754B21F" w14:textId="77777777" w:rsidR="009176E5" w:rsidRPr="009B00EA" w:rsidRDefault="009176E5" w:rsidP="009176E5">
            <w:pPr>
              <w:pStyle w:val="Deloitteaddress"/>
              <w:rPr>
                <w:lang w:val="cs-CZ"/>
              </w:rPr>
            </w:pPr>
            <w:r w:rsidRPr="009B00EA">
              <w:rPr>
                <w:lang w:val="cs-CZ"/>
              </w:rPr>
              <w:t xml:space="preserve">IČO: 29055130, DIČ: CZ29055130 </w:t>
            </w:r>
          </w:p>
          <w:p w14:paraId="37423730" w14:textId="77777777" w:rsidR="009176E5" w:rsidRPr="009B00EA" w:rsidRDefault="009176E5" w:rsidP="009176E5">
            <w:pPr>
              <w:pStyle w:val="Deloitteaddress"/>
              <w:rPr>
                <w:lang w:val="cs-CZ"/>
              </w:rPr>
            </w:pPr>
          </w:p>
          <w:p w14:paraId="024C03CF" w14:textId="77777777" w:rsidR="009176E5" w:rsidRPr="009B00EA" w:rsidRDefault="009176E5" w:rsidP="009176E5">
            <w:pPr>
              <w:pStyle w:val="Deloitteaddress"/>
              <w:rPr>
                <w:lang w:val="cs-CZ"/>
              </w:rPr>
            </w:pPr>
            <w:r w:rsidRPr="009B00EA">
              <w:rPr>
                <w:lang w:val="cs-CZ"/>
              </w:rPr>
              <w:t>Provozovny:</w:t>
            </w:r>
          </w:p>
          <w:p w14:paraId="393AC7BC" w14:textId="77777777" w:rsidR="009176E5" w:rsidRPr="009B00EA" w:rsidRDefault="009176E5" w:rsidP="009176E5">
            <w:pPr>
              <w:pStyle w:val="Deloitteaddress"/>
              <w:rPr>
                <w:lang w:val="cs-CZ"/>
              </w:rPr>
            </w:pPr>
            <w:r w:rsidRPr="009B00EA">
              <w:rPr>
                <w:lang w:val="cs-CZ"/>
              </w:rPr>
              <w:t>Holandská 1, 639 00 Brno</w:t>
            </w:r>
          </w:p>
          <w:p w14:paraId="1F0D3F3C" w14:textId="77777777" w:rsidR="009176E5" w:rsidRPr="009B00EA" w:rsidRDefault="009176E5" w:rsidP="009176E5">
            <w:pPr>
              <w:pStyle w:val="Deloitteaddress"/>
              <w:rPr>
                <w:lang w:val="cs-CZ"/>
              </w:rPr>
            </w:pPr>
            <w:r w:rsidRPr="009B00EA">
              <w:rPr>
                <w:lang w:val="cs-CZ"/>
              </w:rPr>
              <w:t>Prokešovo náměstí 2020/6, 702 00 Ostrava</w:t>
            </w:r>
          </w:p>
          <w:p w14:paraId="5A3F934C" w14:textId="77777777" w:rsidR="009176E5" w:rsidRPr="009B00EA" w:rsidRDefault="009176E5" w:rsidP="009176E5">
            <w:pPr>
              <w:pStyle w:val="Deloitteaddress"/>
              <w:rPr>
                <w:lang w:val="cs-CZ"/>
              </w:rPr>
            </w:pPr>
            <w:r w:rsidRPr="009B00EA">
              <w:rPr>
                <w:lang w:val="cs-CZ"/>
              </w:rPr>
              <w:t>sady 5. května 2708/59, 301 00 Plzeň</w:t>
            </w:r>
          </w:p>
          <w:p w14:paraId="5402B4C8" w14:textId="77777777" w:rsidR="009176E5" w:rsidRPr="009B00EA" w:rsidRDefault="009176E5" w:rsidP="009176E5">
            <w:pPr>
              <w:pStyle w:val="Deloitteaddress"/>
              <w:rPr>
                <w:lang w:val="cs-CZ"/>
              </w:rPr>
            </w:pPr>
            <w:r w:rsidRPr="009B00EA">
              <w:rPr>
                <w:lang w:val="cs-CZ"/>
              </w:rPr>
              <w:t>nám. 28. října 20/2, 500 02 Hradec Králové</w:t>
            </w:r>
          </w:p>
        </w:tc>
      </w:tr>
      <w:tr w:rsidR="009176E5" w:rsidRPr="009B00EA" w14:paraId="7B7E3C06" w14:textId="77777777" w:rsidTr="009176E5">
        <w:trPr>
          <w:trHeight w:hRule="exact" w:val="737"/>
        </w:trPr>
        <w:tc>
          <w:tcPr>
            <w:tcW w:w="6804" w:type="dxa"/>
          </w:tcPr>
          <w:p w14:paraId="1813BE56" w14:textId="77777777" w:rsidR="009176E5" w:rsidRPr="009B00EA" w:rsidRDefault="009176E5" w:rsidP="009176E5">
            <w:pPr>
              <w:rPr>
                <w:lang w:val="cs-CZ"/>
              </w:rPr>
            </w:pPr>
          </w:p>
        </w:tc>
        <w:tc>
          <w:tcPr>
            <w:tcW w:w="2897" w:type="dxa"/>
            <w:vMerge/>
          </w:tcPr>
          <w:p w14:paraId="4879960D" w14:textId="77777777" w:rsidR="009176E5" w:rsidRPr="009B00EA" w:rsidRDefault="009176E5" w:rsidP="009176E5">
            <w:pPr>
              <w:rPr>
                <w:lang w:val="cs-CZ"/>
              </w:rPr>
            </w:pPr>
          </w:p>
        </w:tc>
      </w:tr>
      <w:tr w:rsidR="009176E5" w:rsidRPr="009B00EA" w14:paraId="1EC06914" w14:textId="77777777" w:rsidTr="009176E5">
        <w:trPr>
          <w:trHeight w:val="2155"/>
        </w:trPr>
        <w:tc>
          <w:tcPr>
            <w:tcW w:w="6804" w:type="dxa"/>
          </w:tcPr>
          <w:p w14:paraId="34D1A113" w14:textId="77777777" w:rsidR="009176E5" w:rsidRPr="009B00EA" w:rsidRDefault="009176E5" w:rsidP="00745C9A">
            <w:pPr>
              <w:rPr>
                <w:lang w:val="cs-CZ"/>
              </w:rPr>
            </w:pPr>
          </w:p>
        </w:tc>
        <w:tc>
          <w:tcPr>
            <w:tcW w:w="2897" w:type="dxa"/>
            <w:vMerge/>
          </w:tcPr>
          <w:p w14:paraId="691D2925" w14:textId="77777777" w:rsidR="009176E5" w:rsidRPr="009B00EA" w:rsidRDefault="009176E5" w:rsidP="009176E5">
            <w:pPr>
              <w:rPr>
                <w:lang w:val="cs-CZ"/>
              </w:rPr>
            </w:pPr>
          </w:p>
        </w:tc>
      </w:tr>
    </w:tbl>
    <w:p w14:paraId="568BE8AD" w14:textId="77777777" w:rsidR="00745C9A" w:rsidRPr="002B5014" w:rsidRDefault="00745C9A" w:rsidP="00745C9A">
      <w:pPr>
        <w:spacing w:before="600"/>
        <w:jc w:val="center"/>
        <w:rPr>
          <w:rFonts w:asciiTheme="majorHAnsi" w:hAnsiTheme="majorHAnsi" w:cstheme="majorHAnsi"/>
          <w:b/>
          <w:spacing w:val="20"/>
          <w:sz w:val="22"/>
          <w:lang w:val="cs-CZ"/>
        </w:rPr>
      </w:pPr>
      <w:r w:rsidRPr="002B5014">
        <w:rPr>
          <w:rFonts w:asciiTheme="majorHAnsi" w:hAnsiTheme="majorHAnsi" w:cstheme="majorHAnsi"/>
          <w:b/>
          <w:spacing w:val="20"/>
          <w:sz w:val="22"/>
          <w:lang w:val="cs-CZ"/>
        </w:rPr>
        <w:t>S</w:t>
      </w:r>
      <w:bookmarkStart w:id="0" w:name="_Ref118619091"/>
      <w:bookmarkEnd w:id="0"/>
      <w:r w:rsidRPr="002B5014">
        <w:rPr>
          <w:rFonts w:asciiTheme="majorHAnsi" w:hAnsiTheme="majorHAnsi" w:cstheme="majorHAnsi"/>
          <w:b/>
          <w:spacing w:val="20"/>
          <w:sz w:val="22"/>
          <w:lang w:val="cs-CZ"/>
        </w:rPr>
        <w:t>mlouva o poskytování právních služeb</w:t>
      </w:r>
    </w:p>
    <w:p w14:paraId="506A0878" w14:textId="77777777" w:rsidR="00745C9A" w:rsidRPr="002B5014" w:rsidRDefault="00745C9A" w:rsidP="00745C9A">
      <w:pPr>
        <w:rPr>
          <w:rFonts w:asciiTheme="majorHAnsi" w:hAnsiTheme="majorHAnsi" w:cstheme="majorHAnsi"/>
          <w:lang w:val="cs-CZ"/>
        </w:rPr>
      </w:pPr>
    </w:p>
    <w:p w14:paraId="0ED3B259" w14:textId="77777777" w:rsidR="00745C9A" w:rsidRPr="002B5014" w:rsidRDefault="00745C9A" w:rsidP="00745C9A">
      <w:pPr>
        <w:rPr>
          <w:rFonts w:asciiTheme="majorHAnsi" w:hAnsiTheme="majorHAnsi" w:cstheme="majorHAnsi"/>
          <w:lang w:val="cs-CZ"/>
        </w:rPr>
      </w:pPr>
    </w:p>
    <w:p w14:paraId="0D2FD618" w14:textId="77777777" w:rsidR="004136FC" w:rsidRPr="002B5014" w:rsidRDefault="004136FC" w:rsidP="004136FC">
      <w:pPr>
        <w:spacing w:line="276" w:lineRule="auto"/>
        <w:rPr>
          <w:rFonts w:asciiTheme="majorHAnsi" w:hAnsiTheme="majorHAnsi" w:cstheme="majorHAnsi"/>
          <w:lang w:val="cs-CZ"/>
        </w:rPr>
      </w:pPr>
      <w:proofErr w:type="spellStart"/>
      <w:r w:rsidRPr="002B5014">
        <w:rPr>
          <w:rFonts w:asciiTheme="majorHAnsi" w:hAnsiTheme="majorHAnsi" w:cstheme="majorHAnsi"/>
          <w:b/>
          <w:lang w:val="cs-CZ"/>
        </w:rPr>
        <w:t>Deloitte</w:t>
      </w:r>
      <w:proofErr w:type="spellEnd"/>
      <w:r w:rsidRPr="002B5014">
        <w:rPr>
          <w:rFonts w:asciiTheme="majorHAnsi" w:hAnsiTheme="majorHAnsi" w:cstheme="majorHAnsi"/>
          <w:b/>
          <w:lang w:val="cs-CZ"/>
        </w:rPr>
        <w:t xml:space="preserve"> </w:t>
      </w:r>
      <w:proofErr w:type="spellStart"/>
      <w:r w:rsidRPr="002B5014">
        <w:rPr>
          <w:rFonts w:asciiTheme="majorHAnsi" w:hAnsiTheme="majorHAnsi" w:cstheme="majorHAnsi"/>
          <w:b/>
          <w:lang w:val="cs-CZ"/>
        </w:rPr>
        <w:t>Legal</w:t>
      </w:r>
      <w:proofErr w:type="spellEnd"/>
      <w:r w:rsidRPr="002B5014">
        <w:rPr>
          <w:rFonts w:asciiTheme="majorHAnsi" w:hAnsiTheme="majorHAnsi" w:cstheme="majorHAnsi"/>
          <w:b/>
          <w:lang w:val="cs-CZ"/>
        </w:rPr>
        <w:t xml:space="preserve"> s.r.o., advokátní kancelář</w:t>
      </w:r>
      <w:r w:rsidRPr="002B5014">
        <w:rPr>
          <w:rFonts w:asciiTheme="majorHAnsi" w:hAnsiTheme="majorHAnsi" w:cstheme="majorHAnsi"/>
          <w:lang w:val="cs-CZ"/>
        </w:rPr>
        <w:t>, se sídlem v Praze 2, Italská 2581/67, PSČ 120 00</w:t>
      </w:r>
    </w:p>
    <w:p w14:paraId="0D0B0436" w14:textId="77777777" w:rsidR="00745C9A" w:rsidRPr="002B5014" w:rsidRDefault="00745C9A" w:rsidP="00745C9A">
      <w:pPr>
        <w:spacing w:line="276" w:lineRule="auto"/>
        <w:rPr>
          <w:rFonts w:asciiTheme="majorHAnsi" w:hAnsiTheme="majorHAnsi" w:cstheme="majorHAnsi"/>
          <w:lang w:val="cs-CZ"/>
        </w:rPr>
      </w:pPr>
      <w:r w:rsidRPr="002B5014">
        <w:rPr>
          <w:rFonts w:asciiTheme="majorHAnsi" w:hAnsiTheme="majorHAnsi" w:cstheme="majorHAnsi"/>
          <w:lang w:val="cs-CZ"/>
        </w:rPr>
        <w:t>IČO: 290 55 130</w:t>
      </w:r>
    </w:p>
    <w:p w14:paraId="7AAD48C1" w14:textId="77777777" w:rsidR="00745C9A" w:rsidRPr="002B5014" w:rsidRDefault="00745C9A" w:rsidP="00745C9A">
      <w:pPr>
        <w:spacing w:line="276" w:lineRule="auto"/>
        <w:rPr>
          <w:rFonts w:asciiTheme="majorHAnsi" w:hAnsiTheme="majorHAnsi" w:cstheme="majorHAnsi"/>
          <w:lang w:val="cs-CZ"/>
        </w:rPr>
      </w:pPr>
      <w:r w:rsidRPr="002B5014">
        <w:rPr>
          <w:rFonts w:asciiTheme="majorHAnsi" w:hAnsiTheme="majorHAnsi" w:cstheme="majorHAnsi"/>
          <w:lang w:val="cs-CZ"/>
        </w:rPr>
        <w:t xml:space="preserve">zapsaná v obchodním rejstříku vedeném Městským soudem v Praze, </w:t>
      </w:r>
      <w:proofErr w:type="spellStart"/>
      <w:r w:rsidRPr="002B5014">
        <w:rPr>
          <w:rFonts w:asciiTheme="majorHAnsi" w:hAnsiTheme="majorHAnsi" w:cstheme="majorHAnsi"/>
          <w:lang w:val="cs-CZ"/>
        </w:rPr>
        <w:t>sp</w:t>
      </w:r>
      <w:proofErr w:type="spellEnd"/>
      <w:r w:rsidRPr="002B5014">
        <w:rPr>
          <w:rFonts w:asciiTheme="majorHAnsi" w:hAnsiTheme="majorHAnsi" w:cstheme="majorHAnsi"/>
          <w:lang w:val="cs-CZ"/>
        </w:rPr>
        <w:t>. zn. C 163302,</w:t>
      </w:r>
    </w:p>
    <w:p w14:paraId="64CD1CB5" w14:textId="0C9CB757" w:rsidR="00745C9A" w:rsidRPr="002B5014" w:rsidRDefault="00745C9A" w:rsidP="00745C9A">
      <w:pPr>
        <w:tabs>
          <w:tab w:val="center" w:pos="4320"/>
          <w:tab w:val="right" w:pos="8640"/>
        </w:tabs>
        <w:spacing w:line="276" w:lineRule="auto"/>
        <w:rPr>
          <w:rFonts w:asciiTheme="majorHAnsi" w:hAnsiTheme="majorHAnsi" w:cstheme="majorHAnsi"/>
          <w:lang w:val="cs-CZ"/>
        </w:rPr>
      </w:pPr>
      <w:r w:rsidRPr="002B5014">
        <w:rPr>
          <w:rFonts w:asciiTheme="majorHAnsi" w:hAnsiTheme="majorHAnsi" w:cstheme="majorHAnsi"/>
          <w:lang w:val="cs-CZ"/>
        </w:rPr>
        <w:t xml:space="preserve">zastoupená </w:t>
      </w:r>
      <w:r w:rsidR="007043DA" w:rsidRPr="002B5014">
        <w:rPr>
          <w:rFonts w:asciiTheme="majorHAnsi" w:hAnsiTheme="majorHAnsi" w:cstheme="majorHAnsi"/>
          <w:lang w:val="cs-CZ"/>
        </w:rPr>
        <w:t>JUDr</w:t>
      </w:r>
      <w:r w:rsidRPr="002B5014">
        <w:rPr>
          <w:rFonts w:asciiTheme="majorHAnsi" w:hAnsiTheme="majorHAnsi" w:cstheme="majorHAnsi"/>
          <w:lang w:val="cs-CZ"/>
        </w:rPr>
        <w:t>.</w:t>
      </w:r>
      <w:r w:rsidR="007043DA" w:rsidRPr="002B5014">
        <w:rPr>
          <w:rFonts w:asciiTheme="majorHAnsi" w:hAnsiTheme="majorHAnsi" w:cstheme="majorHAnsi"/>
          <w:lang w:val="cs-CZ"/>
        </w:rPr>
        <w:t xml:space="preserve"> Martinem Bohuslavem</w:t>
      </w:r>
      <w:r w:rsidRPr="002B5014">
        <w:rPr>
          <w:rFonts w:asciiTheme="majorHAnsi" w:hAnsiTheme="majorHAnsi" w:cstheme="majorHAnsi"/>
          <w:lang w:val="cs-CZ"/>
        </w:rPr>
        <w:t xml:space="preserve">, </w:t>
      </w:r>
      <w:r w:rsidR="00E91901" w:rsidRPr="002B5014">
        <w:rPr>
          <w:rFonts w:asciiTheme="majorHAnsi" w:hAnsiTheme="majorHAnsi" w:cstheme="majorHAnsi"/>
          <w:lang w:val="cs-CZ"/>
        </w:rPr>
        <w:t>prokuristou</w:t>
      </w:r>
    </w:p>
    <w:p w14:paraId="2BD32AB1" w14:textId="77777777" w:rsidR="00745C9A" w:rsidRPr="002B5014" w:rsidRDefault="00745C9A" w:rsidP="00745C9A">
      <w:pPr>
        <w:spacing w:line="276" w:lineRule="auto"/>
        <w:rPr>
          <w:rFonts w:asciiTheme="majorHAnsi" w:hAnsiTheme="majorHAnsi" w:cstheme="majorHAnsi"/>
          <w:lang w:val="cs-CZ"/>
        </w:rPr>
      </w:pPr>
    </w:p>
    <w:p w14:paraId="5F198118" w14:textId="77777777" w:rsidR="00745C9A" w:rsidRPr="002B5014" w:rsidRDefault="00745C9A" w:rsidP="00745C9A">
      <w:pPr>
        <w:spacing w:line="276" w:lineRule="auto"/>
        <w:rPr>
          <w:rFonts w:asciiTheme="majorHAnsi" w:hAnsiTheme="majorHAnsi" w:cstheme="majorHAnsi"/>
          <w:lang w:val="cs-CZ"/>
        </w:rPr>
      </w:pPr>
      <w:r w:rsidRPr="002B5014">
        <w:rPr>
          <w:rFonts w:asciiTheme="majorHAnsi" w:hAnsiTheme="majorHAnsi" w:cstheme="majorHAnsi"/>
          <w:lang w:val="cs-CZ"/>
        </w:rPr>
        <w:t>jako poskytovatel služeb</w:t>
      </w:r>
    </w:p>
    <w:p w14:paraId="707A69C8" w14:textId="77777777" w:rsidR="00745C9A" w:rsidRPr="002B5014" w:rsidRDefault="00745C9A" w:rsidP="00745C9A">
      <w:pPr>
        <w:spacing w:line="276" w:lineRule="auto"/>
        <w:rPr>
          <w:rFonts w:asciiTheme="majorHAnsi" w:hAnsiTheme="majorHAnsi" w:cstheme="majorHAnsi"/>
          <w:lang w:val="cs-CZ"/>
        </w:rPr>
      </w:pPr>
      <w:r w:rsidRPr="002B5014">
        <w:rPr>
          <w:rFonts w:asciiTheme="majorHAnsi" w:hAnsiTheme="majorHAnsi" w:cstheme="majorHAnsi"/>
          <w:lang w:val="cs-CZ"/>
        </w:rPr>
        <w:t>(„</w:t>
      </w:r>
      <w:proofErr w:type="spellStart"/>
      <w:r w:rsidRPr="002B5014">
        <w:rPr>
          <w:rFonts w:asciiTheme="majorHAnsi" w:hAnsiTheme="majorHAnsi" w:cstheme="majorHAnsi"/>
          <w:b/>
          <w:lang w:val="cs-CZ"/>
        </w:rPr>
        <w:t>Deloitte</w:t>
      </w:r>
      <w:proofErr w:type="spellEnd"/>
      <w:r w:rsidRPr="002B5014">
        <w:rPr>
          <w:rFonts w:asciiTheme="majorHAnsi" w:hAnsiTheme="majorHAnsi" w:cstheme="majorHAnsi"/>
          <w:b/>
          <w:lang w:val="cs-CZ"/>
        </w:rPr>
        <w:t xml:space="preserve"> </w:t>
      </w:r>
      <w:proofErr w:type="spellStart"/>
      <w:r w:rsidRPr="002B5014">
        <w:rPr>
          <w:rFonts w:asciiTheme="majorHAnsi" w:hAnsiTheme="majorHAnsi" w:cstheme="majorHAnsi"/>
          <w:b/>
          <w:lang w:val="cs-CZ"/>
        </w:rPr>
        <w:t>Legal</w:t>
      </w:r>
      <w:proofErr w:type="spellEnd"/>
      <w:r w:rsidRPr="002B5014">
        <w:rPr>
          <w:rFonts w:asciiTheme="majorHAnsi" w:hAnsiTheme="majorHAnsi" w:cstheme="majorHAnsi"/>
          <w:lang w:val="cs-CZ"/>
        </w:rPr>
        <w:t>“)</w:t>
      </w:r>
    </w:p>
    <w:p w14:paraId="2339055C" w14:textId="77777777" w:rsidR="00745C9A" w:rsidRPr="002B5014" w:rsidRDefault="00745C9A" w:rsidP="00745C9A">
      <w:pPr>
        <w:spacing w:line="276" w:lineRule="auto"/>
        <w:rPr>
          <w:rFonts w:asciiTheme="majorHAnsi" w:hAnsiTheme="majorHAnsi" w:cstheme="majorHAnsi"/>
          <w:lang w:val="cs-CZ"/>
        </w:rPr>
      </w:pPr>
    </w:p>
    <w:p w14:paraId="5D8F5CE2" w14:textId="77777777" w:rsidR="00745C9A" w:rsidRPr="002B5014" w:rsidRDefault="00745C9A" w:rsidP="00745C9A">
      <w:pPr>
        <w:spacing w:line="276" w:lineRule="auto"/>
        <w:rPr>
          <w:rFonts w:asciiTheme="majorHAnsi" w:hAnsiTheme="majorHAnsi" w:cstheme="majorHAnsi"/>
          <w:lang w:val="cs-CZ"/>
        </w:rPr>
      </w:pPr>
      <w:r w:rsidRPr="002B5014">
        <w:rPr>
          <w:rFonts w:asciiTheme="majorHAnsi" w:hAnsiTheme="majorHAnsi" w:cstheme="majorHAnsi"/>
          <w:lang w:val="cs-CZ"/>
        </w:rPr>
        <w:t xml:space="preserve">a </w:t>
      </w:r>
    </w:p>
    <w:p w14:paraId="5FEB285C" w14:textId="77777777" w:rsidR="00745C9A" w:rsidRPr="002B5014" w:rsidRDefault="00745C9A" w:rsidP="00745C9A">
      <w:pPr>
        <w:spacing w:line="276" w:lineRule="auto"/>
        <w:rPr>
          <w:rFonts w:asciiTheme="majorHAnsi" w:hAnsiTheme="majorHAnsi" w:cstheme="majorHAnsi"/>
          <w:lang w:val="cs-CZ"/>
        </w:rPr>
      </w:pPr>
    </w:p>
    <w:p w14:paraId="5B783E97" w14:textId="3A9FBBE3" w:rsidR="00745C9A" w:rsidRPr="002B5014" w:rsidRDefault="002B5014" w:rsidP="00745C9A">
      <w:pPr>
        <w:spacing w:line="276" w:lineRule="auto"/>
        <w:rPr>
          <w:rFonts w:asciiTheme="majorHAnsi" w:hAnsiTheme="majorHAnsi" w:cstheme="majorHAnsi"/>
          <w:b/>
          <w:lang w:val="cs-CZ"/>
        </w:rPr>
      </w:pPr>
      <w:r>
        <w:rPr>
          <w:rFonts w:asciiTheme="majorHAnsi" w:hAnsiTheme="majorHAnsi" w:cstheme="majorHAnsi"/>
          <w:b/>
          <w:lang w:val="cs-CZ"/>
        </w:rPr>
        <w:t>Zlínský kraj</w:t>
      </w:r>
    </w:p>
    <w:p w14:paraId="2F0619A6" w14:textId="3D8A1D8E" w:rsidR="00745C9A" w:rsidRPr="002B5014" w:rsidRDefault="00745C9A" w:rsidP="00745C9A">
      <w:pPr>
        <w:spacing w:line="276" w:lineRule="auto"/>
        <w:rPr>
          <w:rFonts w:asciiTheme="majorHAnsi" w:hAnsiTheme="majorHAnsi" w:cstheme="majorHAnsi"/>
          <w:lang w:val="cs-CZ"/>
        </w:rPr>
      </w:pPr>
      <w:r w:rsidRPr="002B5014">
        <w:rPr>
          <w:rFonts w:asciiTheme="majorHAnsi" w:hAnsiTheme="majorHAnsi" w:cstheme="majorHAnsi"/>
          <w:lang w:val="cs-CZ"/>
        </w:rPr>
        <w:t>se sídlem</w:t>
      </w:r>
      <w:r w:rsidR="002B5014">
        <w:rPr>
          <w:rFonts w:asciiTheme="majorHAnsi" w:hAnsiTheme="majorHAnsi" w:cstheme="majorHAnsi"/>
          <w:lang w:val="cs-CZ"/>
        </w:rPr>
        <w:t xml:space="preserve"> ve Zlíně,</w:t>
      </w:r>
      <w:r w:rsidRPr="002B5014">
        <w:rPr>
          <w:rFonts w:asciiTheme="majorHAnsi" w:hAnsiTheme="majorHAnsi" w:cstheme="majorHAnsi"/>
          <w:lang w:val="cs-CZ"/>
        </w:rPr>
        <w:t xml:space="preserve"> </w:t>
      </w:r>
      <w:r w:rsidR="002B5014">
        <w:rPr>
          <w:rFonts w:asciiTheme="majorHAnsi" w:hAnsiTheme="majorHAnsi" w:cstheme="majorHAnsi"/>
          <w:lang w:val="cs-CZ"/>
        </w:rPr>
        <w:t>třída Tomáše Bati 21, PSČ 761 90</w:t>
      </w:r>
    </w:p>
    <w:p w14:paraId="2074403A" w14:textId="4D5875ED" w:rsidR="00745C9A" w:rsidRPr="002B5014" w:rsidRDefault="00745C9A" w:rsidP="00745C9A">
      <w:pPr>
        <w:spacing w:line="276" w:lineRule="auto"/>
        <w:rPr>
          <w:rFonts w:asciiTheme="majorHAnsi" w:hAnsiTheme="majorHAnsi" w:cstheme="majorHAnsi"/>
          <w:lang w:val="cs-CZ"/>
        </w:rPr>
      </w:pPr>
      <w:r w:rsidRPr="002B5014">
        <w:rPr>
          <w:rFonts w:asciiTheme="majorHAnsi" w:hAnsiTheme="majorHAnsi" w:cstheme="majorHAnsi"/>
          <w:lang w:val="cs-CZ"/>
        </w:rPr>
        <w:t>IČO:</w:t>
      </w:r>
      <w:r w:rsidR="00A72630" w:rsidRPr="002B5014">
        <w:rPr>
          <w:rFonts w:asciiTheme="majorHAnsi" w:hAnsiTheme="majorHAnsi" w:cstheme="majorHAnsi"/>
          <w:lang w:val="cs-CZ"/>
        </w:rPr>
        <w:t xml:space="preserve"> </w:t>
      </w:r>
      <w:r w:rsidR="002B5014">
        <w:rPr>
          <w:rFonts w:asciiTheme="majorHAnsi" w:hAnsiTheme="majorHAnsi" w:cstheme="majorHAnsi"/>
          <w:lang w:val="cs-CZ"/>
        </w:rPr>
        <w:t>708 91 320</w:t>
      </w:r>
      <w:r w:rsidR="00A72630" w:rsidRPr="002B5014">
        <w:rPr>
          <w:rFonts w:asciiTheme="majorHAnsi" w:hAnsiTheme="majorHAnsi" w:cstheme="majorHAnsi"/>
          <w:lang w:val="cs-CZ"/>
        </w:rPr>
        <w:br/>
        <w:t>zastoupen</w:t>
      </w:r>
      <w:r w:rsidR="002B5014">
        <w:rPr>
          <w:rFonts w:asciiTheme="majorHAnsi" w:hAnsiTheme="majorHAnsi" w:cstheme="majorHAnsi"/>
          <w:lang w:val="cs-CZ"/>
        </w:rPr>
        <w:t xml:space="preserve"> </w:t>
      </w:r>
      <w:r w:rsidR="004171D2">
        <w:rPr>
          <w:rFonts w:asciiTheme="majorHAnsi" w:hAnsiTheme="majorHAnsi" w:cstheme="majorHAnsi"/>
          <w:lang w:val="cs-CZ"/>
        </w:rPr>
        <w:t>I</w:t>
      </w:r>
      <w:r w:rsidR="00F27CC9">
        <w:rPr>
          <w:rFonts w:asciiTheme="majorHAnsi" w:hAnsiTheme="majorHAnsi" w:cstheme="majorHAnsi"/>
          <w:lang w:val="cs-CZ"/>
        </w:rPr>
        <w:t>ng. Alenou Zmekovou</w:t>
      </w:r>
      <w:r w:rsidR="00FD75BB">
        <w:rPr>
          <w:rFonts w:asciiTheme="majorHAnsi" w:hAnsiTheme="majorHAnsi" w:cstheme="majorHAnsi"/>
          <w:lang w:val="cs-CZ"/>
        </w:rPr>
        <w:t>, vedoucí ekonomického odboru</w:t>
      </w:r>
    </w:p>
    <w:p w14:paraId="26D0A29A" w14:textId="77777777" w:rsidR="00745C9A" w:rsidRPr="002B5014" w:rsidRDefault="00745C9A" w:rsidP="00745C9A">
      <w:pPr>
        <w:spacing w:line="276" w:lineRule="auto"/>
        <w:rPr>
          <w:rFonts w:asciiTheme="majorHAnsi" w:hAnsiTheme="majorHAnsi" w:cstheme="majorHAnsi"/>
          <w:lang w:val="cs-CZ"/>
        </w:rPr>
      </w:pPr>
    </w:p>
    <w:p w14:paraId="2CFAA3E5" w14:textId="77777777" w:rsidR="00745C9A" w:rsidRPr="002B5014" w:rsidRDefault="00745C9A" w:rsidP="00745C9A">
      <w:pPr>
        <w:spacing w:line="276" w:lineRule="auto"/>
        <w:rPr>
          <w:rFonts w:asciiTheme="majorHAnsi" w:hAnsiTheme="majorHAnsi" w:cstheme="majorHAnsi"/>
          <w:lang w:val="cs-CZ"/>
        </w:rPr>
      </w:pPr>
      <w:r w:rsidRPr="002B5014">
        <w:rPr>
          <w:rFonts w:asciiTheme="majorHAnsi" w:hAnsiTheme="majorHAnsi" w:cstheme="majorHAnsi"/>
          <w:lang w:val="cs-CZ"/>
        </w:rPr>
        <w:t>jako objednatel služeb</w:t>
      </w:r>
    </w:p>
    <w:p w14:paraId="266E59A4" w14:textId="620EEF2A" w:rsidR="00745C9A" w:rsidRPr="002B5014" w:rsidRDefault="00745C9A" w:rsidP="00745C9A">
      <w:pPr>
        <w:spacing w:line="276" w:lineRule="auto"/>
        <w:rPr>
          <w:rFonts w:asciiTheme="majorHAnsi" w:hAnsiTheme="majorHAnsi" w:cstheme="majorHAnsi"/>
          <w:lang w:val="cs-CZ"/>
        </w:rPr>
      </w:pPr>
      <w:r w:rsidRPr="002B5014">
        <w:rPr>
          <w:rFonts w:asciiTheme="majorHAnsi" w:hAnsiTheme="majorHAnsi" w:cstheme="majorHAnsi"/>
          <w:lang w:val="cs-CZ"/>
        </w:rPr>
        <w:t>(„</w:t>
      </w:r>
      <w:r w:rsidRPr="002B5014">
        <w:rPr>
          <w:rFonts w:asciiTheme="majorHAnsi" w:hAnsiTheme="majorHAnsi" w:cstheme="majorHAnsi"/>
          <w:b/>
          <w:lang w:val="cs-CZ"/>
        </w:rPr>
        <w:t>Objednatel</w:t>
      </w:r>
      <w:r w:rsidRPr="002B5014">
        <w:rPr>
          <w:rFonts w:asciiTheme="majorHAnsi" w:hAnsiTheme="majorHAnsi" w:cstheme="majorHAnsi"/>
          <w:lang w:val="cs-CZ"/>
        </w:rPr>
        <w:t>“)</w:t>
      </w:r>
    </w:p>
    <w:p w14:paraId="7271AD0F" w14:textId="77777777" w:rsidR="00745C9A" w:rsidRPr="002B5014" w:rsidRDefault="00745C9A" w:rsidP="00745C9A">
      <w:pPr>
        <w:spacing w:line="276" w:lineRule="auto"/>
        <w:rPr>
          <w:rFonts w:asciiTheme="majorHAnsi" w:hAnsiTheme="majorHAnsi" w:cstheme="majorHAnsi"/>
          <w:lang w:val="cs-CZ"/>
        </w:rPr>
      </w:pPr>
    </w:p>
    <w:p w14:paraId="0E091967" w14:textId="77777777" w:rsidR="00745C9A" w:rsidRPr="002B5014" w:rsidRDefault="00745C9A" w:rsidP="00745C9A">
      <w:pPr>
        <w:spacing w:line="276" w:lineRule="auto"/>
        <w:rPr>
          <w:rFonts w:asciiTheme="majorHAnsi" w:hAnsiTheme="majorHAnsi" w:cstheme="majorHAnsi"/>
          <w:lang w:val="cs-CZ"/>
        </w:rPr>
      </w:pPr>
    </w:p>
    <w:p w14:paraId="0E204F20" w14:textId="77777777" w:rsidR="00745C9A" w:rsidRPr="002B5014" w:rsidRDefault="00745C9A" w:rsidP="00745C9A">
      <w:pPr>
        <w:spacing w:line="276" w:lineRule="auto"/>
        <w:rPr>
          <w:rFonts w:asciiTheme="majorHAnsi" w:hAnsiTheme="majorHAnsi" w:cstheme="majorHAnsi"/>
          <w:lang w:val="cs-CZ"/>
        </w:rPr>
      </w:pPr>
    </w:p>
    <w:p w14:paraId="088835C7" w14:textId="0FA9D95D" w:rsidR="00745C9A" w:rsidRPr="002B5014" w:rsidRDefault="00745C9A" w:rsidP="00745C9A">
      <w:pPr>
        <w:spacing w:line="276" w:lineRule="auto"/>
        <w:rPr>
          <w:rFonts w:asciiTheme="majorHAnsi" w:hAnsiTheme="majorHAnsi" w:cstheme="majorHAnsi"/>
          <w:lang w:val="cs-CZ"/>
        </w:rPr>
      </w:pPr>
      <w:r w:rsidRPr="002B5014">
        <w:rPr>
          <w:rFonts w:asciiTheme="majorHAnsi" w:hAnsiTheme="majorHAnsi" w:cstheme="majorHAnsi"/>
          <w:lang w:val="cs-CZ"/>
        </w:rPr>
        <w:t xml:space="preserve">Vzhledem k tomu, že Objednatel požádal </w:t>
      </w:r>
      <w:proofErr w:type="spellStart"/>
      <w:r w:rsidRPr="002B5014">
        <w:rPr>
          <w:rFonts w:asciiTheme="majorHAnsi" w:hAnsiTheme="majorHAnsi" w:cstheme="majorHAnsi"/>
          <w:lang w:val="cs-CZ"/>
        </w:rPr>
        <w:t>Deloitte</w:t>
      </w:r>
      <w:proofErr w:type="spellEnd"/>
      <w:r w:rsidRPr="002B5014">
        <w:rPr>
          <w:rFonts w:asciiTheme="majorHAnsi" w:hAnsiTheme="majorHAnsi" w:cstheme="majorHAnsi"/>
          <w:lang w:val="cs-CZ"/>
        </w:rPr>
        <w:t xml:space="preserve"> </w:t>
      </w:r>
      <w:proofErr w:type="spellStart"/>
      <w:r w:rsidRPr="002B5014">
        <w:rPr>
          <w:rFonts w:asciiTheme="majorHAnsi" w:hAnsiTheme="majorHAnsi" w:cstheme="majorHAnsi"/>
          <w:lang w:val="cs-CZ"/>
        </w:rPr>
        <w:t>Legal</w:t>
      </w:r>
      <w:proofErr w:type="spellEnd"/>
      <w:r w:rsidRPr="002B5014">
        <w:rPr>
          <w:rFonts w:asciiTheme="majorHAnsi" w:hAnsiTheme="majorHAnsi" w:cstheme="majorHAnsi"/>
          <w:lang w:val="cs-CZ"/>
        </w:rPr>
        <w:t xml:space="preserve"> o poskytnutí právního poradenství </w:t>
      </w:r>
      <w:r w:rsidR="002B5014">
        <w:rPr>
          <w:rFonts w:asciiTheme="majorHAnsi" w:hAnsiTheme="majorHAnsi" w:cstheme="majorHAnsi"/>
          <w:lang w:val="cs-CZ"/>
        </w:rPr>
        <w:t>v oblasti závazkového</w:t>
      </w:r>
      <w:r w:rsidR="00D80BA9" w:rsidRPr="002B5014">
        <w:rPr>
          <w:rFonts w:asciiTheme="majorHAnsi" w:hAnsiTheme="majorHAnsi" w:cstheme="majorHAnsi"/>
          <w:lang w:val="cs-CZ"/>
        </w:rPr>
        <w:t xml:space="preserve"> práva</w:t>
      </w:r>
      <w:r w:rsidR="002B5014">
        <w:rPr>
          <w:rFonts w:asciiTheme="majorHAnsi" w:hAnsiTheme="majorHAnsi" w:cstheme="majorHAnsi"/>
          <w:lang w:val="cs-CZ"/>
        </w:rPr>
        <w:t xml:space="preserve">, </w:t>
      </w:r>
      <w:r w:rsidRPr="002B5014">
        <w:rPr>
          <w:rFonts w:asciiTheme="majorHAnsi" w:hAnsiTheme="majorHAnsi" w:cstheme="majorHAnsi"/>
          <w:lang w:val="cs-CZ"/>
        </w:rPr>
        <w:t xml:space="preserve">uzavírá Objednatel s </w:t>
      </w:r>
      <w:proofErr w:type="spellStart"/>
      <w:r w:rsidRPr="002B5014">
        <w:rPr>
          <w:rFonts w:asciiTheme="majorHAnsi" w:hAnsiTheme="majorHAnsi" w:cstheme="majorHAnsi"/>
          <w:lang w:val="cs-CZ"/>
        </w:rPr>
        <w:t>Deloitte</w:t>
      </w:r>
      <w:proofErr w:type="spellEnd"/>
      <w:r w:rsidRPr="002B5014">
        <w:rPr>
          <w:rFonts w:asciiTheme="majorHAnsi" w:hAnsiTheme="majorHAnsi" w:cstheme="majorHAnsi"/>
          <w:lang w:val="cs-CZ"/>
        </w:rPr>
        <w:t xml:space="preserve"> </w:t>
      </w:r>
      <w:proofErr w:type="spellStart"/>
      <w:r w:rsidRPr="002B5014">
        <w:rPr>
          <w:rFonts w:asciiTheme="majorHAnsi" w:hAnsiTheme="majorHAnsi" w:cstheme="majorHAnsi"/>
          <w:lang w:val="cs-CZ"/>
        </w:rPr>
        <w:t>Legal</w:t>
      </w:r>
      <w:proofErr w:type="spellEnd"/>
      <w:r w:rsidRPr="002B5014">
        <w:rPr>
          <w:rFonts w:asciiTheme="majorHAnsi" w:hAnsiTheme="majorHAnsi" w:cstheme="majorHAnsi"/>
          <w:lang w:val="cs-CZ"/>
        </w:rPr>
        <w:t xml:space="preserve"> Smlouvu o poskytování právních služeb v následujícím znění:</w:t>
      </w:r>
    </w:p>
    <w:p w14:paraId="6C83BAC7" w14:textId="77777777" w:rsidR="00745C9A" w:rsidRPr="002B5014" w:rsidRDefault="00745C9A" w:rsidP="009176E5">
      <w:pPr>
        <w:rPr>
          <w:rFonts w:asciiTheme="majorHAnsi" w:hAnsiTheme="majorHAnsi" w:cstheme="majorHAnsi"/>
          <w:lang w:val="cs-CZ"/>
        </w:rPr>
      </w:pPr>
    </w:p>
    <w:p w14:paraId="14A159EF" w14:textId="77777777" w:rsidR="00745C9A" w:rsidRPr="002B5014" w:rsidRDefault="00745C9A">
      <w:pPr>
        <w:spacing w:after="200" w:line="276" w:lineRule="auto"/>
        <w:rPr>
          <w:rFonts w:asciiTheme="majorHAnsi" w:hAnsiTheme="majorHAnsi" w:cstheme="majorHAnsi"/>
          <w:lang w:val="cs-CZ"/>
        </w:rPr>
      </w:pPr>
      <w:r w:rsidRPr="002B5014">
        <w:rPr>
          <w:rFonts w:asciiTheme="majorHAnsi" w:hAnsiTheme="majorHAnsi" w:cstheme="majorHAnsi"/>
          <w:lang w:val="cs-CZ"/>
        </w:rPr>
        <w:br w:type="page"/>
      </w:r>
    </w:p>
    <w:p w14:paraId="0D03E032" w14:textId="77777777" w:rsidR="00745C9A" w:rsidRPr="002B5014" w:rsidRDefault="00745C9A" w:rsidP="00745C9A">
      <w:pPr>
        <w:pStyle w:val="smlouvaheading1"/>
        <w:ind w:left="709" w:hanging="709"/>
        <w:rPr>
          <w:rFonts w:asciiTheme="majorHAnsi" w:hAnsiTheme="majorHAnsi" w:cstheme="majorHAnsi"/>
          <w:sz w:val="20"/>
          <w:szCs w:val="20"/>
        </w:rPr>
      </w:pPr>
      <w:r w:rsidRPr="002B5014">
        <w:rPr>
          <w:rFonts w:asciiTheme="majorHAnsi" w:hAnsiTheme="majorHAnsi" w:cstheme="majorHAnsi"/>
          <w:sz w:val="20"/>
          <w:szCs w:val="20"/>
        </w:rPr>
        <w:lastRenderedPageBreak/>
        <w:t>Předmět smlouvy</w:t>
      </w:r>
    </w:p>
    <w:p w14:paraId="68BCA4BF" w14:textId="17C0F8F8" w:rsidR="00745C9A" w:rsidRPr="002B5014" w:rsidRDefault="00745C9A" w:rsidP="00745C9A">
      <w:pPr>
        <w:pStyle w:val="smlouvaheading2"/>
        <w:rPr>
          <w:rFonts w:asciiTheme="majorHAnsi" w:hAnsiTheme="majorHAnsi" w:cstheme="majorHAnsi"/>
          <w:sz w:val="20"/>
          <w:szCs w:val="20"/>
        </w:rPr>
      </w:pP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se zavazuje poskytovat Objednateli právní služby v rozsahu vymezeném v článcích 2.1 a 2.2 této smlouvy. </w:t>
      </w:r>
      <w:proofErr w:type="spellStart"/>
      <w:r w:rsidR="00B86B0D">
        <w:rPr>
          <w:rFonts w:asciiTheme="majorHAnsi" w:hAnsiTheme="majorHAnsi" w:cstheme="majorHAnsi"/>
          <w:sz w:val="20"/>
          <w:szCs w:val="20"/>
        </w:rPr>
        <w:t>Deloitte</w:t>
      </w:r>
      <w:proofErr w:type="spellEnd"/>
      <w:r w:rsidR="00B86B0D">
        <w:rPr>
          <w:rFonts w:asciiTheme="majorHAnsi" w:hAnsiTheme="majorHAnsi" w:cstheme="majorHAnsi"/>
          <w:sz w:val="20"/>
          <w:szCs w:val="20"/>
        </w:rPr>
        <w:t xml:space="preserve"> </w:t>
      </w:r>
      <w:proofErr w:type="spellStart"/>
      <w:r w:rsidR="00B86B0D">
        <w:rPr>
          <w:rFonts w:asciiTheme="majorHAnsi" w:hAnsiTheme="majorHAnsi" w:cstheme="majorHAnsi"/>
          <w:sz w:val="20"/>
          <w:szCs w:val="20"/>
        </w:rPr>
        <w:t>Legal</w:t>
      </w:r>
      <w:proofErr w:type="spellEnd"/>
      <w:r w:rsidR="00B86B0D">
        <w:rPr>
          <w:rFonts w:asciiTheme="majorHAnsi" w:hAnsiTheme="majorHAnsi" w:cstheme="majorHAnsi"/>
          <w:sz w:val="20"/>
          <w:szCs w:val="20"/>
        </w:rPr>
        <w:t xml:space="preserve"> poskytne Objednateli </w:t>
      </w:r>
      <w:r w:rsidR="00AA6D20">
        <w:rPr>
          <w:rFonts w:asciiTheme="majorHAnsi" w:hAnsiTheme="majorHAnsi" w:cstheme="majorHAnsi"/>
          <w:sz w:val="20"/>
          <w:szCs w:val="20"/>
        </w:rPr>
        <w:t xml:space="preserve">služby sjednané v čl. 2.1 </w:t>
      </w:r>
      <w:r w:rsidR="00B86B0D">
        <w:rPr>
          <w:rFonts w:asciiTheme="majorHAnsi" w:hAnsiTheme="majorHAnsi" w:cstheme="majorHAnsi"/>
          <w:sz w:val="20"/>
          <w:szCs w:val="20"/>
        </w:rPr>
        <w:t>do 10 pracovních dn</w:t>
      </w:r>
      <w:r w:rsidR="0057576B">
        <w:rPr>
          <w:rFonts w:asciiTheme="majorHAnsi" w:hAnsiTheme="majorHAnsi" w:cstheme="majorHAnsi"/>
          <w:sz w:val="20"/>
          <w:szCs w:val="20"/>
        </w:rPr>
        <w:t>ů</w:t>
      </w:r>
      <w:r w:rsidR="00B86B0D">
        <w:rPr>
          <w:rFonts w:asciiTheme="majorHAnsi" w:hAnsiTheme="majorHAnsi" w:cstheme="majorHAnsi"/>
          <w:sz w:val="20"/>
          <w:szCs w:val="20"/>
        </w:rPr>
        <w:t xml:space="preserve"> od podpisu této smlouvy.</w:t>
      </w:r>
    </w:p>
    <w:p w14:paraId="29CE3663" w14:textId="4798E824" w:rsidR="004124D0" w:rsidRPr="00E76CDF" w:rsidRDefault="00745C9A" w:rsidP="004124D0">
      <w:pPr>
        <w:pStyle w:val="smlouvaheading2"/>
        <w:rPr>
          <w:rFonts w:asciiTheme="majorHAnsi" w:hAnsiTheme="majorHAnsi" w:cstheme="majorHAnsi"/>
          <w:sz w:val="20"/>
          <w:szCs w:val="20"/>
        </w:rPr>
      </w:pPr>
      <w:r w:rsidRPr="002B5014">
        <w:rPr>
          <w:rFonts w:asciiTheme="majorHAnsi" w:hAnsiTheme="majorHAnsi" w:cstheme="majorHAnsi"/>
          <w:sz w:val="20"/>
          <w:szCs w:val="20"/>
        </w:rPr>
        <w:t xml:space="preserve">Objednatel se zavazuje poskytnout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veškerou součinnost potřebnou k řádnému poskytnutí předmětných právních služeb a uhradit odměnu v souladu s článkem III. této smlouvy.</w:t>
      </w:r>
    </w:p>
    <w:p w14:paraId="36D41782" w14:textId="77777777" w:rsidR="00745C9A" w:rsidRPr="002B5014" w:rsidRDefault="00745C9A" w:rsidP="00745C9A">
      <w:pPr>
        <w:pStyle w:val="smlouvaheading1"/>
        <w:ind w:left="709" w:hanging="709"/>
        <w:rPr>
          <w:rFonts w:asciiTheme="majorHAnsi" w:hAnsiTheme="majorHAnsi" w:cstheme="majorHAnsi"/>
          <w:sz w:val="20"/>
          <w:szCs w:val="20"/>
        </w:rPr>
      </w:pPr>
      <w:r w:rsidRPr="002B5014">
        <w:rPr>
          <w:rFonts w:asciiTheme="majorHAnsi" w:hAnsiTheme="majorHAnsi" w:cstheme="majorHAnsi"/>
          <w:sz w:val="20"/>
          <w:szCs w:val="20"/>
        </w:rPr>
        <w:t>Rozsah služeb</w:t>
      </w:r>
    </w:p>
    <w:p w14:paraId="144F67BD" w14:textId="1CF1BB10" w:rsidR="00B86B0D" w:rsidRPr="00AA6D20" w:rsidRDefault="00745C9A" w:rsidP="00AA6D20">
      <w:pPr>
        <w:pStyle w:val="smlouvaheading2"/>
        <w:rPr>
          <w:rFonts w:asciiTheme="majorHAnsi" w:hAnsiTheme="majorHAnsi" w:cstheme="majorHAnsi"/>
          <w:sz w:val="20"/>
          <w:szCs w:val="20"/>
        </w:rPr>
      </w:pPr>
      <w:bookmarkStart w:id="1" w:name="_Ref118619073"/>
      <w:proofErr w:type="spellStart"/>
      <w:r w:rsidRPr="00AA6D20">
        <w:rPr>
          <w:rFonts w:asciiTheme="majorHAnsi" w:hAnsiTheme="majorHAnsi" w:cstheme="majorHAnsi"/>
          <w:sz w:val="20"/>
          <w:szCs w:val="20"/>
        </w:rPr>
        <w:t>Deloitte</w:t>
      </w:r>
      <w:proofErr w:type="spellEnd"/>
      <w:r w:rsidRPr="00AA6D20">
        <w:rPr>
          <w:rFonts w:asciiTheme="majorHAnsi" w:hAnsiTheme="majorHAnsi" w:cstheme="majorHAnsi"/>
          <w:sz w:val="20"/>
          <w:szCs w:val="20"/>
        </w:rPr>
        <w:t xml:space="preserve"> </w:t>
      </w:r>
      <w:proofErr w:type="spellStart"/>
      <w:r w:rsidRPr="00AA6D20">
        <w:rPr>
          <w:rFonts w:asciiTheme="majorHAnsi" w:hAnsiTheme="majorHAnsi" w:cstheme="majorHAnsi"/>
          <w:sz w:val="20"/>
          <w:szCs w:val="20"/>
        </w:rPr>
        <w:t>Legal</w:t>
      </w:r>
      <w:proofErr w:type="spellEnd"/>
      <w:r w:rsidRPr="00AA6D20">
        <w:rPr>
          <w:rFonts w:asciiTheme="majorHAnsi" w:hAnsiTheme="majorHAnsi" w:cstheme="majorHAnsi"/>
          <w:sz w:val="20"/>
          <w:szCs w:val="20"/>
        </w:rPr>
        <w:t xml:space="preserve"> </w:t>
      </w:r>
      <w:r w:rsidR="00AA6D20">
        <w:rPr>
          <w:rFonts w:asciiTheme="majorHAnsi" w:hAnsiTheme="majorHAnsi" w:cstheme="majorHAnsi"/>
          <w:sz w:val="20"/>
          <w:szCs w:val="20"/>
        </w:rPr>
        <w:t xml:space="preserve">provede pro </w:t>
      </w:r>
      <w:bookmarkEnd w:id="1"/>
      <w:r w:rsidRPr="00AA6D20">
        <w:rPr>
          <w:rFonts w:asciiTheme="majorHAnsi" w:hAnsiTheme="majorHAnsi" w:cstheme="majorHAnsi"/>
          <w:sz w:val="20"/>
          <w:szCs w:val="20"/>
        </w:rPr>
        <w:t>Objednatel</w:t>
      </w:r>
      <w:r w:rsidR="00AA6D20">
        <w:rPr>
          <w:rFonts w:asciiTheme="majorHAnsi" w:hAnsiTheme="majorHAnsi" w:cstheme="majorHAnsi"/>
          <w:sz w:val="20"/>
          <w:szCs w:val="20"/>
        </w:rPr>
        <w:t>e a</w:t>
      </w:r>
      <w:r w:rsidR="00B86B0D" w:rsidRPr="00AA6D20">
        <w:rPr>
          <w:rFonts w:asciiTheme="majorHAnsi" w:hAnsiTheme="majorHAnsi" w:cstheme="majorHAnsi"/>
          <w:sz w:val="20"/>
          <w:szCs w:val="20"/>
        </w:rPr>
        <w:t>nalýzu týkající se</w:t>
      </w:r>
      <w:r w:rsidR="006258D3" w:rsidRPr="00AA6D20">
        <w:rPr>
          <w:rFonts w:asciiTheme="majorHAnsi" w:hAnsiTheme="majorHAnsi" w:cstheme="majorHAnsi"/>
          <w:sz w:val="20"/>
          <w:szCs w:val="20"/>
        </w:rPr>
        <w:t xml:space="preserve"> zhodnocení možnosti</w:t>
      </w:r>
      <w:r w:rsidR="00B86B0D" w:rsidRPr="00AA6D20">
        <w:rPr>
          <w:rFonts w:asciiTheme="majorHAnsi" w:hAnsiTheme="majorHAnsi" w:cstheme="majorHAnsi"/>
          <w:sz w:val="20"/>
          <w:szCs w:val="20"/>
        </w:rPr>
        <w:t xml:space="preserve"> předčasného ukončení Smlouvy o veřejných službách v přepravě cestujících ve veřejné linkové dopravě k zabezpečení stanoveného rozsahu dopravní obslužnosti Zlínského kraje pro období od roku 2021 do roku 2030 uzavřenou mezi Zlínským krajem a společností ARRIVA MORAVA a.s.</w:t>
      </w:r>
    </w:p>
    <w:p w14:paraId="5114B70F" w14:textId="23D003BC" w:rsidR="004124D0" w:rsidRPr="00E76CDF" w:rsidRDefault="00745C9A" w:rsidP="004124D0">
      <w:pPr>
        <w:pStyle w:val="smlouvaheading2"/>
        <w:rPr>
          <w:rFonts w:asciiTheme="majorHAnsi" w:hAnsiTheme="majorHAnsi" w:cstheme="majorHAnsi"/>
          <w:sz w:val="20"/>
          <w:szCs w:val="20"/>
        </w:rPr>
      </w:pPr>
      <w:r w:rsidRPr="002B5014">
        <w:rPr>
          <w:rFonts w:asciiTheme="majorHAnsi" w:hAnsiTheme="majorHAnsi" w:cstheme="majorHAnsi"/>
          <w:sz w:val="20"/>
          <w:szCs w:val="20"/>
        </w:rPr>
        <w:t xml:space="preserve">Pokud by mělo dojít k podstatné změně dohodnutého rozsahu požadovaných právních služeb, ať už na základě požadavku Objednatele, odborného posouzení konkrétní situace ze strany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či na základě jiných okolností, připraví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neprodleně specifikaci změněného rozsahu požadovaných služeb a smluvních podmínek a předloží je Objednateli k odsouhlasení.</w:t>
      </w:r>
    </w:p>
    <w:p w14:paraId="7E397647" w14:textId="09D3BAC0" w:rsidR="00745C9A" w:rsidRPr="002B5014" w:rsidRDefault="00745C9A" w:rsidP="00745C9A">
      <w:pPr>
        <w:pStyle w:val="smlouvaheading1"/>
        <w:ind w:left="709" w:hanging="709"/>
        <w:rPr>
          <w:rFonts w:asciiTheme="majorHAnsi" w:hAnsiTheme="majorHAnsi" w:cstheme="majorHAnsi"/>
          <w:sz w:val="20"/>
          <w:szCs w:val="20"/>
        </w:rPr>
      </w:pPr>
      <w:r w:rsidRPr="002B5014">
        <w:rPr>
          <w:rFonts w:asciiTheme="majorHAnsi" w:hAnsiTheme="majorHAnsi" w:cstheme="majorHAnsi"/>
          <w:sz w:val="20"/>
          <w:szCs w:val="20"/>
        </w:rPr>
        <w:t>ODMĚNA ZA PRÁVNÍ SLUŽBY</w:t>
      </w:r>
    </w:p>
    <w:p w14:paraId="7D7B6B4A" w14:textId="5B91536B" w:rsidR="00745C9A" w:rsidRDefault="00745C9A" w:rsidP="00745C9A">
      <w:pPr>
        <w:pStyle w:val="smlouvaheading2"/>
        <w:rPr>
          <w:rFonts w:asciiTheme="majorHAnsi" w:hAnsiTheme="majorHAnsi" w:cstheme="majorHAnsi"/>
          <w:sz w:val="20"/>
          <w:szCs w:val="20"/>
        </w:rPr>
      </w:pPr>
      <w:r w:rsidRPr="002B5014">
        <w:rPr>
          <w:rFonts w:asciiTheme="majorHAnsi" w:hAnsiTheme="majorHAnsi" w:cstheme="majorHAnsi"/>
          <w:sz w:val="20"/>
          <w:szCs w:val="20"/>
        </w:rPr>
        <w:t xml:space="preserve">Odměna za právní služby uvedené v článku 2.1 této smlouvy činí </w:t>
      </w:r>
      <w:r w:rsidR="0060202A">
        <w:rPr>
          <w:rFonts w:asciiTheme="majorHAnsi" w:hAnsiTheme="majorHAnsi" w:cstheme="majorHAnsi"/>
          <w:sz w:val="20"/>
          <w:szCs w:val="20"/>
        </w:rPr>
        <w:t>40 000</w:t>
      </w:r>
      <w:r w:rsidRPr="002B5014">
        <w:rPr>
          <w:rFonts w:asciiTheme="majorHAnsi" w:hAnsiTheme="majorHAnsi" w:cstheme="majorHAnsi"/>
          <w:sz w:val="20"/>
          <w:szCs w:val="20"/>
        </w:rPr>
        <w:t xml:space="preserve"> Kč </w:t>
      </w:r>
      <w:r w:rsidR="0060202A">
        <w:rPr>
          <w:rFonts w:asciiTheme="majorHAnsi" w:hAnsiTheme="majorHAnsi" w:cstheme="majorHAnsi"/>
          <w:sz w:val="20"/>
          <w:szCs w:val="20"/>
        </w:rPr>
        <w:t>bez DPH</w:t>
      </w:r>
      <w:r w:rsidR="002401B1">
        <w:rPr>
          <w:rFonts w:asciiTheme="majorHAnsi" w:hAnsiTheme="majorHAnsi" w:cstheme="majorHAnsi"/>
          <w:sz w:val="20"/>
          <w:szCs w:val="20"/>
        </w:rPr>
        <w:t>.</w:t>
      </w:r>
      <w:r w:rsidR="00B52B89">
        <w:rPr>
          <w:rFonts w:asciiTheme="majorHAnsi" w:hAnsiTheme="majorHAnsi" w:cstheme="majorHAnsi"/>
          <w:sz w:val="20"/>
          <w:szCs w:val="20"/>
        </w:rPr>
        <w:t xml:space="preserve"> Tato odměna zahrnuje veškeré náklady a jakékoliv další výdaje </w:t>
      </w:r>
      <w:proofErr w:type="spellStart"/>
      <w:r w:rsidR="00B52B89">
        <w:rPr>
          <w:rFonts w:asciiTheme="majorHAnsi" w:hAnsiTheme="majorHAnsi" w:cstheme="majorHAnsi"/>
          <w:sz w:val="20"/>
          <w:szCs w:val="20"/>
        </w:rPr>
        <w:t>Deloitte</w:t>
      </w:r>
      <w:proofErr w:type="spellEnd"/>
      <w:r w:rsidR="00B52B89">
        <w:rPr>
          <w:rFonts w:asciiTheme="majorHAnsi" w:hAnsiTheme="majorHAnsi" w:cstheme="majorHAnsi"/>
          <w:sz w:val="20"/>
          <w:szCs w:val="20"/>
        </w:rPr>
        <w:t xml:space="preserve"> </w:t>
      </w:r>
      <w:proofErr w:type="spellStart"/>
      <w:r w:rsidR="00B52B89">
        <w:rPr>
          <w:rFonts w:asciiTheme="majorHAnsi" w:hAnsiTheme="majorHAnsi" w:cstheme="majorHAnsi"/>
          <w:sz w:val="20"/>
          <w:szCs w:val="20"/>
        </w:rPr>
        <w:t>Legal</w:t>
      </w:r>
      <w:proofErr w:type="spellEnd"/>
      <w:r w:rsidR="00B52B89">
        <w:rPr>
          <w:rFonts w:asciiTheme="majorHAnsi" w:hAnsiTheme="majorHAnsi" w:cstheme="majorHAnsi"/>
          <w:sz w:val="20"/>
          <w:szCs w:val="20"/>
        </w:rPr>
        <w:t>. Pro služby uvedené v článku 2.1 této smlouvy se tak nepoužije článek 3.4 této smlouvy.</w:t>
      </w:r>
    </w:p>
    <w:p w14:paraId="14E32C89" w14:textId="41DFD0A1" w:rsidR="002401B1" w:rsidRPr="002401B1" w:rsidRDefault="002401B1" w:rsidP="002401B1">
      <w:pPr>
        <w:pStyle w:val="smlouvaheading2"/>
        <w:spacing w:line="240" w:lineRule="atLeast"/>
        <w:rPr>
          <w:rFonts w:asciiTheme="majorHAnsi" w:hAnsiTheme="majorHAnsi" w:cstheme="majorHAnsi"/>
          <w:sz w:val="20"/>
          <w:szCs w:val="20"/>
        </w:rPr>
      </w:pPr>
      <w:r>
        <w:rPr>
          <w:rFonts w:ascii="Calibri" w:hAnsi="Calibri" w:cs="Calibri"/>
          <w:sz w:val="20"/>
          <w:szCs w:val="20"/>
        </w:rPr>
        <w:t xml:space="preserve">Smluvní odměna za právní služby přesahující rozsah služeb uvedený výše, stejně tak jako za další právní služby </w:t>
      </w:r>
      <w:r w:rsidRPr="002401B1">
        <w:rPr>
          <w:rFonts w:asciiTheme="majorHAnsi" w:hAnsiTheme="majorHAnsi" w:cstheme="majorHAnsi"/>
          <w:sz w:val="20"/>
          <w:szCs w:val="20"/>
        </w:rPr>
        <w:t xml:space="preserve">poskytované Objednateli v budoucnu, bude vypočtena na základě naší pevné hodinové sazby, která je revidována jednou ročně, zpravidla k 1. červenci, a v současné době činí </w:t>
      </w:r>
      <w:r w:rsidR="001108A1">
        <w:rPr>
          <w:rFonts w:asciiTheme="majorHAnsi" w:hAnsiTheme="majorHAnsi" w:cstheme="majorHAnsi"/>
          <w:sz w:val="20"/>
          <w:szCs w:val="20"/>
        </w:rPr>
        <w:t>2900 Kč</w:t>
      </w:r>
      <w:r w:rsidRPr="002401B1">
        <w:rPr>
          <w:rFonts w:asciiTheme="majorHAnsi" w:hAnsiTheme="majorHAnsi" w:cstheme="majorHAnsi"/>
          <w:sz w:val="20"/>
          <w:szCs w:val="20"/>
        </w:rPr>
        <w:t xml:space="preserve"> za hodinu a času, který vynaložíme při řešení dané záležitosti, včetně příprav, zpracování zpráv a případných řešení právních otázek souvisejících s danou záležitostí (pokud budou v daném případě nezbytná).</w:t>
      </w:r>
    </w:p>
    <w:p w14:paraId="723AF518" w14:textId="0A72F46F" w:rsidR="002401B1" w:rsidRPr="002401B1" w:rsidRDefault="002401B1" w:rsidP="001108A1">
      <w:pPr>
        <w:pStyle w:val="smlouvaheading2"/>
        <w:spacing w:line="240" w:lineRule="atLeast"/>
        <w:rPr>
          <w:rFonts w:asciiTheme="majorHAnsi" w:hAnsiTheme="majorHAnsi" w:cstheme="majorHAnsi"/>
          <w:sz w:val="20"/>
          <w:szCs w:val="20"/>
        </w:rPr>
      </w:pPr>
      <w:r w:rsidRPr="002401B1">
        <w:rPr>
          <w:rFonts w:asciiTheme="majorHAnsi" w:hAnsiTheme="majorHAnsi" w:cstheme="majorHAnsi"/>
          <w:sz w:val="20"/>
          <w:szCs w:val="20"/>
        </w:rPr>
        <w:t>Pokud bude možno určit předem rozsah dalších právních služeb neobsažených ve výše uvedeném rozsahu, je možno pro takovéto další služby dohodnout též pevně stanovenou smluvní odměnu místo odměny vypočtené dle hodinových sazeb.</w:t>
      </w:r>
    </w:p>
    <w:p w14:paraId="7DB08C4A" w14:textId="1A784494" w:rsidR="00745C9A" w:rsidRPr="002401B1" w:rsidRDefault="00745C9A" w:rsidP="00745C9A">
      <w:pPr>
        <w:pStyle w:val="smlouvaheading2"/>
        <w:rPr>
          <w:rFonts w:asciiTheme="majorHAnsi" w:hAnsiTheme="majorHAnsi" w:cstheme="majorHAnsi"/>
          <w:sz w:val="20"/>
          <w:szCs w:val="20"/>
        </w:rPr>
      </w:pPr>
      <w:r w:rsidRPr="002401B1">
        <w:rPr>
          <w:rFonts w:asciiTheme="majorHAnsi" w:hAnsiTheme="majorHAnsi" w:cstheme="majorHAnsi"/>
          <w:sz w:val="20"/>
          <w:szCs w:val="20"/>
        </w:rPr>
        <w:t>Uveden</w:t>
      </w:r>
      <w:r w:rsidR="00071830">
        <w:rPr>
          <w:rFonts w:asciiTheme="majorHAnsi" w:hAnsiTheme="majorHAnsi" w:cstheme="majorHAnsi"/>
          <w:sz w:val="20"/>
          <w:szCs w:val="20"/>
        </w:rPr>
        <w:t>é</w:t>
      </w:r>
      <w:r w:rsidRPr="002401B1">
        <w:rPr>
          <w:rFonts w:asciiTheme="majorHAnsi" w:hAnsiTheme="majorHAnsi" w:cstheme="majorHAnsi"/>
          <w:sz w:val="20"/>
          <w:szCs w:val="20"/>
        </w:rPr>
        <w:t xml:space="preserve"> smluvní odměn</w:t>
      </w:r>
      <w:r w:rsidR="00071830">
        <w:rPr>
          <w:rFonts w:asciiTheme="majorHAnsi" w:hAnsiTheme="majorHAnsi" w:cstheme="majorHAnsi"/>
          <w:sz w:val="20"/>
          <w:szCs w:val="20"/>
        </w:rPr>
        <w:t>y</w:t>
      </w:r>
      <w:r w:rsidRPr="002401B1">
        <w:rPr>
          <w:rFonts w:asciiTheme="majorHAnsi" w:hAnsiTheme="majorHAnsi" w:cstheme="majorHAnsi"/>
          <w:sz w:val="20"/>
          <w:szCs w:val="20"/>
        </w:rPr>
        <w:t xml:space="preserve"> nezahrnují výdaje vynaložené v souvislosti s poskytováním služeb (jako např. soudní poplatky, notářské poplatky, náklady na ověřené překlady dokumentů, cestovní výdaje, výdaje za ubytování, kurýrní služby, cenu zveřejnění oznámení, faxu, telefonních hovorů a kopírování apod.), které budou hrazeny </w:t>
      </w:r>
      <w:proofErr w:type="spellStart"/>
      <w:r w:rsidRPr="002401B1">
        <w:rPr>
          <w:rFonts w:asciiTheme="majorHAnsi" w:hAnsiTheme="majorHAnsi" w:cstheme="majorHAnsi"/>
          <w:sz w:val="20"/>
          <w:szCs w:val="20"/>
        </w:rPr>
        <w:t>Deloitte</w:t>
      </w:r>
      <w:proofErr w:type="spellEnd"/>
      <w:r w:rsidRPr="002401B1">
        <w:rPr>
          <w:rFonts w:asciiTheme="majorHAnsi" w:hAnsiTheme="majorHAnsi" w:cstheme="majorHAnsi"/>
          <w:sz w:val="20"/>
          <w:szCs w:val="20"/>
        </w:rPr>
        <w:t xml:space="preserve"> </w:t>
      </w:r>
      <w:proofErr w:type="spellStart"/>
      <w:r w:rsidRPr="002401B1">
        <w:rPr>
          <w:rFonts w:asciiTheme="majorHAnsi" w:hAnsiTheme="majorHAnsi" w:cstheme="majorHAnsi"/>
          <w:sz w:val="20"/>
          <w:szCs w:val="20"/>
        </w:rPr>
        <w:t>Legal</w:t>
      </w:r>
      <w:proofErr w:type="spellEnd"/>
      <w:r w:rsidRPr="002401B1">
        <w:rPr>
          <w:rFonts w:asciiTheme="majorHAnsi" w:hAnsiTheme="majorHAnsi" w:cstheme="majorHAnsi"/>
          <w:sz w:val="20"/>
          <w:szCs w:val="20"/>
        </w:rPr>
        <w:t xml:space="preserve"> a následně přeúčtovány Objednateli. Jelikož příprava detailní kalkulace nákladů na fax, telefon a kopírování by byla administrativně a časově náročná, bude </w:t>
      </w:r>
      <w:proofErr w:type="spellStart"/>
      <w:r w:rsidRPr="002401B1">
        <w:rPr>
          <w:rFonts w:asciiTheme="majorHAnsi" w:hAnsiTheme="majorHAnsi" w:cstheme="majorHAnsi"/>
          <w:sz w:val="20"/>
          <w:szCs w:val="20"/>
        </w:rPr>
        <w:t>Deloitte</w:t>
      </w:r>
      <w:proofErr w:type="spellEnd"/>
      <w:r w:rsidRPr="002401B1">
        <w:rPr>
          <w:rFonts w:asciiTheme="majorHAnsi" w:hAnsiTheme="majorHAnsi" w:cstheme="majorHAnsi"/>
          <w:sz w:val="20"/>
          <w:szCs w:val="20"/>
        </w:rPr>
        <w:t xml:space="preserve"> </w:t>
      </w:r>
      <w:proofErr w:type="spellStart"/>
      <w:r w:rsidRPr="002401B1">
        <w:rPr>
          <w:rFonts w:asciiTheme="majorHAnsi" w:hAnsiTheme="majorHAnsi" w:cstheme="majorHAnsi"/>
          <w:sz w:val="20"/>
          <w:szCs w:val="20"/>
        </w:rPr>
        <w:t>Legal</w:t>
      </w:r>
      <w:proofErr w:type="spellEnd"/>
      <w:r w:rsidRPr="002401B1">
        <w:rPr>
          <w:rFonts w:asciiTheme="majorHAnsi" w:hAnsiTheme="majorHAnsi" w:cstheme="majorHAnsi"/>
          <w:sz w:val="20"/>
          <w:szCs w:val="20"/>
        </w:rPr>
        <w:t xml:space="preserve"> oprávněna účtovat Objednateli částku odpovídající 3 % z odměny za příslušné právní služby jako náhradu takových výdajů. Bude-li </w:t>
      </w:r>
      <w:proofErr w:type="spellStart"/>
      <w:r w:rsidRPr="002401B1">
        <w:rPr>
          <w:rFonts w:asciiTheme="majorHAnsi" w:hAnsiTheme="majorHAnsi" w:cstheme="majorHAnsi"/>
          <w:sz w:val="20"/>
          <w:szCs w:val="20"/>
        </w:rPr>
        <w:t>Deloitte</w:t>
      </w:r>
      <w:proofErr w:type="spellEnd"/>
      <w:r w:rsidRPr="002401B1">
        <w:rPr>
          <w:rFonts w:asciiTheme="majorHAnsi" w:hAnsiTheme="majorHAnsi" w:cstheme="majorHAnsi"/>
          <w:sz w:val="20"/>
          <w:szCs w:val="20"/>
        </w:rPr>
        <w:t xml:space="preserve"> </w:t>
      </w:r>
      <w:proofErr w:type="spellStart"/>
      <w:r w:rsidRPr="002401B1">
        <w:rPr>
          <w:rFonts w:asciiTheme="majorHAnsi" w:hAnsiTheme="majorHAnsi" w:cstheme="majorHAnsi"/>
          <w:sz w:val="20"/>
          <w:szCs w:val="20"/>
        </w:rPr>
        <w:t>Legal</w:t>
      </w:r>
      <w:proofErr w:type="spellEnd"/>
      <w:r w:rsidRPr="002401B1">
        <w:rPr>
          <w:rFonts w:asciiTheme="majorHAnsi" w:hAnsiTheme="majorHAnsi" w:cstheme="majorHAnsi"/>
          <w:sz w:val="20"/>
          <w:szCs w:val="20"/>
        </w:rPr>
        <w:t xml:space="preserve"> předpokládat, že výdaje uvedené v tomto článku budou představovat významnou část vystavených faktur, požádá Objednatele předem o jejich schválení.</w:t>
      </w:r>
    </w:p>
    <w:p w14:paraId="7902F003" w14:textId="5C238B57" w:rsidR="00745C9A" w:rsidRPr="002B5014" w:rsidRDefault="002401B1" w:rsidP="00745C9A">
      <w:pPr>
        <w:pStyle w:val="smlouvaheading2"/>
        <w:rPr>
          <w:rFonts w:asciiTheme="majorHAnsi" w:hAnsiTheme="majorHAnsi" w:cstheme="majorHAnsi"/>
          <w:sz w:val="20"/>
          <w:szCs w:val="20"/>
        </w:rPr>
      </w:pPr>
      <w:r w:rsidRPr="002401B1">
        <w:rPr>
          <w:rFonts w:asciiTheme="majorHAnsi" w:hAnsiTheme="majorHAnsi" w:cstheme="majorHAnsi"/>
          <w:sz w:val="20"/>
          <w:szCs w:val="20"/>
        </w:rPr>
        <w:t xml:space="preserve">Faktury bude </w:t>
      </w:r>
      <w:proofErr w:type="spellStart"/>
      <w:r w:rsidRPr="002401B1">
        <w:rPr>
          <w:rFonts w:asciiTheme="majorHAnsi" w:hAnsiTheme="majorHAnsi" w:cstheme="majorHAnsi"/>
          <w:sz w:val="20"/>
          <w:szCs w:val="20"/>
        </w:rPr>
        <w:t>Deloitte</w:t>
      </w:r>
      <w:proofErr w:type="spellEnd"/>
      <w:r w:rsidRPr="002401B1">
        <w:rPr>
          <w:rFonts w:asciiTheme="majorHAnsi" w:hAnsiTheme="majorHAnsi" w:cstheme="majorHAnsi"/>
          <w:sz w:val="20"/>
          <w:szCs w:val="20"/>
        </w:rPr>
        <w:t xml:space="preserve"> </w:t>
      </w:r>
      <w:proofErr w:type="spellStart"/>
      <w:r w:rsidRPr="002401B1">
        <w:rPr>
          <w:rFonts w:asciiTheme="majorHAnsi" w:hAnsiTheme="majorHAnsi" w:cstheme="majorHAnsi"/>
          <w:sz w:val="20"/>
          <w:szCs w:val="20"/>
        </w:rPr>
        <w:t>Legal</w:t>
      </w:r>
      <w:proofErr w:type="spellEnd"/>
      <w:r w:rsidRPr="002401B1">
        <w:rPr>
          <w:rFonts w:asciiTheme="majorHAnsi" w:hAnsiTheme="majorHAnsi" w:cstheme="majorHAnsi"/>
          <w:sz w:val="20"/>
          <w:szCs w:val="20"/>
        </w:rPr>
        <w:t xml:space="preserve"> vystavovat měsíčně</w:t>
      </w:r>
      <w:r>
        <w:rPr>
          <w:rFonts w:asciiTheme="majorHAnsi" w:hAnsiTheme="majorHAnsi" w:cstheme="majorHAnsi"/>
          <w:sz w:val="20"/>
          <w:szCs w:val="20"/>
        </w:rPr>
        <w:t xml:space="preserve">. </w:t>
      </w:r>
      <w:r w:rsidR="00745C9A" w:rsidRPr="002B5014">
        <w:rPr>
          <w:rFonts w:asciiTheme="majorHAnsi" w:hAnsiTheme="majorHAnsi" w:cstheme="majorHAnsi"/>
          <w:sz w:val="20"/>
          <w:szCs w:val="20"/>
        </w:rPr>
        <w:t xml:space="preserve">Ke smluvní odměně bude připočtena příslušná daň z přidané hodnoty (v případě, že tak stanoví zákon č. 235/2004 Sb., o dani z přidané hodnoty, v platném znění). </w:t>
      </w:r>
      <w:r w:rsidR="00745C9A" w:rsidRPr="002401B1">
        <w:rPr>
          <w:rFonts w:asciiTheme="majorHAnsi" w:hAnsiTheme="majorHAnsi" w:cstheme="majorHAnsi"/>
          <w:sz w:val="20"/>
          <w:szCs w:val="20"/>
        </w:rPr>
        <w:t xml:space="preserve">Z hlediska uplatňování DPH bude </w:t>
      </w:r>
      <w:proofErr w:type="spellStart"/>
      <w:r w:rsidR="00745C9A" w:rsidRPr="002401B1">
        <w:rPr>
          <w:rFonts w:asciiTheme="majorHAnsi" w:hAnsiTheme="majorHAnsi" w:cstheme="majorHAnsi"/>
          <w:sz w:val="20"/>
          <w:szCs w:val="20"/>
        </w:rPr>
        <w:t>Deloitte</w:t>
      </w:r>
      <w:proofErr w:type="spellEnd"/>
      <w:r w:rsidR="00745C9A" w:rsidRPr="002401B1">
        <w:rPr>
          <w:rFonts w:asciiTheme="majorHAnsi" w:hAnsiTheme="majorHAnsi" w:cstheme="majorHAnsi"/>
          <w:sz w:val="20"/>
          <w:szCs w:val="20"/>
        </w:rPr>
        <w:t xml:space="preserve"> </w:t>
      </w:r>
      <w:proofErr w:type="spellStart"/>
      <w:r w:rsidR="00745C9A" w:rsidRPr="002401B1">
        <w:rPr>
          <w:rFonts w:asciiTheme="majorHAnsi" w:hAnsiTheme="majorHAnsi" w:cstheme="majorHAnsi"/>
          <w:sz w:val="20"/>
          <w:szCs w:val="20"/>
        </w:rPr>
        <w:t>Legal</w:t>
      </w:r>
      <w:proofErr w:type="spellEnd"/>
      <w:r w:rsidR="00745C9A" w:rsidRPr="002401B1">
        <w:rPr>
          <w:rFonts w:asciiTheme="majorHAnsi" w:hAnsiTheme="majorHAnsi" w:cstheme="majorHAnsi"/>
          <w:sz w:val="20"/>
          <w:szCs w:val="20"/>
        </w:rPr>
        <w:t xml:space="preserve"> považovat poskytování služeb za soustavnou činnost, přičemž činnosti specifikované v jednotlivých vystavených fakturách budou představovat dílčí plnění poskytnutých služeb. Každé dílčí plnění bude považováno za uskutečněné dnem vystavení příslušné faktury. Pro usnadnění</w:t>
      </w:r>
      <w:r w:rsidR="00745C9A" w:rsidRPr="002B5014">
        <w:rPr>
          <w:rFonts w:asciiTheme="majorHAnsi" w:hAnsiTheme="majorHAnsi" w:cstheme="majorHAnsi"/>
          <w:sz w:val="20"/>
          <w:szCs w:val="20"/>
        </w:rPr>
        <w:t xml:space="preserve"> platby dané faktury může </w:t>
      </w:r>
      <w:proofErr w:type="spellStart"/>
      <w:r w:rsidR="00745C9A" w:rsidRPr="002B5014">
        <w:rPr>
          <w:rFonts w:asciiTheme="majorHAnsi" w:hAnsiTheme="majorHAnsi" w:cstheme="majorHAnsi"/>
          <w:sz w:val="20"/>
          <w:szCs w:val="20"/>
        </w:rPr>
        <w:t>Deloitte</w:t>
      </w:r>
      <w:proofErr w:type="spellEnd"/>
      <w:r w:rsidR="00745C9A" w:rsidRPr="002B5014">
        <w:rPr>
          <w:rFonts w:asciiTheme="majorHAnsi" w:hAnsiTheme="majorHAnsi" w:cstheme="majorHAnsi"/>
          <w:sz w:val="20"/>
          <w:szCs w:val="20"/>
        </w:rPr>
        <w:t xml:space="preserve"> </w:t>
      </w:r>
      <w:proofErr w:type="spellStart"/>
      <w:r w:rsidR="00745C9A" w:rsidRPr="002B5014">
        <w:rPr>
          <w:rFonts w:asciiTheme="majorHAnsi" w:hAnsiTheme="majorHAnsi" w:cstheme="majorHAnsi"/>
          <w:sz w:val="20"/>
          <w:szCs w:val="20"/>
        </w:rPr>
        <w:t>Legal</w:t>
      </w:r>
      <w:proofErr w:type="spellEnd"/>
      <w:r w:rsidR="00745C9A" w:rsidRPr="002B5014">
        <w:rPr>
          <w:rFonts w:asciiTheme="majorHAnsi" w:hAnsiTheme="majorHAnsi" w:cstheme="majorHAnsi"/>
          <w:sz w:val="20"/>
          <w:szCs w:val="20"/>
        </w:rPr>
        <w:t xml:space="preserve"> Objednateli zaslat elektronickou kopii faktury navíc k jejímu doručení poštou. Faktury </w:t>
      </w:r>
      <w:proofErr w:type="spellStart"/>
      <w:r w:rsidR="00745C9A" w:rsidRPr="002B5014">
        <w:rPr>
          <w:rFonts w:asciiTheme="majorHAnsi" w:hAnsiTheme="majorHAnsi" w:cstheme="majorHAnsi"/>
          <w:sz w:val="20"/>
          <w:szCs w:val="20"/>
        </w:rPr>
        <w:t>Deloitte</w:t>
      </w:r>
      <w:proofErr w:type="spellEnd"/>
      <w:r w:rsidR="00745C9A" w:rsidRPr="002B5014">
        <w:rPr>
          <w:rFonts w:asciiTheme="majorHAnsi" w:hAnsiTheme="majorHAnsi" w:cstheme="majorHAnsi"/>
          <w:sz w:val="20"/>
          <w:szCs w:val="20"/>
        </w:rPr>
        <w:t xml:space="preserve"> </w:t>
      </w:r>
      <w:proofErr w:type="spellStart"/>
      <w:r w:rsidR="00745C9A" w:rsidRPr="002B5014">
        <w:rPr>
          <w:rFonts w:asciiTheme="majorHAnsi" w:hAnsiTheme="majorHAnsi" w:cstheme="majorHAnsi"/>
          <w:sz w:val="20"/>
          <w:szCs w:val="20"/>
        </w:rPr>
        <w:t>Legal</w:t>
      </w:r>
      <w:proofErr w:type="spellEnd"/>
      <w:r w:rsidR="00745C9A" w:rsidRPr="002B5014">
        <w:rPr>
          <w:rFonts w:asciiTheme="majorHAnsi" w:hAnsiTheme="majorHAnsi" w:cstheme="majorHAnsi"/>
          <w:sz w:val="20"/>
          <w:szCs w:val="20"/>
        </w:rPr>
        <w:t xml:space="preserve"> budou splatné do třiceti (30) dnů od jejich vystavení. K fakturovaným částkám, které nebudou řádně a včas uhrazeny, si vyhrazujeme právo účtovat úrok z prodlení v sazbě 1,5 % měsíčně.</w:t>
      </w:r>
    </w:p>
    <w:p w14:paraId="40B5EBB4" w14:textId="611B85D9" w:rsidR="004124D0" w:rsidRPr="00E76CDF" w:rsidRDefault="00745C9A" w:rsidP="004124D0">
      <w:pPr>
        <w:pStyle w:val="smlouvaheading2"/>
        <w:rPr>
          <w:rFonts w:asciiTheme="majorHAnsi" w:hAnsiTheme="majorHAnsi" w:cstheme="majorHAnsi"/>
          <w:sz w:val="20"/>
          <w:szCs w:val="20"/>
        </w:rPr>
      </w:pPr>
      <w:r w:rsidRPr="002B5014">
        <w:rPr>
          <w:rFonts w:asciiTheme="majorHAnsi" w:hAnsiTheme="majorHAnsi" w:cstheme="majorHAnsi"/>
          <w:sz w:val="20"/>
          <w:szCs w:val="20"/>
        </w:rPr>
        <w:lastRenderedPageBreak/>
        <w:t xml:space="preserve">Jako klientovi, jehož pokyny se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bude řídit, bude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Objednateli vystavovat faktury i v případě, pokud by měly být hrazeny třetí stranou. Jestliže bude Objednatel požadovat, aby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vystavila fakturu třetí straně, učiní tak v případě uzavření písemné smlouvy mezi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a takovouto třetí stranou, přičemž Objednatel</w:t>
      </w:r>
      <w:r w:rsidRPr="002B5014">
        <w:rPr>
          <w:rFonts w:asciiTheme="majorHAnsi" w:hAnsiTheme="majorHAnsi" w:cstheme="majorHAnsi"/>
          <w:i/>
          <w:sz w:val="20"/>
          <w:szCs w:val="20"/>
        </w:rPr>
        <w:t xml:space="preserve"> </w:t>
      </w:r>
      <w:r w:rsidRPr="002B5014">
        <w:rPr>
          <w:rFonts w:asciiTheme="majorHAnsi" w:hAnsiTheme="majorHAnsi" w:cstheme="majorHAnsi"/>
          <w:sz w:val="20"/>
          <w:szCs w:val="20"/>
        </w:rPr>
        <w:t xml:space="preserve">zůstane i nadále odpovědný za úhradu faktur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w:t>
      </w:r>
    </w:p>
    <w:p w14:paraId="2C3509E0" w14:textId="77777777" w:rsidR="00745C9A" w:rsidRPr="002B5014" w:rsidRDefault="00745C9A" w:rsidP="00745C9A">
      <w:pPr>
        <w:pStyle w:val="smlouvaheading1"/>
        <w:ind w:left="709" w:hanging="709"/>
        <w:rPr>
          <w:rFonts w:asciiTheme="majorHAnsi" w:hAnsiTheme="majorHAnsi" w:cstheme="majorHAnsi"/>
          <w:sz w:val="20"/>
          <w:szCs w:val="20"/>
        </w:rPr>
      </w:pPr>
      <w:r w:rsidRPr="002B5014">
        <w:rPr>
          <w:rFonts w:asciiTheme="majorHAnsi" w:hAnsiTheme="majorHAnsi" w:cstheme="majorHAnsi"/>
          <w:sz w:val="20"/>
          <w:szCs w:val="20"/>
        </w:rPr>
        <w:t>Poskytování informací</w:t>
      </w:r>
    </w:p>
    <w:p w14:paraId="09C898EB" w14:textId="3A300BE2" w:rsidR="00745C9A" w:rsidRPr="002B5014" w:rsidRDefault="00745C9A" w:rsidP="00745C9A">
      <w:pPr>
        <w:pStyle w:val="smlouvaheading2"/>
        <w:rPr>
          <w:rFonts w:asciiTheme="majorHAnsi" w:hAnsiTheme="majorHAnsi" w:cstheme="majorHAnsi"/>
          <w:sz w:val="20"/>
          <w:szCs w:val="20"/>
        </w:rPr>
      </w:pPr>
      <w:r w:rsidRPr="002B5014">
        <w:rPr>
          <w:rFonts w:asciiTheme="majorHAnsi" w:hAnsiTheme="majorHAnsi" w:cstheme="majorHAnsi"/>
          <w:sz w:val="20"/>
          <w:szCs w:val="20"/>
        </w:rPr>
        <w:t xml:space="preserve">Pro poskytování právních služeb je velmi důležitá vzájemná fungující komunikace mezi oběma stranami. </w:t>
      </w:r>
      <w:proofErr w:type="spellStart"/>
      <w:r w:rsidR="00816FB6">
        <w:rPr>
          <w:rFonts w:asciiTheme="majorHAnsi" w:hAnsiTheme="majorHAnsi" w:cstheme="majorHAnsi"/>
          <w:sz w:val="20"/>
          <w:szCs w:val="20"/>
        </w:rPr>
        <w:t>xxxx</w:t>
      </w:r>
      <w:proofErr w:type="spellEnd"/>
      <w:r w:rsidRPr="002B5014">
        <w:rPr>
          <w:rFonts w:asciiTheme="majorHAnsi" w:hAnsiTheme="majorHAnsi" w:cstheme="majorHAnsi"/>
          <w:sz w:val="20"/>
          <w:szCs w:val="20"/>
          <w:lang w:eastAsia="cs-CZ"/>
        </w:rPr>
        <w:t xml:space="preserve"> </w:t>
      </w:r>
      <w:r w:rsidRPr="002B5014">
        <w:rPr>
          <w:rFonts w:asciiTheme="majorHAnsi" w:hAnsiTheme="majorHAnsi" w:cstheme="majorHAnsi"/>
          <w:sz w:val="20"/>
          <w:szCs w:val="20"/>
        </w:rPr>
        <w:t>bud</w:t>
      </w:r>
      <w:r w:rsidR="006258D3">
        <w:rPr>
          <w:rFonts w:asciiTheme="majorHAnsi" w:hAnsiTheme="majorHAnsi" w:cstheme="majorHAnsi"/>
          <w:sz w:val="20"/>
          <w:szCs w:val="20"/>
        </w:rPr>
        <w:t>e</w:t>
      </w:r>
      <w:r w:rsidRPr="002B5014">
        <w:rPr>
          <w:rFonts w:asciiTheme="majorHAnsi" w:hAnsiTheme="majorHAnsi" w:cstheme="majorHAnsi"/>
          <w:sz w:val="20"/>
          <w:szCs w:val="20"/>
        </w:rPr>
        <w:t xml:space="preserve"> považován za hlavní kontaktní osob</w:t>
      </w:r>
      <w:r w:rsidR="006258D3">
        <w:rPr>
          <w:rFonts w:asciiTheme="majorHAnsi" w:hAnsiTheme="majorHAnsi" w:cstheme="majorHAnsi"/>
          <w:sz w:val="20"/>
          <w:szCs w:val="20"/>
        </w:rPr>
        <w:t>u</w:t>
      </w:r>
      <w:r w:rsidRPr="002B5014">
        <w:rPr>
          <w:rFonts w:asciiTheme="majorHAnsi" w:hAnsiTheme="majorHAnsi" w:cstheme="majorHAnsi"/>
          <w:sz w:val="20"/>
          <w:szCs w:val="20"/>
        </w:rPr>
        <w:t xml:space="preserve"> při poskytování služeb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Objednateli. Pokud nebude dohodnuto jinak,</w:t>
      </w:r>
      <w:r w:rsidR="00FF4703" w:rsidRPr="002B5014">
        <w:rPr>
          <w:rFonts w:asciiTheme="majorHAnsi" w:hAnsiTheme="majorHAnsi" w:cstheme="majorHAnsi"/>
          <w:sz w:val="20"/>
          <w:szCs w:val="20"/>
        </w:rPr>
        <w:t xml:space="preserve"> bude</w:t>
      </w:r>
      <w:r w:rsidR="00F27CC9">
        <w:rPr>
          <w:rFonts w:asciiTheme="majorHAnsi" w:hAnsiTheme="majorHAnsi" w:cstheme="majorHAnsi"/>
          <w:sz w:val="20"/>
          <w:szCs w:val="20"/>
        </w:rPr>
        <w:t xml:space="preserve"> </w:t>
      </w:r>
      <w:proofErr w:type="spellStart"/>
      <w:r w:rsidR="00816FB6">
        <w:rPr>
          <w:rFonts w:asciiTheme="majorHAnsi" w:hAnsiTheme="majorHAnsi" w:cstheme="majorHAnsi"/>
          <w:sz w:val="20"/>
          <w:szCs w:val="20"/>
        </w:rPr>
        <w:t>xxxx</w:t>
      </w:r>
      <w:proofErr w:type="spellEnd"/>
      <w:r w:rsidR="0060202A">
        <w:rPr>
          <w:rFonts w:asciiTheme="majorHAnsi" w:hAnsiTheme="majorHAnsi" w:cstheme="majorHAnsi"/>
          <w:sz w:val="20"/>
          <w:szCs w:val="20"/>
          <w:lang w:eastAsia="cs-CZ"/>
        </w:rPr>
        <w:t xml:space="preserve"> </w:t>
      </w:r>
      <w:r w:rsidRPr="002B5014">
        <w:rPr>
          <w:rFonts w:asciiTheme="majorHAnsi" w:hAnsiTheme="majorHAnsi" w:cstheme="majorHAnsi"/>
          <w:sz w:val="20"/>
          <w:szCs w:val="20"/>
          <w:lang w:eastAsia="cs-CZ"/>
        </w:rPr>
        <w:t>hlavní kontaktní osob</w:t>
      </w:r>
      <w:r w:rsidR="00FF4703" w:rsidRPr="002B5014">
        <w:rPr>
          <w:rFonts w:asciiTheme="majorHAnsi" w:hAnsiTheme="majorHAnsi" w:cstheme="majorHAnsi"/>
          <w:sz w:val="20"/>
          <w:szCs w:val="20"/>
          <w:lang w:eastAsia="cs-CZ"/>
        </w:rPr>
        <w:t>ou</w:t>
      </w:r>
      <w:r w:rsidRPr="002B5014">
        <w:rPr>
          <w:rFonts w:asciiTheme="majorHAnsi" w:hAnsiTheme="majorHAnsi" w:cstheme="majorHAnsi"/>
          <w:sz w:val="20"/>
          <w:szCs w:val="20"/>
          <w:lang w:eastAsia="cs-CZ"/>
        </w:rPr>
        <w:t xml:space="preserve"> ze strany Objednatele</w:t>
      </w:r>
      <w:r w:rsidRPr="002B5014">
        <w:rPr>
          <w:rFonts w:asciiTheme="majorHAnsi" w:hAnsiTheme="majorHAnsi" w:cstheme="majorHAnsi"/>
          <w:sz w:val="20"/>
          <w:szCs w:val="20"/>
        </w:rPr>
        <w:t>.</w:t>
      </w:r>
    </w:p>
    <w:p w14:paraId="6F9F135F" w14:textId="77777777" w:rsidR="00745C9A" w:rsidRPr="002B5014" w:rsidRDefault="00745C9A" w:rsidP="00745C9A">
      <w:pPr>
        <w:pStyle w:val="smlouvaheading2"/>
        <w:rPr>
          <w:rFonts w:asciiTheme="majorHAnsi" w:hAnsiTheme="majorHAnsi" w:cstheme="majorHAnsi"/>
          <w:sz w:val="20"/>
          <w:szCs w:val="20"/>
        </w:rPr>
      </w:pPr>
      <w:r w:rsidRPr="002B5014">
        <w:rPr>
          <w:rFonts w:asciiTheme="majorHAnsi" w:hAnsiTheme="majorHAnsi" w:cstheme="majorHAnsi"/>
          <w:sz w:val="20"/>
          <w:szCs w:val="20"/>
        </w:rPr>
        <w:t>Jakýkoliv požadavek změny rozsahu poskytovaných služeb či objednávka dalších právních služeb musí být učiněny a odsouhlaseny formou dopisu, e-mailu či faxu.</w:t>
      </w:r>
    </w:p>
    <w:p w14:paraId="44B71B36" w14:textId="77777777" w:rsidR="00745C9A" w:rsidRPr="002B5014" w:rsidRDefault="00745C9A" w:rsidP="00745C9A">
      <w:pPr>
        <w:pStyle w:val="smlouvaheading2"/>
        <w:rPr>
          <w:rFonts w:asciiTheme="majorHAnsi" w:hAnsiTheme="majorHAnsi" w:cstheme="majorHAnsi"/>
          <w:sz w:val="20"/>
          <w:szCs w:val="20"/>
        </w:rPr>
      </w:pPr>
      <w:r w:rsidRPr="002B5014">
        <w:rPr>
          <w:rFonts w:asciiTheme="majorHAnsi" w:hAnsiTheme="majorHAnsi" w:cstheme="majorHAnsi"/>
          <w:sz w:val="20"/>
          <w:szCs w:val="20"/>
        </w:rPr>
        <w:t xml:space="preserve">Jakékoliv ústní rady, návrhy zpráv nebo zápisy z jednání, které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případně poskytne Objednateli, nebudou definitivní právní radou, stanoviskem ani závěrem. Definitivní právní rada, stanovisko nebo závěr budou obsaženy výhradně v konečném písemném vyjádření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w:t>
      </w:r>
    </w:p>
    <w:p w14:paraId="39F4CE58" w14:textId="76EAA237" w:rsidR="004124D0" w:rsidRPr="00E76CDF" w:rsidRDefault="00745C9A" w:rsidP="004124D0">
      <w:pPr>
        <w:pStyle w:val="smlouvaheading2"/>
        <w:rPr>
          <w:rFonts w:asciiTheme="majorHAnsi" w:hAnsiTheme="majorHAnsi" w:cstheme="majorHAnsi"/>
          <w:sz w:val="20"/>
          <w:szCs w:val="20"/>
        </w:rPr>
      </w:pPr>
      <w:r w:rsidRPr="002B5014">
        <w:rPr>
          <w:rFonts w:asciiTheme="majorHAnsi" w:hAnsiTheme="majorHAnsi" w:cstheme="majorHAnsi"/>
          <w:sz w:val="20"/>
          <w:szCs w:val="20"/>
        </w:rPr>
        <w:t>Poskytne-li Objednatel</w:t>
      </w:r>
      <w:r w:rsidRPr="002B5014">
        <w:rPr>
          <w:rFonts w:asciiTheme="majorHAnsi" w:hAnsiTheme="majorHAnsi" w:cstheme="majorHAnsi"/>
          <w:i/>
          <w:sz w:val="20"/>
          <w:szCs w:val="20"/>
        </w:rPr>
        <w:t xml:space="preserve">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faxové spojení či adresu elektronické pošty, předpokládá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(pokud není oznámen opak), že Objednatel</w:t>
      </w:r>
      <w:r w:rsidRPr="002B5014">
        <w:rPr>
          <w:rFonts w:asciiTheme="majorHAnsi" w:hAnsiTheme="majorHAnsi" w:cstheme="majorHAnsi"/>
          <w:i/>
          <w:sz w:val="20"/>
          <w:szCs w:val="20"/>
        </w:rPr>
        <w:t xml:space="preserve"> </w:t>
      </w:r>
      <w:r w:rsidRPr="002B5014">
        <w:rPr>
          <w:rFonts w:asciiTheme="majorHAnsi" w:hAnsiTheme="majorHAnsi" w:cstheme="majorHAnsi"/>
          <w:sz w:val="20"/>
          <w:szCs w:val="20"/>
        </w:rPr>
        <w:t xml:space="preserve">souhlasí s využitím těchto prostředků při vzájemné komunikaci a že považuje tento způsob převodu informací za dostatečně bezpečný a důvěrný s ohledem na ochranu zájmů Objednatele a že Objednatel zajistí ochranu integrity dat (např. antivirovou ochranu).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bude oprávněna použít toto faxové spojení či adresu elektronické pošty nejenom v souvislosti s poskytovanými právními službami, ale také za účelem zasílání obchodních sdělení týkajících se nabídek dalších služeb, pokud toto Objednatel neodmítne.</w:t>
      </w:r>
    </w:p>
    <w:p w14:paraId="53502FE7" w14:textId="77777777" w:rsidR="00745C9A" w:rsidRPr="002B5014" w:rsidRDefault="00745C9A" w:rsidP="00745C9A">
      <w:pPr>
        <w:pStyle w:val="smlouvaheading1"/>
        <w:ind w:left="709" w:hanging="709"/>
        <w:rPr>
          <w:rFonts w:asciiTheme="majorHAnsi" w:hAnsiTheme="majorHAnsi" w:cstheme="majorHAnsi"/>
          <w:sz w:val="20"/>
          <w:szCs w:val="20"/>
        </w:rPr>
      </w:pPr>
      <w:r w:rsidRPr="002B5014">
        <w:rPr>
          <w:rFonts w:asciiTheme="majorHAnsi" w:hAnsiTheme="majorHAnsi" w:cstheme="majorHAnsi"/>
          <w:sz w:val="20"/>
          <w:szCs w:val="20"/>
        </w:rPr>
        <w:t>Důvěrnost, ochrana osobních údajů</w:t>
      </w:r>
    </w:p>
    <w:p w14:paraId="464A8C1B" w14:textId="2F5B809E" w:rsidR="00745C9A" w:rsidRPr="002B5014" w:rsidRDefault="00745C9A" w:rsidP="00745C9A">
      <w:pPr>
        <w:pStyle w:val="smlouvaheading2"/>
        <w:rPr>
          <w:rFonts w:asciiTheme="majorHAnsi" w:hAnsiTheme="majorHAnsi" w:cstheme="majorHAnsi"/>
          <w:sz w:val="20"/>
          <w:szCs w:val="20"/>
        </w:rPr>
      </w:pPr>
      <w:r w:rsidRPr="002B5014">
        <w:rPr>
          <w:rFonts w:asciiTheme="majorHAnsi" w:hAnsiTheme="majorHAnsi" w:cstheme="majorHAnsi"/>
          <w:sz w:val="20"/>
          <w:szCs w:val="20"/>
        </w:rPr>
        <w:t xml:space="preserve">Veškeré informace poskytnuté Objednateli, které označí za důvěrné, bude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vždy uchovávat v tajnosti a zajistí, aby jeho zaměstnanci či spolupracující osoby činily taktéž, pokud Objednatel nebo příslušné právní předpisy nestanoví jinak. Povinnost mlčenlivosti se při zachování souladu s předpisy upravujícími poskytování právních služeb nebude vztahovat na informace, které se staly obecně známými, které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sama vytvořila bez ohledu na informace poskytnuté Objednatelem, na informace sdělené třetí stranou, jež nemá povinnost mlčenlivosti ohledně takových informací a informace, které je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v souladu s platnými právními předpisy povinna poskytnout státním či správním orgánům. V souladu s případným požadavkem Objednatele bude součástí nebo přílohou daňových dokladů popis poskytnutých právních služeb odpovídající fakturované odměně. Objednatel souhlasí s tím, že získané informace mohou být sdíleny s jinými odbornými poradci ze strany Objednatele spolupracujícími na řešení předmětné záležitosti a též s členy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pokud je to nutné v souvislosti s poskytnutím právních služeb, případně s dalšími osobami určenými Objednatelem. Objednatel rovněž souhlasí s uvedením krátkého popisu služeb poskytnutých na základě těchto smluvních podmínek společně s obchodní firmou Objednatele a jejím logem jako referenci prokazující praxi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může rovněž požádat Objednatele o poskytnutí specifického písemného souhlasu ohledně poskytnutých služeb.</w:t>
      </w:r>
    </w:p>
    <w:p w14:paraId="207E2B3A" w14:textId="77777777" w:rsidR="00745C9A" w:rsidRPr="002B5014" w:rsidRDefault="00745C9A" w:rsidP="00745C9A">
      <w:pPr>
        <w:pStyle w:val="smlouvaheading2"/>
        <w:spacing w:line="240" w:lineRule="atLeast"/>
        <w:rPr>
          <w:rFonts w:asciiTheme="majorHAnsi" w:hAnsiTheme="majorHAnsi" w:cstheme="majorHAnsi"/>
          <w:sz w:val="20"/>
          <w:szCs w:val="20"/>
        </w:rPr>
      </w:pPr>
      <w:r w:rsidRPr="002B5014">
        <w:rPr>
          <w:rFonts w:asciiTheme="majorHAnsi" w:hAnsiTheme="majorHAnsi" w:cstheme="majorHAnsi"/>
          <w:sz w:val="20"/>
          <w:szCs w:val="20"/>
        </w:rPr>
        <w:t>Ochrana Osobních údajů</w:t>
      </w:r>
    </w:p>
    <w:p w14:paraId="234D250B" w14:textId="77777777" w:rsidR="00745C9A" w:rsidRPr="002B5014" w:rsidRDefault="00745C9A" w:rsidP="00745C9A">
      <w:pPr>
        <w:pStyle w:val="smlouvaheading3"/>
        <w:tabs>
          <w:tab w:val="clear" w:pos="794"/>
          <w:tab w:val="left" w:pos="709"/>
        </w:tabs>
        <w:spacing w:line="240" w:lineRule="atLeast"/>
        <w:rPr>
          <w:rFonts w:asciiTheme="majorHAnsi" w:hAnsiTheme="majorHAnsi" w:cstheme="majorHAnsi"/>
          <w:sz w:val="20"/>
          <w:szCs w:val="20"/>
        </w:rPr>
      </w:pPr>
      <w:r w:rsidRPr="002B5014">
        <w:rPr>
          <w:rFonts w:asciiTheme="majorHAnsi" w:hAnsiTheme="majorHAnsi" w:cstheme="majorHAnsi"/>
          <w:sz w:val="20"/>
          <w:szCs w:val="20"/>
        </w:rPr>
        <w:t>Definice</w:t>
      </w:r>
    </w:p>
    <w:p w14:paraId="6192C9B9" w14:textId="77777777" w:rsidR="00745C9A" w:rsidRPr="002B5014" w:rsidRDefault="00745C9A" w:rsidP="00745C9A">
      <w:pPr>
        <w:ind w:left="720" w:hanging="720"/>
        <w:rPr>
          <w:rFonts w:asciiTheme="majorHAnsi" w:hAnsiTheme="majorHAnsi" w:cstheme="majorHAnsi"/>
          <w:color w:val="000000" w:themeColor="text1"/>
          <w:szCs w:val="20"/>
          <w:lang w:val="cs-CZ"/>
        </w:rPr>
      </w:pPr>
      <w:r w:rsidRPr="002B5014">
        <w:rPr>
          <w:rFonts w:asciiTheme="majorHAnsi" w:hAnsiTheme="majorHAnsi" w:cstheme="majorHAnsi"/>
          <w:color w:val="000000" w:themeColor="text1"/>
          <w:szCs w:val="20"/>
          <w:lang w:val="cs-CZ"/>
        </w:rPr>
        <w:t xml:space="preserve"> </w:t>
      </w:r>
      <w:r w:rsidRPr="002B5014">
        <w:rPr>
          <w:rFonts w:asciiTheme="majorHAnsi" w:hAnsiTheme="majorHAnsi" w:cstheme="majorHAnsi"/>
          <w:color w:val="000000" w:themeColor="text1"/>
          <w:szCs w:val="20"/>
          <w:lang w:val="cs-CZ"/>
        </w:rPr>
        <w:tab/>
        <w:t xml:space="preserve">„Správce“ označuje správce nebo správce údajů (jak je definován Právními předpisy v oblasti ochrany osobních údajů). </w:t>
      </w:r>
    </w:p>
    <w:p w14:paraId="575196EC" w14:textId="77777777" w:rsidR="00745C9A" w:rsidRPr="002B5014" w:rsidRDefault="00745C9A" w:rsidP="00745C9A">
      <w:pPr>
        <w:ind w:left="720" w:hanging="720"/>
        <w:rPr>
          <w:rFonts w:asciiTheme="majorHAnsi" w:hAnsiTheme="majorHAnsi" w:cstheme="majorHAnsi"/>
          <w:color w:val="000000" w:themeColor="text1"/>
          <w:szCs w:val="20"/>
          <w:lang w:val="cs-CZ"/>
        </w:rPr>
      </w:pPr>
      <w:r w:rsidRPr="002B5014">
        <w:rPr>
          <w:rFonts w:asciiTheme="majorHAnsi" w:hAnsiTheme="majorHAnsi" w:cstheme="majorHAnsi"/>
          <w:color w:val="000000" w:themeColor="text1"/>
          <w:szCs w:val="20"/>
          <w:lang w:val="cs-CZ"/>
        </w:rPr>
        <w:tab/>
        <w:t xml:space="preserve">„Právní předpisy v oblasti ochrany osobních údajů“ označuje následující právní předpisy v rozsahu, v jakém se v příslušném okamžiku aplikují: (a) vnitrostátní právní předpisy implementující Směrnici 2002/58/ES o soukromí a elektronických komunikacích; (b) Obecné nařízení o ochraně osobních údajů ((EU) 2016/679) a (c) jakékoliv další vnitrostátní právní předpisy týkající se ochrany osobních údajů. </w:t>
      </w:r>
    </w:p>
    <w:p w14:paraId="7017B7F8" w14:textId="77777777" w:rsidR="00745C9A" w:rsidRPr="002B5014" w:rsidRDefault="00745C9A" w:rsidP="00745C9A">
      <w:pPr>
        <w:ind w:left="720" w:hanging="720"/>
        <w:rPr>
          <w:rFonts w:asciiTheme="majorHAnsi" w:hAnsiTheme="majorHAnsi" w:cstheme="majorHAnsi"/>
          <w:color w:val="000000" w:themeColor="text1"/>
          <w:szCs w:val="20"/>
          <w:lang w:val="cs-CZ"/>
        </w:rPr>
      </w:pPr>
      <w:r w:rsidRPr="002B5014">
        <w:rPr>
          <w:rFonts w:asciiTheme="majorHAnsi" w:hAnsiTheme="majorHAnsi" w:cstheme="majorHAnsi"/>
          <w:color w:val="000000" w:themeColor="text1"/>
          <w:szCs w:val="20"/>
          <w:lang w:val="cs-CZ"/>
        </w:rPr>
        <w:lastRenderedPageBreak/>
        <w:tab/>
        <w:t xml:space="preserve">„Osobní údaje“ označují jakékoliv osobní údaje (jak jsou definovány Právními předpisy v oblasti ochrany osobních údajů), kterou jsou zpracovávány v rámci poskytování služeb nebo v souvislosti s poskytováním služeb. </w:t>
      </w:r>
    </w:p>
    <w:p w14:paraId="58F995EF" w14:textId="77777777" w:rsidR="00745C9A" w:rsidRPr="002B5014" w:rsidRDefault="00745C9A" w:rsidP="00745C9A">
      <w:pPr>
        <w:ind w:left="720" w:hanging="720"/>
        <w:rPr>
          <w:rFonts w:asciiTheme="majorHAnsi" w:hAnsiTheme="majorHAnsi" w:cstheme="majorHAnsi"/>
          <w:color w:val="000000" w:themeColor="text1"/>
          <w:szCs w:val="20"/>
          <w:lang w:val="cs-CZ"/>
        </w:rPr>
      </w:pPr>
      <w:r w:rsidRPr="002B5014">
        <w:rPr>
          <w:rFonts w:asciiTheme="majorHAnsi" w:hAnsiTheme="majorHAnsi" w:cstheme="majorHAnsi"/>
          <w:color w:val="000000" w:themeColor="text1"/>
          <w:szCs w:val="20"/>
          <w:lang w:val="cs-CZ"/>
        </w:rPr>
        <w:tab/>
        <w:t>„Zpracovatel“ označuje zpracovatele údajů nebo zpracovatele (jak je definován Právními předpisy v oblasti ochrany osobních údajů).</w:t>
      </w:r>
    </w:p>
    <w:p w14:paraId="79F9E0F1" w14:textId="77777777" w:rsidR="00745C9A" w:rsidRPr="002B5014" w:rsidRDefault="00745C9A" w:rsidP="00745C9A">
      <w:pPr>
        <w:ind w:left="720" w:hanging="720"/>
        <w:rPr>
          <w:rFonts w:asciiTheme="majorHAnsi" w:hAnsiTheme="majorHAnsi" w:cstheme="majorHAnsi"/>
          <w:color w:val="000000" w:themeColor="text1"/>
          <w:szCs w:val="20"/>
          <w:lang w:val="cs-CZ"/>
        </w:rPr>
      </w:pPr>
      <w:r w:rsidRPr="002B5014">
        <w:rPr>
          <w:rFonts w:asciiTheme="majorHAnsi" w:hAnsiTheme="majorHAnsi" w:cstheme="majorHAnsi"/>
          <w:color w:val="000000" w:themeColor="text1"/>
          <w:szCs w:val="20"/>
          <w:lang w:val="cs-CZ"/>
        </w:rPr>
        <w:tab/>
        <w:t>„Příjemce“ označuje fyzickou nebo právnickou osobu, orgán veřejné moci, agenturu nebo jiný subjekt, jemuž jsou osobní údaje poskytnuty (jak je dále definován Právními předpisy v oblasti ochrany osobních údajů).</w:t>
      </w:r>
    </w:p>
    <w:p w14:paraId="023765B5" w14:textId="77777777" w:rsidR="00745C9A" w:rsidRPr="002B5014" w:rsidRDefault="00745C9A" w:rsidP="00745C9A">
      <w:pPr>
        <w:pStyle w:val="smlouvaheading3"/>
        <w:keepNext/>
        <w:spacing w:line="240" w:lineRule="atLeast"/>
        <w:ind w:left="1077" w:hanging="1077"/>
        <w:rPr>
          <w:rFonts w:asciiTheme="majorHAnsi" w:hAnsiTheme="majorHAnsi" w:cstheme="majorHAnsi"/>
          <w:sz w:val="20"/>
          <w:szCs w:val="20"/>
        </w:rPr>
      </w:pPr>
      <w:r w:rsidRPr="002B5014">
        <w:rPr>
          <w:rFonts w:asciiTheme="majorHAnsi" w:hAnsiTheme="majorHAnsi" w:cstheme="majorHAnsi"/>
          <w:sz w:val="20"/>
          <w:szCs w:val="20"/>
        </w:rPr>
        <w:t>Informace o zpracování Osobních údajů</w:t>
      </w:r>
    </w:p>
    <w:p w14:paraId="22457073" w14:textId="101E8888" w:rsidR="00745C9A" w:rsidRPr="002B5014" w:rsidRDefault="00745C9A" w:rsidP="00745C9A">
      <w:pPr>
        <w:pStyle w:val="Odstavecseseznamem"/>
        <w:keepLines w:val="0"/>
        <w:numPr>
          <w:ilvl w:val="0"/>
          <w:numId w:val="47"/>
        </w:numPr>
        <w:tabs>
          <w:tab w:val="clear" w:pos="851"/>
        </w:tabs>
        <w:spacing w:line="240" w:lineRule="atLeast"/>
        <w:ind w:left="709" w:hanging="709"/>
        <w:rPr>
          <w:rFonts w:asciiTheme="majorHAnsi" w:hAnsiTheme="majorHAnsi" w:cstheme="majorHAnsi"/>
          <w:color w:val="000000" w:themeColor="text1"/>
          <w:sz w:val="20"/>
          <w:szCs w:val="20"/>
        </w:rPr>
      </w:pPr>
      <w:r w:rsidRPr="002B5014">
        <w:rPr>
          <w:rFonts w:asciiTheme="majorHAnsi" w:hAnsiTheme="majorHAnsi" w:cstheme="majorHAnsi"/>
          <w:color w:val="000000" w:themeColor="text1"/>
          <w:sz w:val="20"/>
          <w:szCs w:val="20"/>
        </w:rPr>
        <w:t xml:space="preserve">Smluvní strany berou na vědomí, že Osobní údaje poskytnuté Objednatelem, jeho personálem či zástupci budou zpracovány společností </w:t>
      </w:r>
      <w:proofErr w:type="spellStart"/>
      <w:r w:rsidRPr="002B5014">
        <w:rPr>
          <w:rFonts w:asciiTheme="majorHAnsi" w:hAnsiTheme="majorHAnsi" w:cstheme="majorHAnsi"/>
          <w:color w:val="000000" w:themeColor="text1"/>
          <w:sz w:val="20"/>
          <w:szCs w:val="20"/>
        </w:rPr>
        <w:t>Deloitte</w:t>
      </w:r>
      <w:proofErr w:type="spellEnd"/>
      <w:r w:rsidRPr="002B5014">
        <w:rPr>
          <w:rFonts w:asciiTheme="majorHAnsi" w:hAnsiTheme="majorHAnsi" w:cstheme="majorHAnsi"/>
          <w:color w:val="000000" w:themeColor="text1"/>
          <w:sz w:val="20"/>
          <w:szCs w:val="20"/>
        </w:rPr>
        <w:t xml:space="preserve"> </w:t>
      </w:r>
      <w:proofErr w:type="spellStart"/>
      <w:r w:rsidRPr="002B5014">
        <w:rPr>
          <w:rFonts w:asciiTheme="majorHAnsi" w:hAnsiTheme="majorHAnsi" w:cstheme="majorHAnsi"/>
          <w:color w:val="000000" w:themeColor="text1"/>
          <w:sz w:val="20"/>
          <w:szCs w:val="20"/>
        </w:rPr>
        <w:t>Legal</w:t>
      </w:r>
      <w:proofErr w:type="spellEnd"/>
      <w:r w:rsidRPr="002B5014">
        <w:rPr>
          <w:rFonts w:asciiTheme="majorHAnsi" w:hAnsiTheme="majorHAnsi" w:cstheme="majorHAnsi"/>
          <w:color w:val="000000" w:themeColor="text1"/>
          <w:sz w:val="20"/>
          <w:szCs w:val="20"/>
        </w:rPr>
        <w:t xml:space="preserve"> jakožto Správcem pro následující účely, resp. v souvislosti s následujícím: (i) poskytnutí služeb; (</w:t>
      </w:r>
      <w:proofErr w:type="spellStart"/>
      <w:r w:rsidRPr="002B5014">
        <w:rPr>
          <w:rFonts w:asciiTheme="majorHAnsi" w:hAnsiTheme="majorHAnsi" w:cstheme="majorHAnsi"/>
          <w:color w:val="000000" w:themeColor="text1"/>
          <w:sz w:val="20"/>
          <w:szCs w:val="20"/>
        </w:rPr>
        <w:t>ii</w:t>
      </w:r>
      <w:proofErr w:type="spellEnd"/>
      <w:r w:rsidRPr="002B5014">
        <w:rPr>
          <w:rFonts w:asciiTheme="majorHAnsi" w:hAnsiTheme="majorHAnsi" w:cstheme="majorHAnsi"/>
          <w:color w:val="000000" w:themeColor="text1"/>
          <w:sz w:val="20"/>
          <w:szCs w:val="20"/>
        </w:rPr>
        <w:t>) zajištění souladu s příslušnými právními, regulatorními nebo profesními požadavky; (</w:t>
      </w:r>
      <w:proofErr w:type="spellStart"/>
      <w:r w:rsidRPr="002B5014">
        <w:rPr>
          <w:rFonts w:asciiTheme="majorHAnsi" w:hAnsiTheme="majorHAnsi" w:cstheme="majorHAnsi"/>
          <w:color w:val="000000" w:themeColor="text1"/>
          <w:sz w:val="20"/>
          <w:szCs w:val="20"/>
        </w:rPr>
        <w:t>iii</w:t>
      </w:r>
      <w:proofErr w:type="spellEnd"/>
      <w:r w:rsidRPr="002B5014">
        <w:rPr>
          <w:rFonts w:asciiTheme="majorHAnsi" w:hAnsiTheme="majorHAnsi" w:cstheme="majorHAnsi"/>
          <w:color w:val="000000" w:themeColor="text1"/>
          <w:sz w:val="20"/>
          <w:szCs w:val="20"/>
        </w:rPr>
        <w:t>) řešení požadavků nebo komunikací od příslušných orgánů; (</w:t>
      </w:r>
      <w:proofErr w:type="spellStart"/>
      <w:r w:rsidRPr="002B5014">
        <w:rPr>
          <w:rFonts w:asciiTheme="majorHAnsi" w:hAnsiTheme="majorHAnsi" w:cstheme="majorHAnsi"/>
          <w:color w:val="000000" w:themeColor="text1"/>
          <w:sz w:val="20"/>
          <w:szCs w:val="20"/>
        </w:rPr>
        <w:t>iv</w:t>
      </w:r>
      <w:proofErr w:type="spellEnd"/>
      <w:r w:rsidRPr="002B5014">
        <w:rPr>
          <w:rFonts w:asciiTheme="majorHAnsi" w:hAnsiTheme="majorHAnsi" w:cstheme="majorHAnsi"/>
          <w:color w:val="000000" w:themeColor="text1"/>
          <w:sz w:val="20"/>
          <w:szCs w:val="20"/>
        </w:rPr>
        <w:t>) administrace smluv, finanční účetnictví, soulad s interními předpisy, analýza rizik, a vztahy s klienty; (v) využití systémů a aplikací (hostovaných nebo interních) pro služby informačních technologií a informačních systémů (dále jen „Účely“).</w:t>
      </w:r>
    </w:p>
    <w:p w14:paraId="5CF7BF40" w14:textId="77777777" w:rsidR="00745C9A" w:rsidRPr="002B5014" w:rsidRDefault="00745C9A" w:rsidP="00745C9A">
      <w:pPr>
        <w:ind w:left="709" w:hanging="709"/>
        <w:rPr>
          <w:rFonts w:asciiTheme="majorHAnsi" w:hAnsiTheme="majorHAnsi" w:cstheme="majorHAnsi"/>
          <w:color w:val="000000" w:themeColor="text1"/>
          <w:szCs w:val="20"/>
          <w:lang w:val="cs-CZ"/>
        </w:rPr>
      </w:pPr>
      <w:r w:rsidRPr="002B5014">
        <w:rPr>
          <w:rFonts w:asciiTheme="majorHAnsi" w:hAnsiTheme="majorHAnsi" w:cstheme="majorHAnsi"/>
          <w:color w:val="000000" w:themeColor="text1"/>
          <w:szCs w:val="20"/>
          <w:lang w:val="cs-CZ"/>
        </w:rPr>
        <w:tab/>
        <w:t xml:space="preserve">Pro výše uvedené Účely mohou být Osobní údaje zpřístupněny/předány Příjemcům Osobních údajů (včetně Správců a Zpracovatelů osobních údajů), a mohou být těmito Příjemci zpracovány, jak je uvedeno v Prohlášení </w:t>
      </w:r>
      <w:proofErr w:type="spellStart"/>
      <w:r w:rsidRPr="002B5014">
        <w:rPr>
          <w:rFonts w:asciiTheme="majorHAnsi" w:hAnsiTheme="majorHAnsi" w:cstheme="majorHAnsi"/>
          <w:color w:val="000000" w:themeColor="text1"/>
          <w:szCs w:val="20"/>
          <w:lang w:val="cs-CZ"/>
        </w:rPr>
        <w:t>Deloitte</w:t>
      </w:r>
      <w:proofErr w:type="spellEnd"/>
      <w:r w:rsidRPr="002B5014">
        <w:rPr>
          <w:rFonts w:asciiTheme="majorHAnsi" w:hAnsiTheme="majorHAnsi" w:cstheme="majorHAnsi"/>
          <w:color w:val="000000" w:themeColor="text1"/>
          <w:szCs w:val="20"/>
          <w:lang w:val="cs-CZ"/>
        </w:rPr>
        <w:t xml:space="preserve"> o ochraně osobních údajů.</w:t>
      </w:r>
    </w:p>
    <w:p w14:paraId="2770D211" w14:textId="77777777" w:rsidR="00745C9A" w:rsidRPr="002B5014" w:rsidRDefault="00745C9A" w:rsidP="00745C9A">
      <w:pPr>
        <w:pStyle w:val="Odstavecseseznamem"/>
        <w:numPr>
          <w:ilvl w:val="0"/>
          <w:numId w:val="47"/>
        </w:numPr>
        <w:tabs>
          <w:tab w:val="clear" w:pos="851"/>
        </w:tabs>
        <w:spacing w:line="240" w:lineRule="atLeast"/>
        <w:ind w:left="709" w:hanging="709"/>
        <w:rPr>
          <w:rFonts w:asciiTheme="majorHAnsi" w:hAnsiTheme="majorHAnsi" w:cstheme="majorHAnsi"/>
          <w:color w:val="000000" w:themeColor="text1"/>
          <w:sz w:val="20"/>
          <w:szCs w:val="20"/>
        </w:rPr>
      </w:pPr>
      <w:r w:rsidRPr="002B5014">
        <w:rPr>
          <w:rFonts w:asciiTheme="majorHAnsi" w:hAnsiTheme="majorHAnsi" w:cstheme="majorHAnsi"/>
          <w:color w:val="000000" w:themeColor="text1"/>
          <w:sz w:val="20"/>
          <w:szCs w:val="20"/>
        </w:rPr>
        <w:t xml:space="preserve">Odstavec 7.2.2 a) je jen shrnutím Prohlášení </w:t>
      </w:r>
      <w:proofErr w:type="spellStart"/>
      <w:r w:rsidRPr="002B5014">
        <w:rPr>
          <w:rFonts w:asciiTheme="majorHAnsi" w:hAnsiTheme="majorHAnsi" w:cstheme="majorHAnsi"/>
          <w:color w:val="000000" w:themeColor="text1"/>
          <w:sz w:val="20"/>
          <w:szCs w:val="20"/>
        </w:rPr>
        <w:t>Deloitte</w:t>
      </w:r>
      <w:proofErr w:type="spellEnd"/>
      <w:r w:rsidRPr="002B5014">
        <w:rPr>
          <w:rFonts w:asciiTheme="majorHAnsi" w:hAnsiTheme="majorHAnsi" w:cstheme="majorHAnsi"/>
          <w:color w:val="000000" w:themeColor="text1"/>
          <w:sz w:val="20"/>
          <w:szCs w:val="20"/>
        </w:rPr>
        <w:t xml:space="preserve"> o ochraně osobních údajů, jehož celé znění je k dispozici zde: https://www2.deloitte.com/ce/en/pages/about-deloitte/articles/deloitte-ce-privacy-statement-for-clients.html („Prohlášení </w:t>
      </w:r>
      <w:proofErr w:type="spellStart"/>
      <w:r w:rsidRPr="002B5014">
        <w:rPr>
          <w:rFonts w:asciiTheme="majorHAnsi" w:hAnsiTheme="majorHAnsi" w:cstheme="majorHAnsi"/>
          <w:color w:val="000000" w:themeColor="text1"/>
          <w:sz w:val="20"/>
          <w:szCs w:val="20"/>
        </w:rPr>
        <w:t>Deloitte</w:t>
      </w:r>
      <w:proofErr w:type="spellEnd"/>
      <w:r w:rsidRPr="002B5014">
        <w:rPr>
          <w:rFonts w:asciiTheme="majorHAnsi" w:hAnsiTheme="majorHAnsi" w:cstheme="majorHAnsi"/>
          <w:color w:val="000000" w:themeColor="text1"/>
          <w:sz w:val="20"/>
          <w:szCs w:val="20"/>
        </w:rPr>
        <w:t xml:space="preserve"> o ochraně osobních údajů“). Jestliže to nevyžaduje nepřiměřené úsilí, Objednatel zajistí, aby byly subjekty údajů (jeho příslušní zaměstnanci, zástupci, dodavatelé a klienti) informovány o Prohlášení </w:t>
      </w:r>
      <w:proofErr w:type="spellStart"/>
      <w:r w:rsidRPr="002B5014">
        <w:rPr>
          <w:rFonts w:asciiTheme="majorHAnsi" w:hAnsiTheme="majorHAnsi" w:cstheme="majorHAnsi"/>
          <w:color w:val="000000" w:themeColor="text1"/>
          <w:sz w:val="20"/>
          <w:szCs w:val="20"/>
        </w:rPr>
        <w:t>Deloitte</w:t>
      </w:r>
      <w:proofErr w:type="spellEnd"/>
      <w:r w:rsidRPr="002B5014">
        <w:rPr>
          <w:rFonts w:asciiTheme="majorHAnsi" w:hAnsiTheme="majorHAnsi" w:cstheme="majorHAnsi"/>
          <w:color w:val="000000" w:themeColor="text1"/>
          <w:sz w:val="20"/>
          <w:szCs w:val="20"/>
        </w:rPr>
        <w:t xml:space="preserve"> o ochraně osobních údajů. </w:t>
      </w:r>
    </w:p>
    <w:p w14:paraId="2E37AB85" w14:textId="77777777" w:rsidR="00745C9A" w:rsidRPr="002B5014" w:rsidRDefault="00745C9A" w:rsidP="00745C9A">
      <w:pPr>
        <w:pStyle w:val="Odstavecseseznamem"/>
        <w:numPr>
          <w:ilvl w:val="0"/>
          <w:numId w:val="47"/>
        </w:numPr>
        <w:tabs>
          <w:tab w:val="clear" w:pos="851"/>
        </w:tabs>
        <w:spacing w:line="240" w:lineRule="atLeast"/>
        <w:ind w:left="709" w:hanging="709"/>
        <w:rPr>
          <w:rFonts w:asciiTheme="majorHAnsi" w:hAnsiTheme="majorHAnsi" w:cstheme="majorHAnsi"/>
          <w:color w:val="000000" w:themeColor="text1"/>
          <w:sz w:val="20"/>
          <w:szCs w:val="20"/>
        </w:rPr>
      </w:pPr>
      <w:r w:rsidRPr="002B5014">
        <w:rPr>
          <w:rFonts w:asciiTheme="majorHAnsi" w:hAnsiTheme="majorHAnsi" w:cstheme="majorHAnsi"/>
          <w:color w:val="000000" w:themeColor="text1"/>
          <w:sz w:val="20"/>
          <w:szCs w:val="20"/>
        </w:rPr>
        <w:t xml:space="preserve">Uchovávání údajů: dokumentace související se zakázkou, včetně Osobních údajů, bude uchovávána po dobu 10 let od ukončení smluvního vztahu či po dobu, kterou vyžadují příslušné právní předpisy proti legalizaci výnosů z trestné činnosti či jakékoliv jiné platné zákony a právní předpisy. </w:t>
      </w:r>
    </w:p>
    <w:p w14:paraId="28BBE2E3" w14:textId="77777777" w:rsidR="00745C9A" w:rsidRPr="002B5014" w:rsidRDefault="00745C9A" w:rsidP="00745C9A">
      <w:pPr>
        <w:pStyle w:val="Odstavecseseznamem"/>
        <w:numPr>
          <w:ilvl w:val="0"/>
          <w:numId w:val="47"/>
        </w:numPr>
        <w:tabs>
          <w:tab w:val="clear" w:pos="851"/>
        </w:tabs>
        <w:spacing w:line="240" w:lineRule="atLeast"/>
        <w:ind w:left="709" w:hanging="709"/>
        <w:rPr>
          <w:rFonts w:asciiTheme="majorHAnsi" w:hAnsiTheme="majorHAnsi" w:cstheme="majorHAnsi"/>
          <w:color w:val="000000" w:themeColor="text1"/>
          <w:sz w:val="20"/>
          <w:szCs w:val="20"/>
        </w:rPr>
      </w:pPr>
      <w:r w:rsidRPr="002B5014">
        <w:rPr>
          <w:rFonts w:asciiTheme="majorHAnsi" w:hAnsiTheme="majorHAnsi" w:cstheme="majorHAnsi"/>
          <w:color w:val="000000" w:themeColor="text1"/>
          <w:sz w:val="20"/>
          <w:szCs w:val="20"/>
        </w:rPr>
        <w:t xml:space="preserve">Každá Smluvní strana musí při zpracování Osobních údajů dodržovat Právní předpisy v oblasti ochrany osobních údajů. </w:t>
      </w:r>
    </w:p>
    <w:p w14:paraId="119E52C9" w14:textId="714A1F29" w:rsidR="004124D0" w:rsidRPr="00E76CDF" w:rsidRDefault="00745C9A" w:rsidP="004124D0">
      <w:pPr>
        <w:pStyle w:val="smlouvaheading2"/>
        <w:spacing w:line="240" w:lineRule="atLeast"/>
        <w:rPr>
          <w:rFonts w:asciiTheme="majorHAnsi" w:hAnsiTheme="majorHAnsi" w:cstheme="majorHAnsi"/>
          <w:sz w:val="20"/>
          <w:szCs w:val="20"/>
        </w:rPr>
      </w:pPr>
      <w:r w:rsidRPr="002B5014">
        <w:rPr>
          <w:rFonts w:asciiTheme="majorHAnsi" w:hAnsiTheme="majorHAnsi" w:cstheme="majorHAnsi"/>
          <w:sz w:val="20"/>
          <w:szCs w:val="20"/>
        </w:rPr>
        <w:t xml:space="preserve">Právní služby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budou určeny pouze Objednateli a příslušné výstupy nesmí být poskytnuty jiné osobě bez našeho výslovného souhlasu; toto nemá vliv na případné plnění zákonné povinnosti Objednateli popř. jiných poradců Objednatele zpřístupnit výstupy právních služeb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či informace o nich jiné straně, zejména příslušným správním orgánům.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neponese odpovědnost za použití či spoléhání se na výstupy použité jakoukoli jinou stranou či pro jakýkoli jiný účel, než bylo ze strany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výslovně schváleno. Citování, odkazy či rozšiřování výstupů není možné bez předchozího písemného souhlasu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a podepsání dopisu o vyloučení odpovědnosti (tzv. „hold </w:t>
      </w:r>
      <w:proofErr w:type="spellStart"/>
      <w:r w:rsidRPr="002B5014">
        <w:rPr>
          <w:rFonts w:asciiTheme="majorHAnsi" w:hAnsiTheme="majorHAnsi" w:cstheme="majorHAnsi"/>
          <w:sz w:val="20"/>
          <w:szCs w:val="20"/>
        </w:rPr>
        <w:t>harmless</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letter</w:t>
      </w:r>
      <w:proofErr w:type="spellEnd"/>
      <w:r w:rsidRPr="002B5014">
        <w:rPr>
          <w:rFonts w:asciiTheme="majorHAnsi" w:hAnsiTheme="majorHAnsi" w:cstheme="majorHAnsi"/>
          <w:sz w:val="20"/>
          <w:szCs w:val="20"/>
        </w:rPr>
        <w:t xml:space="preserve">“) příjemcem výstupů. Je pouze odpovědností Objednatele obdržet podepsanou kopii „hold </w:t>
      </w:r>
      <w:proofErr w:type="spellStart"/>
      <w:r w:rsidRPr="002B5014">
        <w:rPr>
          <w:rFonts w:asciiTheme="majorHAnsi" w:hAnsiTheme="majorHAnsi" w:cstheme="majorHAnsi"/>
          <w:sz w:val="20"/>
          <w:szCs w:val="20"/>
        </w:rPr>
        <w:t>harmless</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letter</w:t>
      </w:r>
      <w:proofErr w:type="spellEnd"/>
      <w:r w:rsidRPr="002B5014">
        <w:rPr>
          <w:rFonts w:asciiTheme="majorHAnsi" w:hAnsiTheme="majorHAnsi" w:cstheme="majorHAnsi"/>
          <w:sz w:val="20"/>
          <w:szCs w:val="20"/>
        </w:rPr>
        <w:t xml:space="preserve">“ předtím, než poskytnete výstupy jakékoliv třetí osobě. V případech, kdy byly výstupy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poskytnuty třetím stranám bez „hold </w:t>
      </w:r>
      <w:proofErr w:type="spellStart"/>
      <w:r w:rsidRPr="002B5014">
        <w:rPr>
          <w:rFonts w:asciiTheme="majorHAnsi" w:hAnsiTheme="majorHAnsi" w:cstheme="majorHAnsi"/>
          <w:sz w:val="20"/>
          <w:szCs w:val="20"/>
        </w:rPr>
        <w:t>harmless</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letter</w:t>
      </w:r>
      <w:proofErr w:type="spellEnd"/>
      <w:r w:rsidRPr="002B5014">
        <w:rPr>
          <w:rFonts w:asciiTheme="majorHAnsi" w:hAnsiTheme="majorHAnsi" w:cstheme="majorHAnsi"/>
          <w:sz w:val="20"/>
          <w:szCs w:val="20"/>
        </w:rPr>
        <w:t xml:space="preserve">“, zavazuje se Objednatel odškodnit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a členy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za jakékoli nároky vznesené třetími stranami na základě poskytnutí výstupů. V každém případě musí být výstupy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reprodukovány v úplné podobě včetně všech omezení odpovědnosti.</w:t>
      </w:r>
    </w:p>
    <w:p w14:paraId="0B7700A3" w14:textId="77777777" w:rsidR="00745C9A" w:rsidRPr="002B5014" w:rsidRDefault="00745C9A" w:rsidP="004124D0">
      <w:pPr>
        <w:pStyle w:val="smlouvaheading1"/>
        <w:rPr>
          <w:rFonts w:asciiTheme="majorHAnsi" w:hAnsiTheme="majorHAnsi" w:cstheme="majorHAnsi"/>
          <w:sz w:val="20"/>
          <w:szCs w:val="20"/>
        </w:rPr>
      </w:pPr>
      <w:r w:rsidRPr="002B5014">
        <w:rPr>
          <w:rFonts w:asciiTheme="majorHAnsi" w:hAnsiTheme="majorHAnsi" w:cstheme="majorHAnsi"/>
          <w:sz w:val="20"/>
          <w:szCs w:val="20"/>
        </w:rPr>
        <w:t>Střet zájmů</w:t>
      </w:r>
    </w:p>
    <w:p w14:paraId="6F602CD4" w14:textId="494699E9" w:rsidR="00745C9A" w:rsidRPr="002B5014" w:rsidRDefault="00745C9A" w:rsidP="00745C9A">
      <w:pPr>
        <w:pStyle w:val="smlouvaheading2"/>
        <w:rPr>
          <w:rFonts w:asciiTheme="majorHAnsi" w:hAnsiTheme="majorHAnsi" w:cstheme="majorHAnsi"/>
          <w:sz w:val="20"/>
          <w:szCs w:val="20"/>
        </w:rPr>
      </w:pPr>
      <w:r w:rsidRPr="002B5014">
        <w:rPr>
          <w:rFonts w:asciiTheme="majorHAnsi" w:hAnsiTheme="majorHAnsi" w:cstheme="majorHAnsi"/>
          <w:sz w:val="20"/>
          <w:szCs w:val="20"/>
        </w:rPr>
        <w:t xml:space="preserve">I přes striktní dodržování právních předpisů a interních postupů ohledně střetu zájmů nelze plně zaručit, že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předem identifikuje všechny případy potenciálního střetu zájmů, zejména pak v situacích, kdy není zcela zřejmé, co konkrétně je ze strany daného klienta za střet zájmů považováno. Pokud Objednateli jsou či budou známy okolnosti, které mohou v souvislosti s poskytováním služeb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vést ke střetu zájmů, je Objednatel</w:t>
      </w:r>
      <w:r w:rsidRPr="002B5014">
        <w:rPr>
          <w:rFonts w:asciiTheme="majorHAnsi" w:hAnsiTheme="majorHAnsi" w:cstheme="majorHAnsi"/>
          <w:i/>
          <w:sz w:val="20"/>
          <w:szCs w:val="20"/>
        </w:rPr>
        <w:t xml:space="preserve"> </w:t>
      </w:r>
      <w:r w:rsidRPr="002B5014">
        <w:rPr>
          <w:rFonts w:asciiTheme="majorHAnsi" w:hAnsiTheme="majorHAnsi" w:cstheme="majorHAnsi"/>
          <w:sz w:val="20"/>
          <w:szCs w:val="20"/>
        </w:rPr>
        <w:t xml:space="preserve">povinen o nich neprodleně informovat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V případě, že taková situace nastane, projedná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s Objednatelem stav a dosavadní vývoj záležitostí a dohodne další vhodný </w:t>
      </w:r>
      <w:r w:rsidRPr="002B5014">
        <w:rPr>
          <w:rFonts w:asciiTheme="majorHAnsi" w:hAnsiTheme="majorHAnsi" w:cstheme="majorHAnsi"/>
          <w:sz w:val="20"/>
          <w:szCs w:val="20"/>
        </w:rPr>
        <w:lastRenderedPageBreak/>
        <w:t xml:space="preserve">postup. Za určitých okolností může dojít k tomu, že s ohledem na ochranu zájmů Objednatele bude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nucena ukončit poskytování služeb Objednateli. </w:t>
      </w:r>
    </w:p>
    <w:p w14:paraId="30FC98C3" w14:textId="2ED96F80" w:rsidR="004124D0" w:rsidRPr="00E76CDF" w:rsidRDefault="00745C9A" w:rsidP="004124D0">
      <w:pPr>
        <w:pStyle w:val="smlouvaheading2"/>
        <w:rPr>
          <w:rFonts w:asciiTheme="majorHAnsi" w:hAnsiTheme="majorHAnsi" w:cstheme="majorHAnsi"/>
          <w:sz w:val="20"/>
          <w:szCs w:val="20"/>
        </w:rPr>
      </w:pPr>
      <w:r w:rsidRPr="002B5014">
        <w:rPr>
          <w:rFonts w:asciiTheme="majorHAnsi" w:hAnsiTheme="majorHAnsi" w:cstheme="majorHAnsi"/>
          <w:sz w:val="20"/>
          <w:szCs w:val="20"/>
        </w:rPr>
        <w:t xml:space="preserve">Na základě předpisů týkajících se nezávislosti auditora může dojít k situaci, kdy Objednatel nebude moci využívat právních služeb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jakožto služeb poskytovaných advokátní kanceláří přidruženou ke společnosti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popřípadě může být možnost poskytování služeb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omezena. Pokud takováto situace nastane, je Objednatel povinen o ní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neprodleně informovat, aby bylo možné společně přijmout vhodná opatření v souladu s příslušnými právními předpisy.</w:t>
      </w:r>
    </w:p>
    <w:p w14:paraId="620EE722" w14:textId="77777777" w:rsidR="00745C9A" w:rsidRPr="002B5014" w:rsidRDefault="00745C9A" w:rsidP="00745C9A">
      <w:pPr>
        <w:pStyle w:val="smlouvaheading1"/>
        <w:rPr>
          <w:rFonts w:asciiTheme="majorHAnsi" w:hAnsiTheme="majorHAnsi" w:cstheme="majorHAnsi"/>
          <w:sz w:val="20"/>
          <w:szCs w:val="20"/>
        </w:rPr>
      </w:pPr>
      <w:r w:rsidRPr="002B5014">
        <w:rPr>
          <w:rFonts w:asciiTheme="majorHAnsi" w:hAnsiTheme="majorHAnsi" w:cstheme="majorHAnsi"/>
          <w:sz w:val="20"/>
          <w:szCs w:val="20"/>
        </w:rPr>
        <w:t>Profesionální standardy</w:t>
      </w:r>
    </w:p>
    <w:p w14:paraId="70C5E7E7" w14:textId="3BE394D0" w:rsidR="00745C9A" w:rsidRPr="002B5014" w:rsidRDefault="00745C9A" w:rsidP="00745C9A">
      <w:pPr>
        <w:pStyle w:val="smlouvaheading2"/>
        <w:rPr>
          <w:rFonts w:asciiTheme="majorHAnsi" w:hAnsiTheme="majorHAnsi" w:cstheme="majorHAnsi"/>
          <w:sz w:val="20"/>
          <w:szCs w:val="20"/>
        </w:rPr>
      </w:pPr>
      <w:r w:rsidRPr="002B5014">
        <w:rPr>
          <w:rFonts w:asciiTheme="majorHAnsi" w:hAnsiTheme="majorHAnsi" w:cstheme="majorHAnsi"/>
          <w:sz w:val="20"/>
          <w:szCs w:val="20"/>
        </w:rPr>
        <w:t xml:space="preserve">Právní služby bude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Objednateli poskytovat v souladu se svým chápáním správného výkladu práva a současné právní praxe. </w:t>
      </w:r>
      <w:bookmarkStart w:id="2" w:name="_Hlk88821784"/>
      <w:r w:rsidRPr="002B5014">
        <w:rPr>
          <w:rFonts w:asciiTheme="majorHAnsi" w:hAnsiTheme="majorHAnsi" w:cstheme="majorHAnsi"/>
          <w:sz w:val="20"/>
          <w:szCs w:val="20"/>
        </w:rPr>
        <w:t xml:space="preserve">Dle právních předpisů upravujících výkon advokacie není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oprávněna bez souhlasu Objednatele ověřovat pravdivost nebo úplnost skutkových informací, které Objednatel sdělí při poskytování právních služeb, proto bude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spoléhat na správnost a úplnost informací a dokumentů, které od Objednatele obdrží. Pokud bude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zastupovat Objednatele v soudním, rozhodčím či správním řízení, má Objednatel povinnost sdělit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známé informace o možnosti, že by vůči předloženým důkazům mohlo být namítnuto, že jsou padělané anebo pozměněné, a pro takový případ s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projednat vhodný postup; bez tohoto upozornění neodpovídá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za věcnou správnost a autentičnost důkazů, které podle pokynu Objednatele předloží. V souladu s doporučením České advokátní komory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upozorňuje, že předložením padělaného nebo pozměněného důkazního prostředku v soudním či obdobném řízení se může Objednatel dopustit trestného činu maření spravedlnosti.</w:t>
      </w:r>
      <w:r w:rsidRPr="002B5014">
        <w:rPr>
          <w:rStyle w:val="Znakapoznpodarou"/>
          <w:rFonts w:asciiTheme="majorHAnsi" w:hAnsiTheme="majorHAnsi" w:cstheme="majorHAnsi"/>
          <w:sz w:val="20"/>
          <w:szCs w:val="20"/>
        </w:rPr>
        <w:footnoteReference w:id="1"/>
      </w:r>
      <w:r w:rsidRPr="002B5014">
        <w:rPr>
          <w:rFonts w:asciiTheme="majorHAnsi" w:hAnsiTheme="majorHAnsi" w:cstheme="majorHAnsi"/>
          <w:sz w:val="20"/>
          <w:szCs w:val="20"/>
        </w:rPr>
        <w:t xml:space="preserve"> Objednatel bude odpovídat za oznámení všech změn týkajících se již poskytnutých informací a dokumentů.</w:t>
      </w:r>
      <w:bookmarkEnd w:id="2"/>
    </w:p>
    <w:p w14:paraId="2B70B264" w14:textId="2781A8F1" w:rsidR="004124D0" w:rsidRPr="00E76CDF" w:rsidRDefault="00745C9A" w:rsidP="004124D0">
      <w:pPr>
        <w:pStyle w:val="smlouvaheading2"/>
        <w:rPr>
          <w:rFonts w:asciiTheme="majorHAnsi" w:hAnsiTheme="majorHAnsi" w:cstheme="majorHAnsi"/>
          <w:sz w:val="20"/>
          <w:szCs w:val="20"/>
        </w:rPr>
      </w:pPr>
      <w:r w:rsidRPr="002B5014">
        <w:rPr>
          <w:rFonts w:asciiTheme="majorHAnsi" w:hAnsiTheme="majorHAnsi" w:cstheme="majorHAnsi"/>
          <w:sz w:val="20"/>
          <w:szCs w:val="20"/>
        </w:rPr>
        <w:t xml:space="preserve">V souladu s právní úpravou advokacie nebude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vázána těmi příkazy Objednatele, které budou protiprávní nebo v rozporu se stavovským předpisem České advokátní komory.</w:t>
      </w:r>
    </w:p>
    <w:p w14:paraId="0B608BCA" w14:textId="77777777" w:rsidR="00745C9A" w:rsidRPr="002B5014" w:rsidRDefault="00745C9A" w:rsidP="00745C9A">
      <w:pPr>
        <w:pStyle w:val="smlouvaheading1"/>
        <w:rPr>
          <w:rFonts w:asciiTheme="majorHAnsi" w:hAnsiTheme="majorHAnsi" w:cstheme="majorHAnsi"/>
          <w:sz w:val="20"/>
          <w:szCs w:val="20"/>
        </w:rPr>
      </w:pPr>
      <w:r w:rsidRPr="002B5014">
        <w:rPr>
          <w:rFonts w:asciiTheme="majorHAnsi" w:hAnsiTheme="majorHAnsi" w:cstheme="majorHAnsi"/>
          <w:sz w:val="20"/>
          <w:szCs w:val="20"/>
        </w:rPr>
        <w:t>Omezení odpovědnosti</w:t>
      </w:r>
    </w:p>
    <w:p w14:paraId="11DF8280" w14:textId="77777777" w:rsidR="00745C9A" w:rsidRPr="002B5014" w:rsidRDefault="00745C9A" w:rsidP="00745C9A">
      <w:pPr>
        <w:pStyle w:val="smlouvaheading2"/>
        <w:rPr>
          <w:rFonts w:asciiTheme="majorHAnsi" w:hAnsiTheme="majorHAnsi" w:cstheme="majorHAnsi"/>
          <w:sz w:val="20"/>
          <w:szCs w:val="20"/>
        </w:rPr>
      </w:pPr>
      <w:r w:rsidRPr="002B5014">
        <w:rPr>
          <w:rFonts w:asciiTheme="majorHAnsi" w:hAnsiTheme="majorHAnsi" w:cstheme="majorHAnsi"/>
          <w:sz w:val="20"/>
          <w:szCs w:val="20"/>
        </w:rPr>
        <w:t xml:space="preserve">Při dodržení ustanovení zákona o advokacii a dalších právních předpisů odpovědnost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za veškerou majetkovou a nemajetkovou újmu (ať již např. za skutečnou škodu, ušlý zisk či vynaložené náklady v souvislosti s poskytovanými službami) nepřesáhne částku odpovídající pětinásobku fakturované odměny za příslušnou službu, nebude však nikdy vyšší než 250 000 Eur. Objednatel souhlasí, že odměna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byla stanovena s ohledem na omezení odpovědnosti dle ustanovení předchozí věty.</w:t>
      </w:r>
    </w:p>
    <w:p w14:paraId="469E323B" w14:textId="24D0D46B" w:rsidR="00745C9A" w:rsidRPr="002B5014" w:rsidRDefault="00745C9A" w:rsidP="00745C9A">
      <w:pPr>
        <w:pStyle w:val="smlouvaheading2"/>
        <w:rPr>
          <w:rFonts w:asciiTheme="majorHAnsi" w:hAnsiTheme="majorHAnsi" w:cstheme="majorHAnsi"/>
          <w:sz w:val="20"/>
          <w:szCs w:val="20"/>
        </w:rPr>
      </w:pPr>
      <w:r w:rsidRPr="002B5014">
        <w:rPr>
          <w:rFonts w:asciiTheme="majorHAnsi" w:hAnsiTheme="majorHAnsi" w:cstheme="majorHAnsi"/>
          <w:sz w:val="20"/>
          <w:szCs w:val="20"/>
        </w:rPr>
        <w:t xml:space="preserve">Jakýkoliv nárok založený na této smlouvě může být vznesen vůči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tzn. nikoliv vůči jejím společníkům, advokátům, zaměstnancům a spolupracujícím osobám či jiným členům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w:t>
      </w:r>
      <w:r w:rsidRPr="002B5014">
        <w:rPr>
          <w:rStyle w:val="Znakapoznpodarou"/>
          <w:rFonts w:asciiTheme="majorHAnsi" w:hAnsiTheme="majorHAnsi" w:cstheme="majorHAnsi"/>
          <w:sz w:val="20"/>
          <w:szCs w:val="20"/>
        </w:rPr>
        <w:footnoteReference w:id="2"/>
      </w:r>
      <w:r w:rsidRPr="002B5014">
        <w:rPr>
          <w:rFonts w:asciiTheme="majorHAnsi" w:hAnsiTheme="majorHAnsi" w:cstheme="majorHAnsi"/>
          <w:sz w:val="20"/>
          <w:szCs w:val="20"/>
        </w:rPr>
        <w:t xml:space="preserve"> V této souvislosti Objednatel souhlasí, že, s výjimkou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členové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vůči Objednateli nenesou jakoukoliv odpovědnost za služby, které jsou nebo budou poskytovány dle těchto smluvních podmínek. Proto Objednatel souhlasí, že žádný z členů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(vyjma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vůči němu nemá jakýkoli závazek, že nevznese žádný nárok a nezahájí soudní, rozhodčí či jiné obdobné řízení proti jakémukoli členovi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(vyjma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v souvislosti s těmito smluvními podmínkami a zajistí, že ani jiný subjekt s Objednatelem propojený, který není stranou těchto smluvních podmínek, takový nárok nevznese či takové řízení nezahájí.</w:t>
      </w:r>
    </w:p>
    <w:p w14:paraId="60D2C9D3" w14:textId="1AF5759E" w:rsidR="007D56EA" w:rsidRPr="00E76CDF" w:rsidRDefault="00745C9A" w:rsidP="004124D0">
      <w:pPr>
        <w:pStyle w:val="smlouvaheading2"/>
        <w:rPr>
          <w:rFonts w:asciiTheme="majorHAnsi" w:hAnsiTheme="majorHAnsi" w:cstheme="majorHAnsi"/>
          <w:sz w:val="20"/>
          <w:szCs w:val="20"/>
        </w:rPr>
      </w:pPr>
      <w:r w:rsidRPr="002B5014">
        <w:rPr>
          <w:rFonts w:asciiTheme="majorHAnsi" w:hAnsiTheme="majorHAnsi" w:cstheme="majorHAnsi"/>
          <w:sz w:val="20"/>
          <w:szCs w:val="20"/>
        </w:rPr>
        <w:t xml:space="preserve">Objednatel se zavazuje vyvinout veškeré úsilí k tomu, aby nebyly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ani jinému členu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způsobeny škody, a odškodnit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a jakéhokoli jiného člena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v případě, že v souvislosti se </w:t>
      </w:r>
      <w:r w:rsidRPr="002B5014">
        <w:rPr>
          <w:rFonts w:asciiTheme="majorHAnsi" w:hAnsiTheme="majorHAnsi" w:cstheme="majorHAnsi"/>
          <w:sz w:val="20"/>
          <w:szCs w:val="20"/>
        </w:rPr>
        <w:lastRenderedPageBreak/>
        <w:t xml:space="preserve">službami bude vznesen jakýkoliv nárok třetí strany, s výjimkou případů, které dle pravomocného soudního rozhodnutí takové nároky vyplynuly z úmyslného porušení právní povinnosti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nebo jakýmkoliv jiným členem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popř. jeho subdodavatelem.</w:t>
      </w:r>
    </w:p>
    <w:p w14:paraId="33D6EFB1" w14:textId="77777777" w:rsidR="00745C9A" w:rsidRPr="002B5014" w:rsidRDefault="00745C9A" w:rsidP="00745C9A">
      <w:pPr>
        <w:pStyle w:val="smlouvaheading1"/>
        <w:ind w:left="709" w:hanging="709"/>
        <w:rPr>
          <w:rFonts w:asciiTheme="majorHAnsi" w:hAnsiTheme="majorHAnsi" w:cstheme="majorHAnsi"/>
          <w:sz w:val="20"/>
          <w:szCs w:val="20"/>
        </w:rPr>
      </w:pPr>
      <w:r w:rsidRPr="002B5014">
        <w:rPr>
          <w:rFonts w:asciiTheme="majorHAnsi" w:hAnsiTheme="majorHAnsi" w:cstheme="majorHAnsi"/>
          <w:sz w:val="20"/>
          <w:szCs w:val="20"/>
        </w:rPr>
        <w:t>Právní úprava proti legalizaci výnosů z trestné činnosti</w:t>
      </w:r>
    </w:p>
    <w:p w14:paraId="22EF80C3" w14:textId="199DA798" w:rsidR="004124D0" w:rsidRPr="00E76CDF" w:rsidRDefault="00745C9A" w:rsidP="004124D0">
      <w:pPr>
        <w:pStyle w:val="smlouvaheading2"/>
        <w:rPr>
          <w:rFonts w:asciiTheme="majorHAnsi" w:hAnsiTheme="majorHAnsi" w:cstheme="majorHAnsi"/>
          <w:sz w:val="20"/>
          <w:szCs w:val="20"/>
        </w:rPr>
      </w:pPr>
      <w:r w:rsidRPr="002B5014">
        <w:rPr>
          <w:rFonts w:asciiTheme="majorHAnsi" w:hAnsiTheme="majorHAnsi" w:cstheme="majorHAnsi"/>
          <w:sz w:val="20"/>
          <w:szCs w:val="20"/>
        </w:rPr>
        <w:t xml:space="preserve">V souladu s platnou právní úpravou proti legalizaci výnosů z trestné činnosti (zejména zákonem č. 253/2008 Sb., o některých opatřeních proti legalizaci výnosů z trestné činnosti a financování terorismu, v platném znění) může být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povinna identifikovat zástupce a statutární orgán Objednatele. V takovém případě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požádá Objednatele o spolupráci při plnění této zákonné povinnosti vyplněním formuláře poskytnutého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a potvrzením správnosti vyplněných údajů připojením podpisu statutárního orgánu nebo oprávněného zástupce.</w:t>
      </w:r>
    </w:p>
    <w:p w14:paraId="01849865" w14:textId="77777777" w:rsidR="00745C9A" w:rsidRPr="002B5014" w:rsidRDefault="00745C9A" w:rsidP="00745C9A">
      <w:pPr>
        <w:pStyle w:val="smlouvaheading1"/>
        <w:ind w:left="709" w:hanging="709"/>
        <w:rPr>
          <w:rFonts w:asciiTheme="majorHAnsi" w:hAnsiTheme="majorHAnsi" w:cstheme="majorHAnsi"/>
          <w:sz w:val="20"/>
          <w:szCs w:val="20"/>
        </w:rPr>
      </w:pPr>
      <w:r w:rsidRPr="002B5014">
        <w:rPr>
          <w:rFonts w:asciiTheme="majorHAnsi" w:hAnsiTheme="majorHAnsi" w:cstheme="majorHAnsi"/>
          <w:sz w:val="20"/>
          <w:szCs w:val="20"/>
        </w:rPr>
        <w:t>Ukončení smluvního vztahu</w:t>
      </w:r>
    </w:p>
    <w:p w14:paraId="56D712A9" w14:textId="77777777" w:rsidR="00745C9A" w:rsidRPr="002B5014" w:rsidRDefault="00745C9A" w:rsidP="00745C9A">
      <w:pPr>
        <w:pStyle w:val="smlouvaheading2"/>
        <w:rPr>
          <w:rFonts w:asciiTheme="majorHAnsi" w:hAnsiTheme="majorHAnsi" w:cstheme="majorHAnsi"/>
          <w:sz w:val="20"/>
          <w:szCs w:val="20"/>
        </w:rPr>
      </w:pPr>
      <w:r w:rsidRPr="002B5014">
        <w:rPr>
          <w:rFonts w:asciiTheme="majorHAnsi" w:hAnsiTheme="majorHAnsi" w:cstheme="majorHAnsi"/>
          <w:sz w:val="20"/>
          <w:szCs w:val="20"/>
        </w:rPr>
        <w:t xml:space="preserve">Smluvní vztah vzniklý na základě této smlouvy bude skončen dohodou či doručením písemné výpovědi bez výpovědní doby kteroukoliv ze smluvních stran druhé smluvní straně. Pokud neinstruuje Objednatel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jinak, učiní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 xml:space="preserve"> v souladu s právní úpravou výkonu advokacie veškeré neodkladné úkony tak, aby Objednatel neutrpěl na svých právech či oprávněných zájmech újmu po dobu 15 dní poté, co smluvní vztah založený touto smlouvou zanikl.</w:t>
      </w:r>
    </w:p>
    <w:p w14:paraId="13F3D18A" w14:textId="77777777" w:rsidR="00745C9A" w:rsidRPr="002B5014" w:rsidRDefault="00745C9A" w:rsidP="00745C9A">
      <w:pPr>
        <w:pStyle w:val="smlouvaheading2"/>
        <w:rPr>
          <w:rFonts w:asciiTheme="majorHAnsi" w:hAnsiTheme="majorHAnsi" w:cstheme="majorHAnsi"/>
          <w:sz w:val="20"/>
          <w:szCs w:val="20"/>
        </w:rPr>
      </w:pPr>
      <w:r w:rsidRPr="002B5014">
        <w:rPr>
          <w:rFonts w:asciiTheme="majorHAnsi" w:hAnsiTheme="majorHAnsi" w:cstheme="majorHAnsi"/>
          <w:sz w:val="20"/>
          <w:szCs w:val="20"/>
        </w:rPr>
        <w:t>V případě skončení smluvního vztahu Objednatel uhradí smluvní odměnu a veškeré výdaje vzniklé v souvislosti s poskytováním právních služeb na základě této smlouvy.</w:t>
      </w:r>
    </w:p>
    <w:p w14:paraId="75EC42CC" w14:textId="32094ACD" w:rsidR="004124D0" w:rsidRPr="00E76CDF" w:rsidRDefault="00745C9A" w:rsidP="004124D0">
      <w:pPr>
        <w:pStyle w:val="smlouvaheading2"/>
        <w:rPr>
          <w:rFonts w:asciiTheme="majorHAnsi" w:hAnsiTheme="majorHAnsi" w:cstheme="majorHAnsi"/>
          <w:sz w:val="20"/>
          <w:szCs w:val="20"/>
        </w:rPr>
      </w:pPr>
      <w:r w:rsidRPr="002B5014">
        <w:rPr>
          <w:rFonts w:asciiTheme="majorHAnsi" w:hAnsiTheme="majorHAnsi" w:cstheme="majorHAnsi"/>
          <w:sz w:val="20"/>
          <w:szCs w:val="20"/>
        </w:rPr>
        <w:t>Ustanovení týkající se důvěrnosti a mlčenlivosti, odpovědnosti a rozhodného práva a soudní pravomoci zůstávají v účinnosti bez ohledu na ukončení účinnosti této smlouvy či skončení poskytování služeb.</w:t>
      </w:r>
    </w:p>
    <w:p w14:paraId="047DB2D3" w14:textId="77777777" w:rsidR="00745C9A" w:rsidRPr="002B5014" w:rsidRDefault="00745C9A" w:rsidP="00745C9A">
      <w:pPr>
        <w:pStyle w:val="smlouvaheading1"/>
        <w:ind w:left="709" w:hanging="709"/>
        <w:rPr>
          <w:rFonts w:asciiTheme="majorHAnsi" w:hAnsiTheme="majorHAnsi" w:cstheme="majorHAnsi"/>
          <w:sz w:val="20"/>
          <w:szCs w:val="20"/>
        </w:rPr>
      </w:pPr>
      <w:r w:rsidRPr="002B5014">
        <w:rPr>
          <w:rFonts w:asciiTheme="majorHAnsi" w:hAnsiTheme="majorHAnsi" w:cstheme="majorHAnsi"/>
          <w:sz w:val="20"/>
          <w:szCs w:val="20"/>
        </w:rPr>
        <w:t>Rozhodné právo a soudní pravomoc</w:t>
      </w:r>
    </w:p>
    <w:p w14:paraId="6541F036" w14:textId="77777777" w:rsidR="00745C9A" w:rsidRPr="002B5014" w:rsidRDefault="00745C9A" w:rsidP="00745C9A">
      <w:pPr>
        <w:pStyle w:val="smlouvaheading2"/>
        <w:rPr>
          <w:rFonts w:asciiTheme="majorHAnsi" w:hAnsiTheme="majorHAnsi" w:cstheme="majorHAnsi"/>
          <w:sz w:val="20"/>
          <w:szCs w:val="20"/>
        </w:rPr>
      </w:pPr>
      <w:r w:rsidRPr="002B5014">
        <w:rPr>
          <w:rFonts w:asciiTheme="majorHAnsi" w:hAnsiTheme="majorHAnsi" w:cstheme="majorHAnsi"/>
          <w:sz w:val="20"/>
          <w:szCs w:val="20"/>
        </w:rPr>
        <w:t xml:space="preserve">Smluvní vztah založený na základě této smlouvy se bude řídit českým právem. </w:t>
      </w:r>
    </w:p>
    <w:p w14:paraId="3020C9D9" w14:textId="52C5D068" w:rsidR="004124D0" w:rsidRPr="00E76CDF" w:rsidRDefault="00745C9A" w:rsidP="004124D0">
      <w:pPr>
        <w:pStyle w:val="smlouvaheading2"/>
        <w:rPr>
          <w:rFonts w:asciiTheme="majorHAnsi" w:hAnsiTheme="majorHAnsi" w:cstheme="majorHAnsi"/>
          <w:sz w:val="20"/>
          <w:szCs w:val="20"/>
        </w:rPr>
      </w:pPr>
      <w:r w:rsidRPr="002B5014">
        <w:rPr>
          <w:rFonts w:asciiTheme="majorHAnsi" w:hAnsiTheme="majorHAnsi" w:cstheme="majorHAnsi"/>
          <w:sz w:val="20"/>
          <w:szCs w:val="20"/>
        </w:rPr>
        <w:t xml:space="preserve">Jakýkoliv spor vzniklý v souvislosti s touto smlouvou a/nebo dalšími souvisejícími dohodami bude spadat do soudní pravomoci českého soudu místně příslušného dle sídla </w:t>
      </w:r>
      <w:proofErr w:type="spellStart"/>
      <w:r w:rsidRPr="002B5014">
        <w:rPr>
          <w:rFonts w:asciiTheme="majorHAnsi" w:hAnsiTheme="majorHAnsi" w:cstheme="majorHAnsi"/>
          <w:sz w:val="20"/>
          <w:szCs w:val="20"/>
        </w:rPr>
        <w:t>Deloitte</w:t>
      </w:r>
      <w:proofErr w:type="spellEnd"/>
      <w:r w:rsidRPr="002B5014">
        <w:rPr>
          <w:rFonts w:asciiTheme="majorHAnsi" w:hAnsiTheme="majorHAnsi" w:cstheme="majorHAnsi"/>
          <w:sz w:val="20"/>
          <w:szCs w:val="20"/>
        </w:rPr>
        <w:t xml:space="preserve"> </w:t>
      </w:r>
      <w:proofErr w:type="spellStart"/>
      <w:r w:rsidRPr="002B5014">
        <w:rPr>
          <w:rFonts w:asciiTheme="majorHAnsi" w:hAnsiTheme="majorHAnsi" w:cstheme="majorHAnsi"/>
          <w:sz w:val="20"/>
          <w:szCs w:val="20"/>
        </w:rPr>
        <w:t>Legal</w:t>
      </w:r>
      <w:proofErr w:type="spellEnd"/>
      <w:r w:rsidRPr="002B5014">
        <w:rPr>
          <w:rFonts w:asciiTheme="majorHAnsi" w:hAnsiTheme="majorHAnsi" w:cstheme="majorHAnsi"/>
          <w:sz w:val="20"/>
          <w:szCs w:val="20"/>
        </w:rPr>
        <w:t>.</w:t>
      </w:r>
    </w:p>
    <w:p w14:paraId="51AB1B2B" w14:textId="77777777" w:rsidR="00745C9A" w:rsidRPr="002B5014" w:rsidRDefault="00745C9A" w:rsidP="00745C9A">
      <w:pPr>
        <w:pStyle w:val="smlouvaheading1"/>
        <w:rPr>
          <w:rFonts w:asciiTheme="majorHAnsi" w:hAnsiTheme="majorHAnsi" w:cstheme="majorHAnsi"/>
          <w:sz w:val="20"/>
          <w:szCs w:val="20"/>
        </w:rPr>
      </w:pPr>
      <w:r w:rsidRPr="002B5014">
        <w:rPr>
          <w:rFonts w:asciiTheme="majorHAnsi" w:hAnsiTheme="majorHAnsi" w:cstheme="majorHAnsi"/>
          <w:sz w:val="20"/>
          <w:szCs w:val="20"/>
        </w:rPr>
        <w:t>Závěrečná ustanovení</w:t>
      </w:r>
    </w:p>
    <w:p w14:paraId="58850D6E" w14:textId="23E6DA17" w:rsidR="00745C9A" w:rsidRPr="002B5014" w:rsidRDefault="00745C9A" w:rsidP="00745C9A">
      <w:pPr>
        <w:pStyle w:val="smlouvaheading2"/>
        <w:rPr>
          <w:rFonts w:asciiTheme="majorHAnsi" w:hAnsiTheme="majorHAnsi" w:cstheme="majorHAnsi"/>
          <w:sz w:val="20"/>
          <w:szCs w:val="20"/>
        </w:rPr>
      </w:pPr>
      <w:r w:rsidRPr="002B5014">
        <w:rPr>
          <w:rFonts w:asciiTheme="majorHAnsi" w:hAnsiTheme="majorHAnsi" w:cstheme="majorHAnsi"/>
          <w:sz w:val="20"/>
          <w:szCs w:val="20"/>
        </w:rPr>
        <w:t>Tato smlouva nabývá platnosti dnem podpisu oběma smluvními stranami. Smluvní strany berou na vědomí, že tato Smlouva vstupuje v účinnost dnem uveřejnění v registru smluv v souladu se zákonem č. 340/2015 Sb., o zvláštních podmínkách účinnosti některých smluv, uveřejňování těchto smluv a o registru smluv</w:t>
      </w:r>
      <w:r w:rsidR="00AA6D20">
        <w:rPr>
          <w:rFonts w:asciiTheme="majorHAnsi" w:hAnsiTheme="majorHAnsi" w:cstheme="majorHAnsi"/>
          <w:sz w:val="20"/>
          <w:szCs w:val="20"/>
        </w:rPr>
        <w:t>.</w:t>
      </w:r>
      <w:r w:rsidR="00E67700" w:rsidRPr="002B5014">
        <w:rPr>
          <w:rFonts w:asciiTheme="majorHAnsi" w:hAnsiTheme="majorHAnsi" w:cstheme="majorHAnsi"/>
          <w:sz w:val="20"/>
          <w:szCs w:val="20"/>
        </w:rPr>
        <w:t xml:space="preserve"> </w:t>
      </w:r>
    </w:p>
    <w:p w14:paraId="3FEBA457" w14:textId="77777777" w:rsidR="00745C9A" w:rsidRPr="002B5014" w:rsidRDefault="00745C9A" w:rsidP="00745C9A">
      <w:pPr>
        <w:pStyle w:val="smlouvaheading2"/>
        <w:rPr>
          <w:rFonts w:asciiTheme="majorHAnsi" w:hAnsiTheme="majorHAnsi" w:cstheme="majorHAnsi"/>
          <w:sz w:val="20"/>
          <w:szCs w:val="20"/>
        </w:rPr>
      </w:pPr>
      <w:r w:rsidRPr="002B5014">
        <w:rPr>
          <w:rFonts w:asciiTheme="majorHAnsi" w:hAnsiTheme="majorHAnsi" w:cstheme="majorHAnsi"/>
          <w:sz w:val="20"/>
          <w:szCs w:val="20"/>
        </w:rPr>
        <w:t>Tato smlouva může být změněna nebo nahrazena pouze písemnou dohodou, při zachování možnosti změny rozsahu poskytovaných služeb a dalších specifikací formami stanovenými v této smlouvě. Přijetí této smlouvy s dodatkem nebo odchylkou se vylučuje.</w:t>
      </w:r>
    </w:p>
    <w:p w14:paraId="4EB10933" w14:textId="77777777" w:rsidR="00745C9A" w:rsidRPr="002B5014" w:rsidRDefault="00745C9A" w:rsidP="00745C9A">
      <w:pPr>
        <w:widowControl w:val="0"/>
        <w:rPr>
          <w:rFonts w:asciiTheme="majorHAnsi" w:hAnsiTheme="majorHAnsi" w:cstheme="majorHAnsi"/>
          <w:szCs w:val="20"/>
          <w:lang w:val="cs-CZ"/>
        </w:rPr>
      </w:pPr>
    </w:p>
    <w:p w14:paraId="78BABF64" w14:textId="291F8D9A" w:rsidR="00745C9A" w:rsidRPr="002B5014" w:rsidRDefault="00745C9A" w:rsidP="009B00EA">
      <w:pPr>
        <w:widowControl w:val="0"/>
        <w:spacing w:before="240"/>
        <w:rPr>
          <w:rFonts w:asciiTheme="majorHAnsi" w:hAnsiTheme="majorHAnsi" w:cstheme="majorHAnsi"/>
          <w:szCs w:val="20"/>
          <w:lang w:val="cs-CZ"/>
        </w:rPr>
      </w:pPr>
      <w:r w:rsidRPr="002B5014">
        <w:rPr>
          <w:rFonts w:asciiTheme="majorHAnsi" w:hAnsiTheme="majorHAnsi" w:cstheme="majorHAnsi"/>
          <w:szCs w:val="20"/>
          <w:lang w:val="cs-CZ"/>
        </w:rPr>
        <w:t>V Praze dne …………………………….</w:t>
      </w:r>
      <w:r w:rsidR="001108A1">
        <w:rPr>
          <w:rFonts w:asciiTheme="majorHAnsi" w:hAnsiTheme="majorHAnsi" w:cstheme="majorHAnsi"/>
          <w:szCs w:val="20"/>
          <w:lang w:val="cs-CZ"/>
        </w:rPr>
        <w:tab/>
      </w:r>
      <w:r w:rsidR="001108A1">
        <w:rPr>
          <w:rFonts w:asciiTheme="majorHAnsi" w:hAnsiTheme="majorHAnsi" w:cstheme="majorHAnsi"/>
          <w:szCs w:val="20"/>
          <w:lang w:val="cs-CZ"/>
        </w:rPr>
        <w:tab/>
      </w:r>
      <w:r w:rsidR="001108A1">
        <w:rPr>
          <w:rFonts w:asciiTheme="majorHAnsi" w:hAnsiTheme="majorHAnsi" w:cstheme="majorHAnsi"/>
          <w:szCs w:val="20"/>
          <w:lang w:val="cs-CZ"/>
        </w:rPr>
        <w:tab/>
      </w:r>
      <w:r w:rsidR="001108A1">
        <w:rPr>
          <w:rFonts w:asciiTheme="majorHAnsi" w:hAnsiTheme="majorHAnsi" w:cstheme="majorHAnsi"/>
          <w:szCs w:val="20"/>
          <w:lang w:val="cs-CZ"/>
        </w:rPr>
        <w:tab/>
        <w:t>Ve Zlíně</w:t>
      </w:r>
      <w:r w:rsidR="001108A1" w:rsidRPr="002B5014">
        <w:rPr>
          <w:rFonts w:asciiTheme="majorHAnsi" w:hAnsiTheme="majorHAnsi" w:cstheme="majorHAnsi"/>
          <w:szCs w:val="20"/>
          <w:lang w:val="cs-CZ"/>
        </w:rPr>
        <w:t xml:space="preserve"> dne ……………………….</w:t>
      </w:r>
    </w:p>
    <w:p w14:paraId="2F4D65AD" w14:textId="77777777" w:rsidR="00745C9A" w:rsidRPr="002B5014" w:rsidRDefault="00745C9A" w:rsidP="00745C9A">
      <w:pPr>
        <w:rPr>
          <w:rFonts w:asciiTheme="majorHAnsi" w:hAnsiTheme="majorHAnsi" w:cstheme="majorHAnsi"/>
          <w:szCs w:val="20"/>
          <w:lang w:val="cs-CZ"/>
        </w:rPr>
      </w:pPr>
    </w:p>
    <w:p w14:paraId="47426B8C" w14:textId="552AA5E4" w:rsidR="00745C9A" w:rsidRPr="002B5014" w:rsidRDefault="00745C9A" w:rsidP="00745C9A">
      <w:pPr>
        <w:rPr>
          <w:rFonts w:asciiTheme="majorHAnsi" w:hAnsiTheme="majorHAnsi" w:cstheme="majorHAnsi"/>
          <w:b/>
          <w:szCs w:val="20"/>
          <w:lang w:val="cs-CZ"/>
        </w:rPr>
      </w:pPr>
      <w:r w:rsidRPr="002B5014">
        <w:rPr>
          <w:rFonts w:asciiTheme="majorHAnsi" w:hAnsiTheme="majorHAnsi" w:cstheme="majorHAnsi"/>
          <w:szCs w:val="20"/>
          <w:lang w:val="cs-CZ"/>
        </w:rPr>
        <w:t xml:space="preserve">Za </w:t>
      </w:r>
      <w:proofErr w:type="spellStart"/>
      <w:r w:rsidRPr="002B5014">
        <w:rPr>
          <w:rFonts w:asciiTheme="majorHAnsi" w:hAnsiTheme="majorHAnsi" w:cstheme="majorHAnsi"/>
          <w:szCs w:val="20"/>
          <w:lang w:val="cs-CZ"/>
        </w:rPr>
        <w:t>Deloitte</w:t>
      </w:r>
      <w:proofErr w:type="spellEnd"/>
      <w:r w:rsidRPr="002B5014">
        <w:rPr>
          <w:rFonts w:asciiTheme="majorHAnsi" w:hAnsiTheme="majorHAnsi" w:cstheme="majorHAnsi"/>
          <w:szCs w:val="20"/>
          <w:lang w:val="cs-CZ"/>
        </w:rPr>
        <w:t xml:space="preserve"> </w:t>
      </w:r>
      <w:proofErr w:type="spellStart"/>
      <w:r w:rsidR="004136FC" w:rsidRPr="002B5014">
        <w:rPr>
          <w:rFonts w:asciiTheme="majorHAnsi" w:hAnsiTheme="majorHAnsi" w:cstheme="majorHAnsi"/>
          <w:szCs w:val="20"/>
          <w:lang w:val="cs-CZ"/>
        </w:rPr>
        <w:t>Legal</w:t>
      </w:r>
      <w:proofErr w:type="spellEnd"/>
      <w:r w:rsidR="004136FC" w:rsidRPr="002B5014">
        <w:rPr>
          <w:rFonts w:asciiTheme="majorHAnsi" w:hAnsiTheme="majorHAnsi" w:cstheme="majorHAnsi"/>
          <w:szCs w:val="20"/>
          <w:lang w:val="cs-CZ"/>
        </w:rPr>
        <w:t xml:space="preserve"> s.r.o.</w:t>
      </w:r>
      <w:r w:rsidRPr="002B5014">
        <w:rPr>
          <w:rFonts w:asciiTheme="majorHAnsi" w:hAnsiTheme="majorHAnsi" w:cstheme="majorHAnsi"/>
          <w:szCs w:val="20"/>
          <w:lang w:val="cs-CZ"/>
        </w:rPr>
        <w:t>, advokátní kancelář:</w:t>
      </w:r>
      <w:r w:rsidR="001108A1">
        <w:rPr>
          <w:rFonts w:asciiTheme="majorHAnsi" w:hAnsiTheme="majorHAnsi" w:cstheme="majorHAnsi"/>
          <w:szCs w:val="20"/>
          <w:lang w:val="cs-CZ"/>
        </w:rPr>
        <w:tab/>
      </w:r>
      <w:r w:rsidR="001108A1">
        <w:rPr>
          <w:rFonts w:asciiTheme="majorHAnsi" w:hAnsiTheme="majorHAnsi" w:cstheme="majorHAnsi"/>
          <w:szCs w:val="20"/>
          <w:lang w:val="cs-CZ"/>
        </w:rPr>
        <w:tab/>
      </w:r>
      <w:r w:rsidR="001108A1">
        <w:rPr>
          <w:rFonts w:asciiTheme="majorHAnsi" w:hAnsiTheme="majorHAnsi" w:cstheme="majorHAnsi"/>
          <w:szCs w:val="20"/>
          <w:lang w:val="cs-CZ"/>
        </w:rPr>
        <w:tab/>
      </w:r>
      <w:r w:rsidR="001108A1" w:rsidRPr="002B5014">
        <w:rPr>
          <w:rFonts w:asciiTheme="majorHAnsi" w:hAnsiTheme="majorHAnsi" w:cstheme="majorHAnsi"/>
          <w:szCs w:val="20"/>
          <w:lang w:val="cs-CZ"/>
        </w:rPr>
        <w:t xml:space="preserve">Za </w:t>
      </w:r>
      <w:r w:rsidR="001108A1">
        <w:rPr>
          <w:rFonts w:asciiTheme="majorHAnsi" w:hAnsiTheme="majorHAnsi" w:cstheme="majorHAnsi"/>
          <w:szCs w:val="20"/>
          <w:lang w:val="cs-CZ"/>
        </w:rPr>
        <w:t>Zlínský kraj</w:t>
      </w:r>
      <w:r w:rsidR="001108A1" w:rsidRPr="002B5014">
        <w:rPr>
          <w:rFonts w:asciiTheme="majorHAnsi" w:hAnsiTheme="majorHAnsi" w:cstheme="majorHAnsi"/>
          <w:szCs w:val="20"/>
          <w:lang w:val="cs-CZ"/>
        </w:rPr>
        <w:t>:</w:t>
      </w:r>
    </w:p>
    <w:p w14:paraId="5A24C18F" w14:textId="77777777" w:rsidR="00745C9A" w:rsidRPr="002B5014" w:rsidRDefault="00745C9A" w:rsidP="00745C9A">
      <w:pPr>
        <w:rPr>
          <w:rFonts w:asciiTheme="majorHAnsi" w:hAnsiTheme="majorHAnsi" w:cstheme="majorHAnsi"/>
          <w:szCs w:val="20"/>
          <w:lang w:val="cs-CZ"/>
        </w:rPr>
      </w:pPr>
    </w:p>
    <w:p w14:paraId="4F2273C6" w14:textId="77777777" w:rsidR="00745C9A" w:rsidRPr="002B5014" w:rsidRDefault="00745C9A" w:rsidP="00745C9A">
      <w:pPr>
        <w:rPr>
          <w:rFonts w:asciiTheme="majorHAnsi" w:hAnsiTheme="majorHAnsi" w:cstheme="majorHAnsi"/>
          <w:szCs w:val="20"/>
          <w:lang w:val="cs-CZ"/>
        </w:rPr>
      </w:pPr>
    </w:p>
    <w:p w14:paraId="5FFD4CC6" w14:textId="77777777" w:rsidR="001108A1" w:rsidRPr="002B5014" w:rsidRDefault="00745C9A" w:rsidP="001108A1">
      <w:pPr>
        <w:rPr>
          <w:rFonts w:asciiTheme="majorHAnsi" w:hAnsiTheme="majorHAnsi" w:cstheme="majorHAnsi"/>
          <w:szCs w:val="20"/>
          <w:lang w:val="cs-CZ"/>
        </w:rPr>
      </w:pPr>
      <w:r w:rsidRPr="002B5014">
        <w:rPr>
          <w:rFonts w:asciiTheme="majorHAnsi" w:hAnsiTheme="majorHAnsi" w:cstheme="majorHAnsi"/>
          <w:szCs w:val="20"/>
          <w:lang w:val="cs-CZ"/>
        </w:rPr>
        <w:t>______________________________</w:t>
      </w:r>
      <w:r w:rsidR="001108A1">
        <w:rPr>
          <w:rFonts w:asciiTheme="majorHAnsi" w:hAnsiTheme="majorHAnsi" w:cstheme="majorHAnsi"/>
          <w:szCs w:val="20"/>
          <w:lang w:val="cs-CZ"/>
        </w:rPr>
        <w:tab/>
      </w:r>
      <w:r w:rsidR="001108A1">
        <w:rPr>
          <w:rFonts w:asciiTheme="majorHAnsi" w:hAnsiTheme="majorHAnsi" w:cstheme="majorHAnsi"/>
          <w:szCs w:val="20"/>
          <w:lang w:val="cs-CZ"/>
        </w:rPr>
        <w:tab/>
      </w:r>
      <w:r w:rsidR="001108A1">
        <w:rPr>
          <w:rFonts w:asciiTheme="majorHAnsi" w:hAnsiTheme="majorHAnsi" w:cstheme="majorHAnsi"/>
          <w:szCs w:val="20"/>
          <w:lang w:val="cs-CZ"/>
        </w:rPr>
        <w:tab/>
      </w:r>
      <w:r w:rsidR="001108A1" w:rsidRPr="002B5014">
        <w:rPr>
          <w:rFonts w:asciiTheme="majorHAnsi" w:hAnsiTheme="majorHAnsi" w:cstheme="majorHAnsi"/>
          <w:szCs w:val="20"/>
          <w:lang w:val="cs-CZ"/>
        </w:rPr>
        <w:t>______________________________</w:t>
      </w:r>
    </w:p>
    <w:p w14:paraId="27F78B9C" w14:textId="4B3969C0" w:rsidR="00745C9A" w:rsidRPr="002B5014" w:rsidRDefault="00E91901" w:rsidP="00F27CC9">
      <w:pPr>
        <w:tabs>
          <w:tab w:val="center" w:pos="4320"/>
          <w:tab w:val="right" w:pos="8640"/>
        </w:tabs>
        <w:spacing w:line="276" w:lineRule="auto"/>
        <w:jc w:val="both"/>
        <w:rPr>
          <w:rFonts w:asciiTheme="majorHAnsi" w:hAnsiTheme="majorHAnsi" w:cstheme="majorHAnsi"/>
          <w:szCs w:val="20"/>
          <w:lang w:val="cs-CZ"/>
        </w:rPr>
      </w:pPr>
      <w:r w:rsidRPr="002B5014">
        <w:rPr>
          <w:rFonts w:asciiTheme="majorHAnsi" w:hAnsiTheme="majorHAnsi" w:cstheme="majorHAnsi"/>
          <w:szCs w:val="20"/>
          <w:lang w:val="cs-CZ"/>
        </w:rPr>
        <w:t>JUDr. Martin Bohuslav</w:t>
      </w:r>
      <w:r w:rsidR="00F27CC9">
        <w:rPr>
          <w:rFonts w:asciiTheme="majorHAnsi" w:hAnsiTheme="majorHAnsi" w:cstheme="majorHAnsi"/>
          <w:szCs w:val="20"/>
          <w:lang w:val="cs-CZ"/>
        </w:rPr>
        <w:tab/>
        <w:t xml:space="preserve">                                                                                  Ing. Alena Zmeková</w:t>
      </w:r>
      <w:r w:rsidR="00F27CC9">
        <w:rPr>
          <w:rFonts w:asciiTheme="majorHAnsi" w:hAnsiTheme="majorHAnsi" w:cstheme="majorHAnsi"/>
          <w:szCs w:val="20"/>
          <w:lang w:val="cs-CZ"/>
        </w:rPr>
        <w:tab/>
      </w:r>
      <w:r w:rsidR="00F27CC9">
        <w:rPr>
          <w:rFonts w:asciiTheme="majorHAnsi" w:hAnsiTheme="majorHAnsi" w:cstheme="majorHAnsi"/>
          <w:szCs w:val="20"/>
          <w:lang w:val="cs-CZ"/>
        </w:rPr>
        <w:tab/>
      </w:r>
    </w:p>
    <w:p w14:paraId="67A821E2" w14:textId="5C1F48A4" w:rsidR="00166099" w:rsidRPr="002B5014" w:rsidRDefault="00E91901" w:rsidP="001108A1">
      <w:pPr>
        <w:rPr>
          <w:rFonts w:asciiTheme="majorHAnsi" w:hAnsiTheme="majorHAnsi" w:cstheme="majorHAnsi"/>
          <w:szCs w:val="20"/>
          <w:lang w:val="cs-CZ"/>
        </w:rPr>
      </w:pPr>
      <w:r w:rsidRPr="002B5014">
        <w:rPr>
          <w:rFonts w:asciiTheme="majorHAnsi" w:hAnsiTheme="majorHAnsi" w:cstheme="majorHAnsi"/>
          <w:szCs w:val="20"/>
          <w:lang w:val="cs-CZ"/>
        </w:rPr>
        <w:t>prokurista</w:t>
      </w:r>
      <w:r w:rsidR="001108A1">
        <w:rPr>
          <w:rFonts w:asciiTheme="majorHAnsi" w:hAnsiTheme="majorHAnsi" w:cstheme="majorHAnsi"/>
          <w:szCs w:val="20"/>
          <w:lang w:val="cs-CZ"/>
        </w:rPr>
        <w:tab/>
      </w:r>
      <w:r w:rsidR="001108A1">
        <w:rPr>
          <w:rFonts w:asciiTheme="majorHAnsi" w:hAnsiTheme="majorHAnsi" w:cstheme="majorHAnsi"/>
          <w:szCs w:val="20"/>
          <w:lang w:val="cs-CZ"/>
        </w:rPr>
        <w:tab/>
      </w:r>
      <w:r w:rsidR="001108A1">
        <w:rPr>
          <w:rFonts w:asciiTheme="majorHAnsi" w:hAnsiTheme="majorHAnsi" w:cstheme="majorHAnsi"/>
          <w:szCs w:val="20"/>
          <w:lang w:val="cs-CZ"/>
        </w:rPr>
        <w:tab/>
      </w:r>
      <w:r w:rsidR="001108A1">
        <w:rPr>
          <w:rFonts w:asciiTheme="majorHAnsi" w:hAnsiTheme="majorHAnsi" w:cstheme="majorHAnsi"/>
          <w:szCs w:val="20"/>
          <w:lang w:val="cs-CZ"/>
        </w:rPr>
        <w:tab/>
      </w:r>
      <w:r w:rsidR="00F27CC9">
        <w:rPr>
          <w:rFonts w:asciiTheme="majorHAnsi" w:hAnsiTheme="majorHAnsi" w:cstheme="majorHAnsi"/>
          <w:szCs w:val="20"/>
          <w:lang w:val="cs-CZ"/>
        </w:rPr>
        <w:tab/>
      </w:r>
      <w:r w:rsidR="00F27CC9">
        <w:rPr>
          <w:rFonts w:asciiTheme="majorHAnsi" w:hAnsiTheme="majorHAnsi" w:cstheme="majorHAnsi"/>
          <w:szCs w:val="20"/>
          <w:lang w:val="cs-CZ"/>
        </w:rPr>
        <w:tab/>
        <w:t>vedoucí ekonomického odboru</w:t>
      </w:r>
      <w:r w:rsidR="001108A1">
        <w:rPr>
          <w:rFonts w:asciiTheme="majorHAnsi" w:hAnsiTheme="majorHAnsi" w:cstheme="majorHAnsi"/>
          <w:szCs w:val="20"/>
          <w:lang w:val="cs-CZ"/>
        </w:rPr>
        <w:tab/>
      </w:r>
      <w:r w:rsidR="001108A1">
        <w:rPr>
          <w:rFonts w:asciiTheme="majorHAnsi" w:hAnsiTheme="majorHAnsi" w:cstheme="majorHAnsi"/>
          <w:szCs w:val="20"/>
          <w:lang w:val="cs-CZ"/>
        </w:rPr>
        <w:tab/>
      </w:r>
      <w:bookmarkStart w:id="3" w:name="_GoBack"/>
      <w:bookmarkEnd w:id="3"/>
    </w:p>
    <w:sectPr w:rsidR="00166099" w:rsidRPr="002B5014" w:rsidSect="00C91E9C">
      <w:headerReference w:type="default" r:id="rId12"/>
      <w:footerReference w:type="default" r:id="rId13"/>
      <w:headerReference w:type="first" r:id="rId14"/>
      <w:footerReference w:type="first" r:id="rId15"/>
      <w:pgSz w:w="11906" w:h="16838" w:code="9"/>
      <w:pgMar w:top="2722" w:right="1247" w:bottom="1134" w:left="1247"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FBC56" w14:textId="77777777" w:rsidR="00D46B26" w:rsidRDefault="00D46B26" w:rsidP="00C702C7">
      <w:pPr>
        <w:spacing w:line="240" w:lineRule="auto"/>
      </w:pPr>
      <w:r>
        <w:separator/>
      </w:r>
    </w:p>
  </w:endnote>
  <w:endnote w:type="continuationSeparator" w:id="0">
    <w:p w14:paraId="3788EE89" w14:textId="77777777" w:rsidR="00D46B26" w:rsidRDefault="00D46B26" w:rsidP="00C702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B9626" w14:textId="7269737F" w:rsidR="009176E5" w:rsidRPr="004E4208" w:rsidRDefault="009176E5" w:rsidP="009176E5">
    <w:pPr>
      <w:pStyle w:val="Zhlav"/>
      <w:rPr>
        <w:sz w:val="5"/>
      </w:rPr>
    </w:pPr>
    <w:r>
      <w:rPr>
        <w:noProof/>
        <w:lang w:val="cs-CZ" w:eastAsia="cs-CZ"/>
      </w:rPr>
      <w:drawing>
        <wp:anchor distT="0" distB="0" distL="114300" distR="114300" simplePos="0" relativeHeight="251663360" behindDoc="0" locked="1" layoutInCell="1" allowOverlap="1" wp14:anchorId="19EB7A9B" wp14:editId="79CB4002">
          <wp:simplePos x="0" y="0"/>
          <wp:positionH relativeFrom="margin">
            <wp:posOffset>1270</wp:posOffset>
          </wp:positionH>
          <wp:positionV relativeFrom="page">
            <wp:posOffset>360045</wp:posOffset>
          </wp:positionV>
          <wp:extent cx="1165860" cy="539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oitte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860" cy="539750"/>
                  </a:xfrm>
                  <a:prstGeom prst="rect">
                    <a:avLst/>
                  </a:prstGeom>
                </pic:spPr>
              </pic:pic>
            </a:graphicData>
          </a:graphic>
          <wp14:sizeRelH relativeFrom="page">
            <wp14:pctWidth>0</wp14:pctWidth>
          </wp14:sizeRelH>
          <wp14:sizeRelV relativeFrom="page">
            <wp14:pctHeight>0</wp14:pctHeight>
          </wp14:sizeRelV>
        </wp:anchor>
      </w:drawing>
    </w:r>
    <w:sdt>
      <w:sdtPr>
        <w:rPr>
          <w:sz w:val="5"/>
        </w:rPr>
        <w:id w:val="-1669238322"/>
        <w:docPartObj>
          <w:docPartGallery w:val="Page Numbers (Top of Page)"/>
          <w:docPartUnique/>
        </w:docPartObj>
      </w:sdtPr>
      <w:sdtEndPr/>
      <w:sdtContent>
        <w:r w:rsidRPr="004E4208">
          <w:rPr>
            <w:bCs/>
            <w:sz w:val="14"/>
            <w:szCs w:val="20"/>
          </w:rPr>
          <w:fldChar w:fldCharType="begin"/>
        </w:r>
        <w:r w:rsidRPr="004E4208">
          <w:rPr>
            <w:bCs/>
            <w:sz w:val="14"/>
            <w:szCs w:val="20"/>
          </w:rPr>
          <w:instrText xml:space="preserve"> PAGE </w:instrText>
        </w:r>
        <w:r w:rsidRPr="004E4208">
          <w:rPr>
            <w:bCs/>
            <w:sz w:val="14"/>
            <w:szCs w:val="20"/>
          </w:rPr>
          <w:fldChar w:fldCharType="separate"/>
        </w:r>
        <w:r w:rsidR="003B6688">
          <w:rPr>
            <w:bCs/>
            <w:noProof/>
            <w:sz w:val="14"/>
            <w:szCs w:val="20"/>
          </w:rPr>
          <w:t>6</w:t>
        </w:r>
        <w:r w:rsidRPr="004E4208">
          <w:rPr>
            <w:bCs/>
            <w:sz w:val="14"/>
            <w:szCs w:val="20"/>
          </w:rPr>
          <w:fldChar w:fldCharType="end"/>
        </w:r>
        <w:r w:rsidRPr="004E4208">
          <w:rPr>
            <w:bCs/>
            <w:sz w:val="14"/>
            <w:szCs w:val="20"/>
          </w:rPr>
          <w:t>/</w:t>
        </w:r>
        <w:r w:rsidRPr="004E4208">
          <w:rPr>
            <w:bCs/>
            <w:sz w:val="14"/>
            <w:szCs w:val="20"/>
          </w:rPr>
          <w:fldChar w:fldCharType="begin"/>
        </w:r>
        <w:r w:rsidRPr="004E4208">
          <w:rPr>
            <w:bCs/>
            <w:sz w:val="14"/>
            <w:szCs w:val="20"/>
          </w:rPr>
          <w:instrText xml:space="preserve"> NUMPAGES  </w:instrText>
        </w:r>
        <w:r w:rsidRPr="004E4208">
          <w:rPr>
            <w:bCs/>
            <w:sz w:val="14"/>
            <w:szCs w:val="20"/>
          </w:rPr>
          <w:fldChar w:fldCharType="separate"/>
        </w:r>
        <w:r w:rsidR="003B6688">
          <w:rPr>
            <w:bCs/>
            <w:noProof/>
            <w:sz w:val="14"/>
            <w:szCs w:val="20"/>
          </w:rPr>
          <w:t>6</w:t>
        </w:r>
        <w:r w:rsidRPr="004E4208">
          <w:rPr>
            <w:bCs/>
            <w:sz w:val="14"/>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72811" w14:textId="77777777" w:rsidR="006025D1" w:rsidRDefault="006025D1">
    <w:pPr>
      <w:pStyle w:val="Zpat"/>
      <w:rPr>
        <w:lang w:val="cs-CZ"/>
      </w:rPr>
    </w:pPr>
    <w:r>
      <w:rPr>
        <w:noProof/>
        <w:lang w:val="cs-CZ" w:eastAsia="cs-CZ"/>
      </w:rPr>
      <w:drawing>
        <wp:anchor distT="0" distB="0" distL="114300" distR="114300" simplePos="0" relativeHeight="251661312" behindDoc="0" locked="0" layoutInCell="1" allowOverlap="1" wp14:anchorId="47FB6F91" wp14:editId="13F3F528">
          <wp:simplePos x="0" y="0"/>
          <wp:positionH relativeFrom="column">
            <wp:posOffset>-10160</wp:posOffset>
          </wp:positionH>
          <wp:positionV relativeFrom="paragraph">
            <wp:posOffset>64814</wp:posOffset>
          </wp:positionV>
          <wp:extent cx="1877695" cy="774065"/>
          <wp:effectExtent l="0" t="0" r="8255" b="698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695" cy="774065"/>
                  </a:xfrm>
                  <a:prstGeom prst="rect">
                    <a:avLst/>
                  </a:prstGeom>
                  <a:noFill/>
                </pic:spPr>
              </pic:pic>
            </a:graphicData>
          </a:graphic>
        </wp:anchor>
      </w:drawing>
    </w:r>
  </w:p>
  <w:p w14:paraId="0148C602" w14:textId="77777777" w:rsidR="006025D1" w:rsidRDefault="006025D1">
    <w:pPr>
      <w:pStyle w:val="Zpat"/>
      <w:rPr>
        <w:lang w:val="cs-CZ"/>
      </w:rPr>
    </w:pPr>
  </w:p>
  <w:p w14:paraId="5FE0E62F" w14:textId="77777777" w:rsidR="006025D1" w:rsidRDefault="006025D1">
    <w:pPr>
      <w:pStyle w:val="Zpat"/>
      <w:rPr>
        <w:lang w:val="cs-CZ"/>
      </w:rPr>
    </w:pPr>
  </w:p>
  <w:p w14:paraId="51EB8067" w14:textId="77777777" w:rsidR="006025D1" w:rsidRDefault="006025D1">
    <w:pPr>
      <w:pStyle w:val="Zpat"/>
      <w:rPr>
        <w:lang w:val="cs-CZ"/>
      </w:rPr>
    </w:pPr>
  </w:p>
  <w:p w14:paraId="52A9C0DD" w14:textId="77777777" w:rsidR="006025D1" w:rsidRDefault="006025D1">
    <w:pPr>
      <w:pStyle w:val="Zpat"/>
      <w:rPr>
        <w:lang w:val="cs-CZ"/>
      </w:rPr>
    </w:pPr>
  </w:p>
  <w:p w14:paraId="5558C922" w14:textId="77777777" w:rsidR="006025D1" w:rsidRDefault="006025D1">
    <w:pPr>
      <w:pStyle w:val="Zpat"/>
      <w:rPr>
        <w:lang w:val="cs-CZ"/>
      </w:rPr>
    </w:pPr>
  </w:p>
  <w:p w14:paraId="4A28F7F1" w14:textId="77777777" w:rsidR="006025D1" w:rsidRDefault="006025D1">
    <w:pPr>
      <w:pStyle w:val="Zpat"/>
      <w:rPr>
        <w:lang w:val="cs-CZ"/>
      </w:rPr>
    </w:pPr>
  </w:p>
  <w:p w14:paraId="20BCA32E" w14:textId="77777777" w:rsidR="006025D1" w:rsidRDefault="006025D1">
    <w:pPr>
      <w:pStyle w:val="Zpat"/>
      <w:rPr>
        <w:lang w:val="cs-CZ"/>
      </w:rPr>
    </w:pPr>
  </w:p>
  <w:p w14:paraId="7FCCF240" w14:textId="77777777" w:rsidR="006025D1" w:rsidRDefault="006025D1">
    <w:pPr>
      <w:pStyle w:val="Zpat"/>
      <w:rPr>
        <w:lang w:val="cs-CZ"/>
      </w:rPr>
    </w:pPr>
  </w:p>
  <w:p w14:paraId="74767995" w14:textId="77777777" w:rsidR="006025D1" w:rsidRDefault="006025D1">
    <w:pPr>
      <w:pStyle w:val="Zpat"/>
      <w:rPr>
        <w:lang w:val="cs-CZ"/>
      </w:rPr>
    </w:pPr>
  </w:p>
  <w:p w14:paraId="00233E8C" w14:textId="77777777" w:rsidR="006025D1" w:rsidRDefault="006025D1">
    <w:pPr>
      <w:pStyle w:val="Zpat"/>
      <w:rPr>
        <w:lang w:val="cs-CZ"/>
      </w:rPr>
    </w:pPr>
  </w:p>
  <w:p w14:paraId="6323263F" w14:textId="77777777" w:rsidR="002823F1" w:rsidRPr="001B0AC1" w:rsidRDefault="002823F1">
    <w:pPr>
      <w:pStyle w:val="Zpat"/>
      <w:rPr>
        <w:lang w:val="cs-CZ"/>
      </w:rPr>
    </w:pPr>
  </w:p>
  <w:tbl>
    <w:tblPr>
      <w:tblStyle w:val="Mkatabulky"/>
      <w:tblW w:w="9639" w:type="dxa"/>
      <w:tblLayout w:type="fixed"/>
      <w:tblCellMar>
        <w:left w:w="0" w:type="dxa"/>
        <w:right w:w="0" w:type="dxa"/>
      </w:tblCellMar>
      <w:tblLook w:val="04A0" w:firstRow="1" w:lastRow="0" w:firstColumn="1" w:lastColumn="0" w:noHBand="0" w:noVBand="1"/>
    </w:tblPr>
    <w:tblGrid>
      <w:gridCol w:w="9639"/>
    </w:tblGrid>
    <w:tr w:rsidR="007209E0" w:rsidRPr="007043DA" w14:paraId="68906D56" w14:textId="77777777" w:rsidTr="001E0FC3">
      <w:tc>
        <w:tcPr>
          <w:tcW w:w="9639" w:type="dxa"/>
        </w:tcPr>
        <w:p w14:paraId="567F313A" w14:textId="77777777" w:rsidR="007209E0" w:rsidRPr="006025D1" w:rsidRDefault="006025D1" w:rsidP="006025D1">
          <w:pPr>
            <w:pStyle w:val="Zpat"/>
            <w:rPr>
              <w:lang w:val="cs-CZ"/>
            </w:rPr>
          </w:pPr>
          <w:proofErr w:type="spellStart"/>
          <w:r w:rsidRPr="006025D1">
            <w:rPr>
              <w:lang w:val="cs-CZ"/>
            </w:rPr>
            <w:t>Deloitte</w:t>
          </w:r>
          <w:proofErr w:type="spellEnd"/>
          <w:r w:rsidRPr="006025D1">
            <w:rPr>
              <w:lang w:val="cs-CZ"/>
            </w:rPr>
            <w:t xml:space="preserve"> označuje jednu či více společností </w:t>
          </w:r>
          <w:proofErr w:type="spellStart"/>
          <w:r w:rsidRPr="006025D1">
            <w:rPr>
              <w:lang w:val="cs-CZ"/>
            </w:rPr>
            <w:t>Deloitte</w:t>
          </w:r>
          <w:proofErr w:type="spellEnd"/>
          <w:r w:rsidRPr="006025D1">
            <w:rPr>
              <w:lang w:val="cs-CZ"/>
            </w:rPr>
            <w:t xml:space="preserve"> </w:t>
          </w:r>
          <w:proofErr w:type="spellStart"/>
          <w:r w:rsidRPr="006025D1">
            <w:rPr>
              <w:lang w:val="cs-CZ"/>
            </w:rPr>
            <w:t>Touche</w:t>
          </w:r>
          <w:proofErr w:type="spellEnd"/>
          <w:r w:rsidRPr="006025D1">
            <w:rPr>
              <w:lang w:val="cs-CZ"/>
            </w:rPr>
            <w:t xml:space="preserve"> </w:t>
          </w:r>
          <w:proofErr w:type="spellStart"/>
          <w:r w:rsidRPr="006025D1">
            <w:rPr>
              <w:lang w:val="cs-CZ"/>
            </w:rPr>
            <w:t>Tohmatsu</w:t>
          </w:r>
          <w:proofErr w:type="spellEnd"/>
          <w:r w:rsidRPr="006025D1">
            <w:rPr>
              <w:lang w:val="cs-CZ"/>
            </w:rPr>
            <w:t xml:space="preserve"> Limited („DTTL“), globální síť jejích členských firem a jejich přidružených subjektů (souhrnně „organizace </w:t>
          </w:r>
          <w:proofErr w:type="spellStart"/>
          <w:r w:rsidRPr="006025D1">
            <w:rPr>
              <w:lang w:val="cs-CZ"/>
            </w:rPr>
            <w:t>Deloitte</w:t>
          </w:r>
          <w:proofErr w:type="spellEnd"/>
          <w:r w:rsidRPr="006025D1">
            <w:rPr>
              <w:lang w:val="cs-CZ"/>
            </w:rPr>
            <w:t>“). Společnost DTTL (rovněž označovaná jako „</w:t>
          </w:r>
          <w:proofErr w:type="spellStart"/>
          <w:r w:rsidRPr="006025D1">
            <w:rPr>
              <w:lang w:val="cs-CZ"/>
            </w:rPr>
            <w:t>Deloitte</w:t>
          </w:r>
          <w:proofErr w:type="spellEnd"/>
          <w:r w:rsidRPr="006025D1">
            <w:rPr>
              <w:lang w:val="cs-CZ"/>
            </w:rPr>
            <w:t xml:space="preserve"> </w:t>
          </w:r>
          <w:proofErr w:type="spellStart"/>
          <w:r w:rsidRPr="006025D1">
            <w:rPr>
              <w:lang w:val="cs-CZ"/>
            </w:rPr>
            <w:t>Global</w:t>
          </w:r>
          <w:proofErr w:type="spellEnd"/>
          <w:r w:rsidRPr="006025D1">
            <w:rPr>
              <w:lang w:val="cs-CZ"/>
            </w:rPr>
            <w:t>“) a každá z jejích členských firem a jejich přidružených subjektů je samostatným a</w:t>
          </w:r>
          <w:r>
            <w:rPr>
              <w:lang w:val="cs-CZ"/>
            </w:rPr>
            <w:t> </w:t>
          </w:r>
          <w:r w:rsidRPr="006025D1">
            <w:rPr>
              <w:lang w:val="cs-CZ"/>
            </w:rPr>
            <w:t>nezávislým právním subjektem, který není oprávněn zavazovat nebo přijímat závazky za jinou z těchto členských firem a jejich přidružených subjektů ve vztahu k</w:t>
          </w:r>
          <w:r>
            <w:rPr>
              <w:lang w:val="cs-CZ"/>
            </w:rPr>
            <w:t> </w:t>
          </w:r>
          <w:r w:rsidRPr="006025D1">
            <w:rPr>
              <w:lang w:val="cs-CZ"/>
            </w:rPr>
            <w:t>třetím stranám. Společnost DTTL, a každá členská firma a přidružený subjekt nesou odpovědnost pouze za vlastní jednání či pochybení, nikoli za jednání či pochybení jiných členských firem či přidružených subjektů. Společnost DTTL služby klientům neposkytuje. Více informací je najdete na adrese www.deloitte.com/</w:t>
          </w:r>
          <w:proofErr w:type="spellStart"/>
          <w:r w:rsidRPr="006025D1">
            <w:rPr>
              <w:lang w:val="cs-CZ"/>
            </w:rPr>
            <w:t>about</w:t>
          </w:r>
          <w:proofErr w:type="spellEnd"/>
          <w:r w:rsidRPr="006025D1">
            <w:rPr>
              <w:lang w:val="cs-CZ"/>
            </w:rPr>
            <w:t>.</w:t>
          </w:r>
        </w:p>
      </w:tc>
    </w:tr>
  </w:tbl>
  <w:p w14:paraId="07BF7255" w14:textId="77777777" w:rsidR="00235E99" w:rsidRDefault="00235E99" w:rsidP="00E31921">
    <w:pPr>
      <w:pStyle w:val="Zpat"/>
      <w:rPr>
        <w:lang w:val="cs-CZ"/>
      </w:rPr>
    </w:pPr>
  </w:p>
  <w:p w14:paraId="5691E48B" w14:textId="77777777" w:rsidR="009176E5" w:rsidRPr="001B0AC1" w:rsidRDefault="009176E5" w:rsidP="00E31921">
    <w:pPr>
      <w:pStyle w:val="Zpat"/>
      <w:rPr>
        <w:lang w:val="cs-CZ"/>
      </w:rPr>
    </w:pPr>
    <w:proofErr w:type="spellStart"/>
    <w:r w:rsidRPr="009176E5">
      <w:rPr>
        <w:lang w:val="cs-CZ"/>
      </w:rPr>
      <w:t>Deloitte</w:t>
    </w:r>
    <w:proofErr w:type="spellEnd"/>
    <w:r w:rsidRPr="009176E5">
      <w:rPr>
        <w:lang w:val="cs-CZ"/>
      </w:rPr>
      <w:t xml:space="preserve"> </w:t>
    </w:r>
    <w:proofErr w:type="spellStart"/>
    <w:r w:rsidRPr="009176E5">
      <w:rPr>
        <w:lang w:val="cs-CZ"/>
      </w:rPr>
      <w:t>Legal</w:t>
    </w:r>
    <w:proofErr w:type="spellEnd"/>
    <w:r w:rsidRPr="009176E5">
      <w:rPr>
        <w:lang w:val="cs-CZ"/>
      </w:rPr>
      <w:t xml:space="preserve"> ve střední Evropě: </w:t>
    </w:r>
    <w:proofErr w:type="spellStart"/>
    <w:r w:rsidR="002C70E8" w:rsidRPr="002C70E8">
      <w:rPr>
        <w:lang w:val="cs-CZ"/>
      </w:rPr>
      <w:t>Banja</w:t>
    </w:r>
    <w:proofErr w:type="spellEnd"/>
    <w:r w:rsidR="002C70E8" w:rsidRPr="002C70E8">
      <w:rPr>
        <w:lang w:val="cs-CZ"/>
      </w:rPr>
      <w:t xml:space="preserve"> Luka, Bělehrad, Bratislava, Brno, Budapešť, Bukurešť, Kluž, Debrecín, Gdaňsk, Hradec Králové, Katovice, Košice, Krakov, Lublaň, Lodž, Ostrava, Plzeň, </w:t>
    </w:r>
    <w:proofErr w:type="spellStart"/>
    <w:r w:rsidR="002C70E8" w:rsidRPr="002C70E8">
      <w:rPr>
        <w:lang w:val="cs-CZ"/>
      </w:rPr>
      <w:t>Podgorica</w:t>
    </w:r>
    <w:proofErr w:type="spellEnd"/>
    <w:r w:rsidR="002C70E8" w:rsidRPr="002C70E8">
      <w:rPr>
        <w:lang w:val="cs-CZ"/>
      </w:rPr>
      <w:t xml:space="preserve">, Poznaň, Praha, </w:t>
    </w:r>
    <w:proofErr w:type="spellStart"/>
    <w:r w:rsidR="002C70E8" w:rsidRPr="002C70E8">
      <w:rPr>
        <w:lang w:val="cs-CZ"/>
      </w:rPr>
      <w:t>Priština</w:t>
    </w:r>
    <w:proofErr w:type="spellEnd"/>
    <w:r w:rsidR="002C70E8" w:rsidRPr="002C70E8">
      <w:rPr>
        <w:lang w:val="cs-CZ"/>
      </w:rPr>
      <w:t xml:space="preserve">, Riga, </w:t>
    </w:r>
    <w:proofErr w:type="spellStart"/>
    <w:r w:rsidR="002C70E8" w:rsidRPr="002C70E8">
      <w:rPr>
        <w:lang w:val="cs-CZ"/>
      </w:rPr>
      <w:t>Řešov</w:t>
    </w:r>
    <w:proofErr w:type="spellEnd"/>
    <w:r w:rsidR="002C70E8" w:rsidRPr="002C70E8">
      <w:rPr>
        <w:lang w:val="cs-CZ"/>
      </w:rPr>
      <w:t>, Sarajevo, Skopje, Sofie, Štětín, Temešvár, Tirana, Vilnius, Varšava, Vratislav, Záhřeb, Žilina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5E73D" w14:textId="77777777" w:rsidR="00D46B26" w:rsidRDefault="00D46B26" w:rsidP="00C702C7">
      <w:pPr>
        <w:spacing w:line="240" w:lineRule="auto"/>
      </w:pPr>
      <w:r>
        <w:separator/>
      </w:r>
    </w:p>
  </w:footnote>
  <w:footnote w:type="continuationSeparator" w:id="0">
    <w:p w14:paraId="74A7F33C" w14:textId="77777777" w:rsidR="00D46B26" w:rsidRDefault="00D46B26" w:rsidP="00C702C7">
      <w:pPr>
        <w:spacing w:line="240" w:lineRule="auto"/>
      </w:pPr>
      <w:r>
        <w:continuationSeparator/>
      </w:r>
    </w:p>
  </w:footnote>
  <w:footnote w:id="1">
    <w:p w14:paraId="4314803F" w14:textId="77777777" w:rsidR="00745C9A" w:rsidRPr="008F4699" w:rsidRDefault="00745C9A" w:rsidP="00745C9A">
      <w:pPr>
        <w:pStyle w:val="Textpoznpodarou"/>
        <w:rPr>
          <w:lang w:val="cs-CZ"/>
        </w:rPr>
      </w:pPr>
      <w:r w:rsidRPr="008F4699">
        <w:rPr>
          <w:rStyle w:val="Znakapoznpodarou"/>
          <w:lang w:val="cs-CZ"/>
        </w:rPr>
        <w:footnoteRef/>
      </w:r>
      <w:r w:rsidRPr="008F4699">
        <w:rPr>
          <w:lang w:val="cs-CZ"/>
        </w:rPr>
        <w:t xml:space="preserve"> § 347a zákona č. 40/2009 Sb., trestní zákoník, ve znění pozdějších předpisů.</w:t>
      </w:r>
    </w:p>
  </w:footnote>
  <w:footnote w:id="2">
    <w:p w14:paraId="0488D73E" w14:textId="77777777" w:rsidR="00745C9A" w:rsidRPr="007043DA" w:rsidRDefault="00745C9A" w:rsidP="00745C9A">
      <w:pPr>
        <w:pStyle w:val="Textpoznpodarou"/>
        <w:rPr>
          <w:lang w:val="cs-CZ"/>
        </w:rPr>
      </w:pPr>
      <w:r w:rsidRPr="008F4699">
        <w:rPr>
          <w:rStyle w:val="Znakapoznpodarou"/>
          <w:lang w:val="cs-CZ"/>
        </w:rPr>
        <w:footnoteRef/>
      </w:r>
      <w:r w:rsidRPr="008F4699">
        <w:rPr>
          <w:lang w:val="cs-CZ"/>
        </w:rPr>
        <w:t xml:space="preserve"> </w:t>
      </w:r>
      <w:r w:rsidRPr="008F4699">
        <w:rPr>
          <w:rFonts w:eastAsiaTheme="majorEastAsia"/>
          <w:lang w:val="cs-CZ"/>
        </w:rPr>
        <w:t xml:space="preserve">Členové </w:t>
      </w:r>
      <w:proofErr w:type="spellStart"/>
      <w:r w:rsidRPr="008F4699">
        <w:rPr>
          <w:rFonts w:eastAsiaTheme="majorEastAsia"/>
          <w:lang w:val="cs-CZ"/>
        </w:rPr>
        <w:t>Deloitte</w:t>
      </w:r>
      <w:proofErr w:type="spellEnd"/>
      <w:r w:rsidRPr="008F4699">
        <w:rPr>
          <w:rFonts w:eastAsiaTheme="majorEastAsia"/>
          <w:lang w:val="cs-CZ"/>
        </w:rPr>
        <w:t xml:space="preserve"> znamená </w:t>
      </w:r>
      <w:proofErr w:type="spellStart"/>
      <w:r w:rsidRPr="008F4699">
        <w:rPr>
          <w:rFonts w:eastAsiaTheme="majorEastAsia"/>
          <w:lang w:val="cs-CZ"/>
        </w:rPr>
        <w:t>Deloitte</w:t>
      </w:r>
      <w:proofErr w:type="spellEnd"/>
      <w:r w:rsidRPr="008F4699">
        <w:rPr>
          <w:rFonts w:eastAsiaTheme="majorEastAsia"/>
          <w:lang w:val="cs-CZ"/>
        </w:rPr>
        <w:t xml:space="preserve"> </w:t>
      </w:r>
      <w:proofErr w:type="spellStart"/>
      <w:r w:rsidRPr="008F4699">
        <w:rPr>
          <w:rFonts w:eastAsiaTheme="majorEastAsia"/>
          <w:lang w:val="cs-CZ"/>
        </w:rPr>
        <w:t>Touche</w:t>
      </w:r>
      <w:proofErr w:type="spellEnd"/>
      <w:r w:rsidRPr="008F4699">
        <w:rPr>
          <w:rFonts w:eastAsiaTheme="majorEastAsia"/>
          <w:lang w:val="cs-CZ"/>
        </w:rPr>
        <w:t xml:space="preserve"> </w:t>
      </w:r>
      <w:proofErr w:type="spellStart"/>
      <w:r w:rsidRPr="008F4699">
        <w:rPr>
          <w:rFonts w:eastAsiaTheme="majorEastAsia"/>
          <w:lang w:val="cs-CZ"/>
        </w:rPr>
        <w:t>Tohmatsu</w:t>
      </w:r>
      <w:proofErr w:type="spellEnd"/>
      <w:r w:rsidRPr="008F4699">
        <w:rPr>
          <w:rFonts w:eastAsiaTheme="majorEastAsia"/>
          <w:lang w:val="cs-CZ"/>
        </w:rPr>
        <w:t xml:space="preserve"> Limited („DTTL“), britskou společnost s ručením omezeným, síť jejích členských firem a jejich dceřiných a přidružených společností, jejich předchůdce, nástupce a nabyvatele jejich práv a všechny partnery, vedoucí pracovníky, členy, vlastníky, ředitele, zaměstnance, subdodavatele a zástupce všech těchto subjektů. Každá členská firma DTTL je samostatná a nezávislá právní entita působící pod názvy „</w:t>
      </w:r>
      <w:proofErr w:type="spellStart"/>
      <w:r w:rsidRPr="008F4699">
        <w:rPr>
          <w:rFonts w:eastAsiaTheme="majorEastAsia"/>
          <w:lang w:val="cs-CZ"/>
        </w:rPr>
        <w:t>Deloitte</w:t>
      </w:r>
      <w:proofErr w:type="spellEnd"/>
      <w:r w:rsidRPr="008F4699">
        <w:rPr>
          <w:rFonts w:eastAsiaTheme="majorEastAsia"/>
          <w:lang w:val="cs-CZ"/>
        </w:rPr>
        <w:t>“, „</w:t>
      </w:r>
      <w:proofErr w:type="spellStart"/>
      <w:r w:rsidRPr="008F4699">
        <w:rPr>
          <w:rFonts w:eastAsiaTheme="majorEastAsia"/>
          <w:lang w:val="cs-CZ"/>
        </w:rPr>
        <w:t>Deloitte</w:t>
      </w:r>
      <w:proofErr w:type="spellEnd"/>
      <w:r w:rsidRPr="008F4699">
        <w:rPr>
          <w:rFonts w:eastAsiaTheme="majorEastAsia"/>
          <w:lang w:val="cs-CZ"/>
        </w:rPr>
        <w:t xml:space="preserve"> &amp; </w:t>
      </w:r>
      <w:proofErr w:type="spellStart"/>
      <w:r w:rsidRPr="008F4699">
        <w:rPr>
          <w:rFonts w:eastAsiaTheme="majorEastAsia"/>
          <w:lang w:val="cs-CZ"/>
        </w:rPr>
        <w:t>Touche</w:t>
      </w:r>
      <w:proofErr w:type="spellEnd"/>
      <w:r w:rsidRPr="008F4699">
        <w:rPr>
          <w:rFonts w:eastAsiaTheme="majorEastAsia"/>
          <w:lang w:val="cs-CZ"/>
        </w:rPr>
        <w:t>“, „</w:t>
      </w:r>
      <w:proofErr w:type="spellStart"/>
      <w:r w:rsidRPr="008F4699">
        <w:rPr>
          <w:rFonts w:eastAsiaTheme="majorEastAsia"/>
          <w:lang w:val="cs-CZ"/>
        </w:rPr>
        <w:t>Deloitte</w:t>
      </w:r>
      <w:proofErr w:type="spellEnd"/>
      <w:r w:rsidRPr="008F4699">
        <w:rPr>
          <w:rFonts w:eastAsiaTheme="majorEastAsia"/>
          <w:lang w:val="cs-CZ"/>
        </w:rPr>
        <w:t xml:space="preserve"> </w:t>
      </w:r>
      <w:proofErr w:type="spellStart"/>
      <w:r w:rsidRPr="008F4699">
        <w:rPr>
          <w:rFonts w:eastAsiaTheme="majorEastAsia"/>
          <w:lang w:val="cs-CZ"/>
        </w:rPr>
        <w:t>Touche</w:t>
      </w:r>
      <w:proofErr w:type="spellEnd"/>
      <w:r w:rsidRPr="008F4699">
        <w:rPr>
          <w:rFonts w:eastAsiaTheme="majorEastAsia"/>
          <w:lang w:val="cs-CZ"/>
        </w:rPr>
        <w:t xml:space="preserve"> </w:t>
      </w:r>
      <w:proofErr w:type="spellStart"/>
      <w:r w:rsidRPr="008F4699">
        <w:rPr>
          <w:rFonts w:eastAsiaTheme="majorEastAsia"/>
          <w:lang w:val="cs-CZ"/>
        </w:rPr>
        <w:t>Tohmatsu</w:t>
      </w:r>
      <w:proofErr w:type="spellEnd"/>
      <w:r w:rsidRPr="008F4699">
        <w:rPr>
          <w:rFonts w:eastAsiaTheme="majorEastAsia"/>
          <w:lang w:val="cs-CZ"/>
        </w:rPr>
        <w:t xml:space="preserve">“ nebo pod jinými podobnými jmény.  DTTL ani jakákoliv jiná členská firma DTTL vyjma, je-li tak výslovně uvedeno v těchto smluvních podmínkách, nenese žádnou odpovědnost za jednání či opomenutí ostatních členů </w:t>
      </w:r>
      <w:proofErr w:type="spellStart"/>
      <w:r w:rsidRPr="008F4699">
        <w:rPr>
          <w:rFonts w:eastAsiaTheme="majorEastAsia"/>
          <w:lang w:val="cs-CZ"/>
        </w:rPr>
        <w:t>Deloitte</w:t>
      </w:r>
      <w:proofErr w:type="spellEnd"/>
      <w:r w:rsidRPr="008F4699">
        <w:rPr>
          <w:rFonts w:eastAsiaTheme="majorEastAsia"/>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483E2" w14:textId="77777777" w:rsidR="00C91E9C" w:rsidRDefault="00C91E9C">
    <w:pPr>
      <w:pStyle w:val="Zhlav"/>
    </w:pPr>
    <w:r>
      <w:rPr>
        <w:noProof/>
        <w:lang w:val="cs-CZ" w:eastAsia="cs-CZ"/>
      </w:rPr>
      <w:drawing>
        <wp:anchor distT="0" distB="0" distL="114300" distR="114300" simplePos="0" relativeHeight="251660288" behindDoc="0" locked="1" layoutInCell="1" allowOverlap="1" wp14:anchorId="772932F3" wp14:editId="02949A2E">
          <wp:simplePos x="0" y="0"/>
          <wp:positionH relativeFrom="page">
            <wp:posOffset>791845</wp:posOffset>
          </wp:positionH>
          <wp:positionV relativeFrom="page">
            <wp:posOffset>360045</wp:posOffset>
          </wp:positionV>
          <wp:extent cx="1152000" cy="2160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oitte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21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4181E" w14:textId="77777777" w:rsidR="002823F1" w:rsidRDefault="000A53E2">
    <w:pPr>
      <w:pStyle w:val="Zhlav"/>
    </w:pPr>
    <w:r>
      <w:rPr>
        <w:noProof/>
        <w:lang w:val="cs-CZ" w:eastAsia="cs-CZ"/>
      </w:rPr>
      <w:drawing>
        <wp:anchor distT="0" distB="0" distL="114300" distR="114300" simplePos="0" relativeHeight="251658240" behindDoc="0" locked="1" layoutInCell="1" allowOverlap="1" wp14:anchorId="05638A4F" wp14:editId="56BDBCA8">
          <wp:simplePos x="0" y="0"/>
          <wp:positionH relativeFrom="page">
            <wp:posOffset>792480</wp:posOffset>
          </wp:positionH>
          <wp:positionV relativeFrom="page">
            <wp:posOffset>363220</wp:posOffset>
          </wp:positionV>
          <wp:extent cx="1871980" cy="866775"/>
          <wp:effectExtent l="0" t="0" r="0" b="952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871980" cy="866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62020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525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921B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D42924"/>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747658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32BD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94BD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C6DCC4"/>
    <w:lvl w:ilvl="0">
      <w:start w:val="1"/>
      <w:numFmt w:val="bullet"/>
      <w:pStyle w:val="Seznamsodrkami2"/>
      <w:lvlText w:val="‒"/>
      <w:lvlJc w:val="left"/>
      <w:pPr>
        <w:ind w:left="587" w:hanging="360"/>
      </w:pPr>
      <w:rPr>
        <w:rFonts w:ascii="Calibri" w:hAnsi="Calibri" w:hint="default"/>
      </w:rPr>
    </w:lvl>
  </w:abstractNum>
  <w:abstractNum w:abstractNumId="8" w15:restartNumberingAfterBreak="0">
    <w:nsid w:val="FFFFFF88"/>
    <w:multiLevelType w:val="singleLevel"/>
    <w:tmpl w:val="F716B3DA"/>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616CC856"/>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3459AB"/>
    <w:multiLevelType w:val="hybridMultilevel"/>
    <w:tmpl w:val="6574A6A2"/>
    <w:lvl w:ilvl="0" w:tplc="D0CA4B2A">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3810DE4"/>
    <w:multiLevelType w:val="multilevel"/>
    <w:tmpl w:val="93EA065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8A41A58"/>
    <w:multiLevelType w:val="hybridMultilevel"/>
    <w:tmpl w:val="25C44A0C"/>
    <w:lvl w:ilvl="0" w:tplc="40FC92DA">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4C0937"/>
    <w:multiLevelType w:val="hybridMultilevel"/>
    <w:tmpl w:val="8B80535A"/>
    <w:lvl w:ilvl="0" w:tplc="622A4856">
      <w:start w:val="1"/>
      <w:numFmt w:val="bullet"/>
      <w:lvlText w:val="−"/>
      <w:lvlJc w:val="left"/>
      <w:pPr>
        <w:ind w:left="1576" w:hanging="360"/>
      </w:pPr>
      <w:rPr>
        <w:rFonts w:ascii="Verdana" w:hAnsi="Verdana" w:hint="default"/>
      </w:rPr>
    </w:lvl>
    <w:lvl w:ilvl="1" w:tplc="04050003" w:tentative="1">
      <w:start w:val="1"/>
      <w:numFmt w:val="bullet"/>
      <w:lvlText w:val="o"/>
      <w:lvlJc w:val="left"/>
      <w:pPr>
        <w:ind w:left="2296" w:hanging="360"/>
      </w:pPr>
      <w:rPr>
        <w:rFonts w:ascii="Courier New" w:hAnsi="Courier New" w:cs="Courier New" w:hint="default"/>
      </w:rPr>
    </w:lvl>
    <w:lvl w:ilvl="2" w:tplc="04050005" w:tentative="1">
      <w:start w:val="1"/>
      <w:numFmt w:val="bullet"/>
      <w:lvlText w:val=""/>
      <w:lvlJc w:val="left"/>
      <w:pPr>
        <w:ind w:left="3016" w:hanging="360"/>
      </w:pPr>
      <w:rPr>
        <w:rFonts w:ascii="Wingdings" w:hAnsi="Wingdings" w:hint="default"/>
      </w:rPr>
    </w:lvl>
    <w:lvl w:ilvl="3" w:tplc="04050001" w:tentative="1">
      <w:start w:val="1"/>
      <w:numFmt w:val="bullet"/>
      <w:lvlText w:val=""/>
      <w:lvlJc w:val="left"/>
      <w:pPr>
        <w:ind w:left="3736" w:hanging="360"/>
      </w:pPr>
      <w:rPr>
        <w:rFonts w:ascii="Symbol" w:hAnsi="Symbol" w:hint="default"/>
      </w:rPr>
    </w:lvl>
    <w:lvl w:ilvl="4" w:tplc="04050003" w:tentative="1">
      <w:start w:val="1"/>
      <w:numFmt w:val="bullet"/>
      <w:lvlText w:val="o"/>
      <w:lvlJc w:val="left"/>
      <w:pPr>
        <w:ind w:left="4456" w:hanging="360"/>
      </w:pPr>
      <w:rPr>
        <w:rFonts w:ascii="Courier New" w:hAnsi="Courier New" w:cs="Courier New" w:hint="default"/>
      </w:rPr>
    </w:lvl>
    <w:lvl w:ilvl="5" w:tplc="04050005" w:tentative="1">
      <w:start w:val="1"/>
      <w:numFmt w:val="bullet"/>
      <w:lvlText w:val=""/>
      <w:lvlJc w:val="left"/>
      <w:pPr>
        <w:ind w:left="5176" w:hanging="360"/>
      </w:pPr>
      <w:rPr>
        <w:rFonts w:ascii="Wingdings" w:hAnsi="Wingdings" w:hint="default"/>
      </w:rPr>
    </w:lvl>
    <w:lvl w:ilvl="6" w:tplc="04050001" w:tentative="1">
      <w:start w:val="1"/>
      <w:numFmt w:val="bullet"/>
      <w:lvlText w:val=""/>
      <w:lvlJc w:val="left"/>
      <w:pPr>
        <w:ind w:left="5896" w:hanging="360"/>
      </w:pPr>
      <w:rPr>
        <w:rFonts w:ascii="Symbol" w:hAnsi="Symbol" w:hint="default"/>
      </w:rPr>
    </w:lvl>
    <w:lvl w:ilvl="7" w:tplc="04050003" w:tentative="1">
      <w:start w:val="1"/>
      <w:numFmt w:val="bullet"/>
      <w:lvlText w:val="o"/>
      <w:lvlJc w:val="left"/>
      <w:pPr>
        <w:ind w:left="6616" w:hanging="360"/>
      </w:pPr>
      <w:rPr>
        <w:rFonts w:ascii="Courier New" w:hAnsi="Courier New" w:cs="Courier New" w:hint="default"/>
      </w:rPr>
    </w:lvl>
    <w:lvl w:ilvl="8" w:tplc="04050005" w:tentative="1">
      <w:start w:val="1"/>
      <w:numFmt w:val="bullet"/>
      <w:lvlText w:val=""/>
      <w:lvlJc w:val="left"/>
      <w:pPr>
        <w:ind w:left="7336" w:hanging="360"/>
      </w:pPr>
      <w:rPr>
        <w:rFonts w:ascii="Wingdings" w:hAnsi="Wingdings" w:hint="default"/>
      </w:rPr>
    </w:lvl>
  </w:abstractNum>
  <w:abstractNum w:abstractNumId="15" w15:restartNumberingAfterBreak="0">
    <w:nsid w:val="0C3D2015"/>
    <w:multiLevelType w:val="multilevel"/>
    <w:tmpl w:val="FD60D3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EB02634"/>
    <w:multiLevelType w:val="hybridMultilevel"/>
    <w:tmpl w:val="8460EA48"/>
    <w:lvl w:ilvl="0" w:tplc="72EC3CF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B1A6598"/>
    <w:multiLevelType w:val="multilevel"/>
    <w:tmpl w:val="AEEC2F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B943E13"/>
    <w:multiLevelType w:val="hybridMultilevel"/>
    <w:tmpl w:val="2EB09A1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20" w15:restartNumberingAfterBreak="0">
    <w:nsid w:val="1C366BD0"/>
    <w:multiLevelType w:val="multilevel"/>
    <w:tmpl w:val="15F6EE94"/>
    <w:lvl w:ilvl="0">
      <w:start w:val="1"/>
      <w:numFmt w:val="decimal"/>
      <w:lvlText w:val="%1."/>
      <w:lvlJc w:val="left"/>
      <w:pPr>
        <w:ind w:left="20" w:hanging="360"/>
      </w:pPr>
      <w:rPr>
        <w:rFonts w:hint="default"/>
        <w:b w:val="0"/>
        <w:i w:val="0"/>
        <w:color w:val="000000" w:themeColor="text1"/>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21" w15:restartNumberingAfterBreak="0">
    <w:nsid w:val="24E7676A"/>
    <w:multiLevelType w:val="multilevel"/>
    <w:tmpl w:val="3604B8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B395534"/>
    <w:multiLevelType w:val="multilevel"/>
    <w:tmpl w:val="9B605BF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C706E4B"/>
    <w:multiLevelType w:val="hybridMultilevel"/>
    <w:tmpl w:val="5A62C84C"/>
    <w:lvl w:ilvl="0" w:tplc="8BEC6C6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FE2DDD"/>
    <w:multiLevelType w:val="hybridMultilevel"/>
    <w:tmpl w:val="CA628A0A"/>
    <w:lvl w:ilvl="0" w:tplc="0BAC49B2">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247A7D"/>
    <w:multiLevelType w:val="multilevel"/>
    <w:tmpl w:val="DB90AF8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565C15"/>
    <w:multiLevelType w:val="hybridMultilevel"/>
    <w:tmpl w:val="B69E5CF2"/>
    <w:lvl w:ilvl="0" w:tplc="806E79C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741FAE"/>
    <w:multiLevelType w:val="hybridMultilevel"/>
    <w:tmpl w:val="11E83358"/>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8" w15:restartNumberingAfterBreak="0">
    <w:nsid w:val="4771028C"/>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29"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B3C439B"/>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31"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A4744F"/>
    <w:multiLevelType w:val="multilevel"/>
    <w:tmpl w:val="0FEAC8AA"/>
    <w:lvl w:ilvl="0">
      <w:start w:val="1"/>
      <w:numFmt w:val="upperRoman"/>
      <w:pStyle w:val="smlouvaheading1"/>
      <w:lvlText w:val="%1."/>
      <w:lvlJc w:val="left"/>
      <w:pPr>
        <w:ind w:left="360" w:hanging="360"/>
      </w:pPr>
      <w:rPr>
        <w:rFonts w:ascii="Verdana" w:hAnsi="Verdana" w:cs="Times New Roman" w:hint="default"/>
        <w:b/>
        <w:bCs w:val="0"/>
        <w:i w:val="0"/>
        <w:iCs w:val="0"/>
        <w:caps w:val="0"/>
        <w:smallCaps w:val="0"/>
        <w:strike w:val="0"/>
        <w:dstrike w:val="0"/>
        <w:outline w:val="0"/>
        <w:shadow w:val="0"/>
        <w:emboss w:val="0"/>
        <w:imprint w:val="0"/>
        <w:noProof w:val="0"/>
        <w:vanish w:val="0"/>
        <w:spacing w:val="0"/>
        <w:kern w:val="0"/>
        <w:position w:val="0"/>
        <w:sz w:val="17"/>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mlouvaheading2"/>
      <w:isLgl/>
      <w:lvlText w:val="%1.%2"/>
      <w:lvlJc w:val="left"/>
      <w:pPr>
        <w:ind w:left="720" w:hanging="720"/>
      </w:pPr>
      <w:rPr>
        <w:rFonts w:ascii="Verdana" w:hAnsi="Verdana" w:cs="Times New Roman" w:hint="default"/>
        <w:b w:val="0"/>
        <w:bCs w:val="0"/>
        <w:i w:val="0"/>
        <w:iCs w:val="0"/>
        <w:caps w:val="0"/>
        <w:smallCaps w:val="0"/>
        <w:strike w:val="0"/>
        <w:dstrike w:val="0"/>
        <w:outline w:val="0"/>
        <w:shadow w:val="0"/>
        <w:emboss w:val="0"/>
        <w:imprint w:val="0"/>
        <w:noProof w:val="0"/>
        <w:vanish w:val="0"/>
        <w:spacing w:val="0"/>
        <w:kern w:val="0"/>
        <w:position w:val="0"/>
        <w:sz w:val="17"/>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mlouvaheading3"/>
      <w:isLgl/>
      <w:lvlText w:val="%1.%2.%3"/>
      <w:lvlJc w:val="left"/>
      <w:pPr>
        <w:ind w:left="1080" w:hanging="1080"/>
      </w:pPr>
      <w:rPr>
        <w:rFonts w:ascii="Verdana" w:hAnsi="Verdana" w:hint="default"/>
        <w:b w:val="0"/>
        <w:i w:val="0"/>
        <w:sz w:val="17"/>
      </w:rPr>
    </w:lvl>
    <w:lvl w:ilvl="3">
      <w:start w:val="1"/>
      <w:numFmt w:val="decimal"/>
      <w:pStyle w:val="smlouvaheading4"/>
      <w:isLgl/>
      <w:lvlText w:val="%1.%2.%3.%4"/>
      <w:lvlJc w:val="left"/>
      <w:pPr>
        <w:ind w:left="1440" w:hanging="1440"/>
      </w:pPr>
      <w:rPr>
        <w:rFonts w:ascii="Verdana" w:hAnsi="Verdana"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04B4943"/>
    <w:multiLevelType w:val="multilevel"/>
    <w:tmpl w:val="A7C8240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2BB4AF4"/>
    <w:multiLevelType w:val="multilevel"/>
    <w:tmpl w:val="30AE080E"/>
    <w:lvl w:ilvl="0">
      <w:start w:val="1"/>
      <w:numFmt w:val="decimal"/>
      <w:pStyle w:val="Nadpis1"/>
      <w:lvlText w:val="%1"/>
      <w:lvlJc w:val="left"/>
      <w:pPr>
        <w:ind w:left="432" w:hanging="432"/>
      </w:pPr>
    </w:lvl>
    <w:lvl w:ilvl="1">
      <w:start w:val="1"/>
      <w:numFmt w:val="decimal"/>
      <w:pStyle w:val="Nadpis2"/>
      <w:lvlText w:val="%1.%2"/>
      <w:lvlJc w:val="left"/>
      <w:pPr>
        <w:ind w:left="860"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E28068C"/>
    <w:multiLevelType w:val="multilevel"/>
    <w:tmpl w:val="148C9DBA"/>
    <w:lvl w:ilvl="0">
      <w:start w:val="1"/>
      <w:numFmt w:val="decimal"/>
      <w:pStyle w:val="Smlouvaheading10"/>
      <w:lvlText w:val="%1"/>
      <w:lvlJc w:val="left"/>
      <w:pPr>
        <w:tabs>
          <w:tab w:val="num" w:pos="425"/>
        </w:tabs>
        <w:ind w:left="425" w:hanging="425"/>
      </w:pPr>
      <w:rPr>
        <w:rFonts w:hint="default"/>
      </w:rPr>
    </w:lvl>
    <w:lvl w:ilvl="1">
      <w:start w:val="1"/>
      <w:numFmt w:val="decimal"/>
      <w:pStyle w:val="Smlouvaheading20"/>
      <w:lvlText w:val="%1.%2"/>
      <w:lvlJc w:val="left"/>
      <w:pPr>
        <w:tabs>
          <w:tab w:val="num" w:pos="851"/>
        </w:tabs>
        <w:ind w:left="851" w:hanging="426"/>
      </w:pPr>
      <w:rPr>
        <w:rFonts w:hint="default"/>
      </w:rPr>
    </w:lvl>
    <w:lvl w:ilvl="2">
      <w:start w:val="1"/>
      <w:numFmt w:val="decimal"/>
      <w:pStyle w:val="Smlouvaheading30"/>
      <w:lvlText w:val="%1.%2.%3"/>
      <w:lvlJc w:val="left"/>
      <w:pPr>
        <w:tabs>
          <w:tab w:val="num" w:pos="1474"/>
        </w:tabs>
        <w:ind w:left="1474" w:hanging="623"/>
      </w:pPr>
      <w:rPr>
        <w:rFonts w:hint="default"/>
      </w:rPr>
    </w:lvl>
    <w:lvl w:ilvl="3">
      <w:start w:val="1"/>
      <w:numFmt w:val="decimal"/>
      <w:pStyle w:val="Smlouvaheading40"/>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8"/>
  </w:num>
  <w:num w:numId="4">
    <w:abstractNumId w:val="3"/>
  </w:num>
  <w:num w:numId="5">
    <w:abstractNumId w:val="23"/>
  </w:num>
  <w:num w:numId="6">
    <w:abstractNumId w:val="30"/>
  </w:num>
  <w:num w:numId="7">
    <w:abstractNumId w:val="30"/>
    <w:lvlOverride w:ilvl="0">
      <w:startOverride w:val="1"/>
    </w:lvlOverride>
  </w:num>
  <w:num w:numId="8">
    <w:abstractNumId w:val="28"/>
  </w:num>
  <w:num w:numId="9">
    <w:abstractNumId w:val="29"/>
  </w:num>
  <w:num w:numId="10">
    <w:abstractNumId w:val="17"/>
  </w:num>
  <w:num w:numId="11">
    <w:abstractNumId w:val="20"/>
  </w:num>
  <w:num w:numId="12">
    <w:abstractNumId w:val="31"/>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2"/>
  </w:num>
  <w:num w:numId="17">
    <w:abstractNumId w:val="26"/>
  </w:num>
  <w:num w:numId="18">
    <w:abstractNumId w:val="16"/>
  </w:num>
  <w:num w:numId="19">
    <w:abstractNumId w:val="35"/>
  </w:num>
  <w:num w:numId="20">
    <w:abstractNumId w:val="35"/>
  </w:num>
  <w:num w:numId="21">
    <w:abstractNumId w:val="35"/>
  </w:num>
  <w:num w:numId="22">
    <w:abstractNumId w:val="35"/>
  </w:num>
  <w:num w:numId="23">
    <w:abstractNumId w:val="35"/>
  </w:num>
  <w:num w:numId="24">
    <w:abstractNumId w:val="36"/>
  </w:num>
  <w:num w:numId="25">
    <w:abstractNumId w:val="36"/>
  </w:num>
  <w:num w:numId="26">
    <w:abstractNumId w:val="36"/>
  </w:num>
  <w:num w:numId="27">
    <w:abstractNumId w:val="36"/>
  </w:num>
  <w:num w:numId="28">
    <w:abstractNumId w:val="24"/>
  </w:num>
  <w:num w:numId="29">
    <w:abstractNumId w:val="10"/>
  </w:num>
  <w:num w:numId="30">
    <w:abstractNumId w:val="24"/>
  </w:num>
  <w:num w:numId="31">
    <w:abstractNumId w:val="10"/>
  </w:num>
  <w:num w:numId="32">
    <w:abstractNumId w:val="25"/>
  </w:num>
  <w:num w:numId="33">
    <w:abstractNumId w:val="11"/>
  </w:num>
  <w:num w:numId="34">
    <w:abstractNumId w:val="34"/>
  </w:num>
  <w:num w:numId="35">
    <w:abstractNumId w:val="15"/>
  </w:num>
  <w:num w:numId="36">
    <w:abstractNumId w:val="18"/>
  </w:num>
  <w:num w:numId="37">
    <w:abstractNumId w:val="21"/>
  </w:num>
  <w:num w:numId="38">
    <w:abstractNumId w:val="6"/>
  </w:num>
  <w:num w:numId="39">
    <w:abstractNumId w:val="5"/>
  </w:num>
  <w:num w:numId="40">
    <w:abstractNumId w:val="4"/>
  </w:num>
  <w:num w:numId="41">
    <w:abstractNumId w:val="2"/>
  </w:num>
  <w:num w:numId="42">
    <w:abstractNumId w:val="1"/>
  </w:num>
  <w:num w:numId="43">
    <w:abstractNumId w:val="0"/>
  </w:num>
  <w:num w:numId="44">
    <w:abstractNumId w:val="32"/>
  </w:num>
  <w:num w:numId="45">
    <w:abstractNumId w:val="19"/>
  </w:num>
  <w:num w:numId="46">
    <w:abstractNumId w:val="14"/>
  </w:num>
  <w:num w:numId="47">
    <w:abstractNumId w:val="27"/>
  </w:num>
  <w:num w:numId="48">
    <w:abstractNumId w:val="1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6FC"/>
    <w:rsid w:val="000005FE"/>
    <w:rsid w:val="000131A3"/>
    <w:rsid w:val="00014B89"/>
    <w:rsid w:val="00021A39"/>
    <w:rsid w:val="00025E7D"/>
    <w:rsid w:val="00037C17"/>
    <w:rsid w:val="0004031D"/>
    <w:rsid w:val="000429AC"/>
    <w:rsid w:val="00042B6A"/>
    <w:rsid w:val="00042B99"/>
    <w:rsid w:val="000621C4"/>
    <w:rsid w:val="000637A6"/>
    <w:rsid w:val="00066BBA"/>
    <w:rsid w:val="00071509"/>
    <w:rsid w:val="00071830"/>
    <w:rsid w:val="00083DD5"/>
    <w:rsid w:val="000A0C21"/>
    <w:rsid w:val="000A53E2"/>
    <w:rsid w:val="000A75A1"/>
    <w:rsid w:val="000A7855"/>
    <w:rsid w:val="000B7D0A"/>
    <w:rsid w:val="000C1D10"/>
    <w:rsid w:val="000C20BD"/>
    <w:rsid w:val="000C5EA5"/>
    <w:rsid w:val="000D2DE0"/>
    <w:rsid w:val="000F5872"/>
    <w:rsid w:val="000F5C22"/>
    <w:rsid w:val="0010462B"/>
    <w:rsid w:val="001108A1"/>
    <w:rsid w:val="00120DEC"/>
    <w:rsid w:val="00123AD3"/>
    <w:rsid w:val="00130191"/>
    <w:rsid w:val="00131F8B"/>
    <w:rsid w:val="00166099"/>
    <w:rsid w:val="001708B9"/>
    <w:rsid w:val="00170B64"/>
    <w:rsid w:val="0017280D"/>
    <w:rsid w:val="001757CE"/>
    <w:rsid w:val="00180BDA"/>
    <w:rsid w:val="0018108F"/>
    <w:rsid w:val="00186FC8"/>
    <w:rsid w:val="001975EF"/>
    <w:rsid w:val="0019765A"/>
    <w:rsid w:val="001A44A3"/>
    <w:rsid w:val="001A45CF"/>
    <w:rsid w:val="001B0AC1"/>
    <w:rsid w:val="001B5C19"/>
    <w:rsid w:val="001C2B4C"/>
    <w:rsid w:val="001D03A7"/>
    <w:rsid w:val="001E1101"/>
    <w:rsid w:val="001E3E66"/>
    <w:rsid w:val="001E7D3E"/>
    <w:rsid w:val="001F61B8"/>
    <w:rsid w:val="002154F3"/>
    <w:rsid w:val="00216CF6"/>
    <w:rsid w:val="00220CCF"/>
    <w:rsid w:val="00221BC7"/>
    <w:rsid w:val="00231B44"/>
    <w:rsid w:val="002340B6"/>
    <w:rsid w:val="00234BA2"/>
    <w:rsid w:val="00235E99"/>
    <w:rsid w:val="002401B1"/>
    <w:rsid w:val="00253D2A"/>
    <w:rsid w:val="00255D53"/>
    <w:rsid w:val="00262449"/>
    <w:rsid w:val="002823F1"/>
    <w:rsid w:val="00291EC5"/>
    <w:rsid w:val="00297214"/>
    <w:rsid w:val="002B5014"/>
    <w:rsid w:val="002C2687"/>
    <w:rsid w:val="002C5FEA"/>
    <w:rsid w:val="002C690A"/>
    <w:rsid w:val="002C70E8"/>
    <w:rsid w:val="002C7628"/>
    <w:rsid w:val="002D41F7"/>
    <w:rsid w:val="002D43A9"/>
    <w:rsid w:val="002E1C00"/>
    <w:rsid w:val="002E284E"/>
    <w:rsid w:val="002E7099"/>
    <w:rsid w:val="002F2771"/>
    <w:rsid w:val="00307CBA"/>
    <w:rsid w:val="003121C1"/>
    <w:rsid w:val="0032373B"/>
    <w:rsid w:val="00327E21"/>
    <w:rsid w:val="00337680"/>
    <w:rsid w:val="0034140E"/>
    <w:rsid w:val="00350C8D"/>
    <w:rsid w:val="00357E4F"/>
    <w:rsid w:val="0036143F"/>
    <w:rsid w:val="00364CD7"/>
    <w:rsid w:val="00375EB8"/>
    <w:rsid w:val="00377AE4"/>
    <w:rsid w:val="003863C7"/>
    <w:rsid w:val="0039181B"/>
    <w:rsid w:val="003944CF"/>
    <w:rsid w:val="00396D86"/>
    <w:rsid w:val="003B6688"/>
    <w:rsid w:val="003C12AF"/>
    <w:rsid w:val="003C4DE4"/>
    <w:rsid w:val="003E138D"/>
    <w:rsid w:val="003E1820"/>
    <w:rsid w:val="003E733F"/>
    <w:rsid w:val="003F530A"/>
    <w:rsid w:val="003F61E1"/>
    <w:rsid w:val="00404297"/>
    <w:rsid w:val="004052BC"/>
    <w:rsid w:val="004124D0"/>
    <w:rsid w:val="00412EA0"/>
    <w:rsid w:val="004136FC"/>
    <w:rsid w:val="004171D2"/>
    <w:rsid w:val="0044558B"/>
    <w:rsid w:val="004509E3"/>
    <w:rsid w:val="00451AD9"/>
    <w:rsid w:val="004700BF"/>
    <w:rsid w:val="0047297D"/>
    <w:rsid w:val="00473614"/>
    <w:rsid w:val="0047631C"/>
    <w:rsid w:val="004860A3"/>
    <w:rsid w:val="004A0DCC"/>
    <w:rsid w:val="004D3883"/>
    <w:rsid w:val="004D49FC"/>
    <w:rsid w:val="004F47B4"/>
    <w:rsid w:val="004F4A4B"/>
    <w:rsid w:val="00501EFF"/>
    <w:rsid w:val="005124BC"/>
    <w:rsid w:val="00516780"/>
    <w:rsid w:val="005270F9"/>
    <w:rsid w:val="00532745"/>
    <w:rsid w:val="00543BA8"/>
    <w:rsid w:val="00563C6F"/>
    <w:rsid w:val="00573556"/>
    <w:rsid w:val="00573D2F"/>
    <w:rsid w:val="0057576B"/>
    <w:rsid w:val="00576845"/>
    <w:rsid w:val="005843DE"/>
    <w:rsid w:val="0059682F"/>
    <w:rsid w:val="005A61ED"/>
    <w:rsid w:val="005B6B53"/>
    <w:rsid w:val="005C7803"/>
    <w:rsid w:val="005D5512"/>
    <w:rsid w:val="005E5796"/>
    <w:rsid w:val="005F3313"/>
    <w:rsid w:val="005F525A"/>
    <w:rsid w:val="005F54F5"/>
    <w:rsid w:val="005F74C0"/>
    <w:rsid w:val="0060202A"/>
    <w:rsid w:val="006025D1"/>
    <w:rsid w:val="00605199"/>
    <w:rsid w:val="0061252C"/>
    <w:rsid w:val="00620C38"/>
    <w:rsid w:val="006230F2"/>
    <w:rsid w:val="00624C5E"/>
    <w:rsid w:val="006258D3"/>
    <w:rsid w:val="006415AC"/>
    <w:rsid w:val="00671EC0"/>
    <w:rsid w:val="00676F48"/>
    <w:rsid w:val="0067719C"/>
    <w:rsid w:val="00686056"/>
    <w:rsid w:val="0069718C"/>
    <w:rsid w:val="006977B5"/>
    <w:rsid w:val="006A473D"/>
    <w:rsid w:val="006B16E0"/>
    <w:rsid w:val="006B4816"/>
    <w:rsid w:val="006B6E89"/>
    <w:rsid w:val="006C5AD3"/>
    <w:rsid w:val="006C617F"/>
    <w:rsid w:val="006D6A17"/>
    <w:rsid w:val="00703CBC"/>
    <w:rsid w:val="007043DA"/>
    <w:rsid w:val="00716570"/>
    <w:rsid w:val="007172D9"/>
    <w:rsid w:val="00720888"/>
    <w:rsid w:val="007209E0"/>
    <w:rsid w:val="007223F2"/>
    <w:rsid w:val="0072746D"/>
    <w:rsid w:val="00731008"/>
    <w:rsid w:val="00734C1B"/>
    <w:rsid w:val="00745C9A"/>
    <w:rsid w:val="007516F0"/>
    <w:rsid w:val="00753A99"/>
    <w:rsid w:val="0076614E"/>
    <w:rsid w:val="0078735E"/>
    <w:rsid w:val="0079305A"/>
    <w:rsid w:val="007B2FB1"/>
    <w:rsid w:val="007C008A"/>
    <w:rsid w:val="007C10B3"/>
    <w:rsid w:val="007C7944"/>
    <w:rsid w:val="007D56EA"/>
    <w:rsid w:val="007E03C0"/>
    <w:rsid w:val="007E2836"/>
    <w:rsid w:val="007E568A"/>
    <w:rsid w:val="007F287C"/>
    <w:rsid w:val="007F4828"/>
    <w:rsid w:val="00813DBC"/>
    <w:rsid w:val="00813F7A"/>
    <w:rsid w:val="00816FB6"/>
    <w:rsid w:val="00822FC7"/>
    <w:rsid w:val="008523E2"/>
    <w:rsid w:val="00856A0E"/>
    <w:rsid w:val="00863C00"/>
    <w:rsid w:val="00872FD2"/>
    <w:rsid w:val="00873D35"/>
    <w:rsid w:val="00876869"/>
    <w:rsid w:val="008848BD"/>
    <w:rsid w:val="00887281"/>
    <w:rsid w:val="00891543"/>
    <w:rsid w:val="00894F9A"/>
    <w:rsid w:val="008C0EAA"/>
    <w:rsid w:val="008C5A91"/>
    <w:rsid w:val="008E7B8E"/>
    <w:rsid w:val="008E7ED3"/>
    <w:rsid w:val="008F4699"/>
    <w:rsid w:val="008F5EDD"/>
    <w:rsid w:val="0090364A"/>
    <w:rsid w:val="00905422"/>
    <w:rsid w:val="009176E5"/>
    <w:rsid w:val="00921C0E"/>
    <w:rsid w:val="00930258"/>
    <w:rsid w:val="00930A39"/>
    <w:rsid w:val="009350F0"/>
    <w:rsid w:val="00937666"/>
    <w:rsid w:val="00953CC6"/>
    <w:rsid w:val="00953E5B"/>
    <w:rsid w:val="00960184"/>
    <w:rsid w:val="00977BEA"/>
    <w:rsid w:val="0098393D"/>
    <w:rsid w:val="009867C0"/>
    <w:rsid w:val="00991538"/>
    <w:rsid w:val="0099372E"/>
    <w:rsid w:val="00995104"/>
    <w:rsid w:val="009A0464"/>
    <w:rsid w:val="009A44A5"/>
    <w:rsid w:val="009B00EA"/>
    <w:rsid w:val="009B2D95"/>
    <w:rsid w:val="009C403B"/>
    <w:rsid w:val="009D3564"/>
    <w:rsid w:val="009D3E94"/>
    <w:rsid w:val="009D5969"/>
    <w:rsid w:val="009E006D"/>
    <w:rsid w:val="009E0A65"/>
    <w:rsid w:val="009E5122"/>
    <w:rsid w:val="009F1025"/>
    <w:rsid w:val="00A17957"/>
    <w:rsid w:val="00A32258"/>
    <w:rsid w:val="00A33333"/>
    <w:rsid w:val="00A43B3E"/>
    <w:rsid w:val="00A53775"/>
    <w:rsid w:val="00A659E1"/>
    <w:rsid w:val="00A72630"/>
    <w:rsid w:val="00A80E26"/>
    <w:rsid w:val="00A85445"/>
    <w:rsid w:val="00A9095F"/>
    <w:rsid w:val="00AA34E3"/>
    <w:rsid w:val="00AA6D20"/>
    <w:rsid w:val="00AB3DD5"/>
    <w:rsid w:val="00AC1D94"/>
    <w:rsid w:val="00AC51A9"/>
    <w:rsid w:val="00AE710A"/>
    <w:rsid w:val="00B020E4"/>
    <w:rsid w:val="00B202B0"/>
    <w:rsid w:val="00B262AB"/>
    <w:rsid w:val="00B33CB7"/>
    <w:rsid w:val="00B36368"/>
    <w:rsid w:val="00B52B89"/>
    <w:rsid w:val="00B617CD"/>
    <w:rsid w:val="00B76AF5"/>
    <w:rsid w:val="00B805E0"/>
    <w:rsid w:val="00B86B0D"/>
    <w:rsid w:val="00B97E6E"/>
    <w:rsid w:val="00BB6CB3"/>
    <w:rsid w:val="00BC0C5A"/>
    <w:rsid w:val="00BC266F"/>
    <w:rsid w:val="00BC30DA"/>
    <w:rsid w:val="00BC7CD6"/>
    <w:rsid w:val="00BD4F11"/>
    <w:rsid w:val="00BE48D2"/>
    <w:rsid w:val="00BE4A1D"/>
    <w:rsid w:val="00C04DCF"/>
    <w:rsid w:val="00C06177"/>
    <w:rsid w:val="00C06A84"/>
    <w:rsid w:val="00C075EA"/>
    <w:rsid w:val="00C23990"/>
    <w:rsid w:val="00C25EC1"/>
    <w:rsid w:val="00C34C43"/>
    <w:rsid w:val="00C40DBB"/>
    <w:rsid w:val="00C50A26"/>
    <w:rsid w:val="00C61AC6"/>
    <w:rsid w:val="00C649AB"/>
    <w:rsid w:val="00C65739"/>
    <w:rsid w:val="00C65B95"/>
    <w:rsid w:val="00C702C7"/>
    <w:rsid w:val="00C70770"/>
    <w:rsid w:val="00C8592A"/>
    <w:rsid w:val="00C8703B"/>
    <w:rsid w:val="00C91E9C"/>
    <w:rsid w:val="00CA019C"/>
    <w:rsid w:val="00CA4E63"/>
    <w:rsid w:val="00CA5B05"/>
    <w:rsid w:val="00CC5E8F"/>
    <w:rsid w:val="00CF21CB"/>
    <w:rsid w:val="00CF2222"/>
    <w:rsid w:val="00CF7F7F"/>
    <w:rsid w:val="00D01EE8"/>
    <w:rsid w:val="00D0653C"/>
    <w:rsid w:val="00D236E8"/>
    <w:rsid w:val="00D2498E"/>
    <w:rsid w:val="00D27B73"/>
    <w:rsid w:val="00D317F5"/>
    <w:rsid w:val="00D35C68"/>
    <w:rsid w:val="00D4280C"/>
    <w:rsid w:val="00D46B26"/>
    <w:rsid w:val="00D5297D"/>
    <w:rsid w:val="00D52A6A"/>
    <w:rsid w:val="00D57935"/>
    <w:rsid w:val="00D61A71"/>
    <w:rsid w:val="00D61DFC"/>
    <w:rsid w:val="00D636B8"/>
    <w:rsid w:val="00D80BA9"/>
    <w:rsid w:val="00D815D0"/>
    <w:rsid w:val="00D90E84"/>
    <w:rsid w:val="00D944B8"/>
    <w:rsid w:val="00DA1962"/>
    <w:rsid w:val="00DB0CB1"/>
    <w:rsid w:val="00DB5D79"/>
    <w:rsid w:val="00DC20E4"/>
    <w:rsid w:val="00DC4D91"/>
    <w:rsid w:val="00DE0039"/>
    <w:rsid w:val="00DF4B62"/>
    <w:rsid w:val="00E0517E"/>
    <w:rsid w:val="00E15033"/>
    <w:rsid w:val="00E26113"/>
    <w:rsid w:val="00E266A4"/>
    <w:rsid w:val="00E31921"/>
    <w:rsid w:val="00E35306"/>
    <w:rsid w:val="00E35847"/>
    <w:rsid w:val="00E46D5B"/>
    <w:rsid w:val="00E51605"/>
    <w:rsid w:val="00E56F4A"/>
    <w:rsid w:val="00E67700"/>
    <w:rsid w:val="00E76CDF"/>
    <w:rsid w:val="00E80B88"/>
    <w:rsid w:val="00E87432"/>
    <w:rsid w:val="00E875B5"/>
    <w:rsid w:val="00E91901"/>
    <w:rsid w:val="00E943B8"/>
    <w:rsid w:val="00EA22BB"/>
    <w:rsid w:val="00EB209E"/>
    <w:rsid w:val="00EB5CD1"/>
    <w:rsid w:val="00ED0EE7"/>
    <w:rsid w:val="00ED219C"/>
    <w:rsid w:val="00EE16D4"/>
    <w:rsid w:val="00EE2C87"/>
    <w:rsid w:val="00EF3582"/>
    <w:rsid w:val="00EF4086"/>
    <w:rsid w:val="00F00DA8"/>
    <w:rsid w:val="00F045B9"/>
    <w:rsid w:val="00F15F5C"/>
    <w:rsid w:val="00F27CC9"/>
    <w:rsid w:val="00F3081C"/>
    <w:rsid w:val="00F448EC"/>
    <w:rsid w:val="00F565A3"/>
    <w:rsid w:val="00F64334"/>
    <w:rsid w:val="00F7435C"/>
    <w:rsid w:val="00F9119D"/>
    <w:rsid w:val="00F97D28"/>
    <w:rsid w:val="00FC5C06"/>
    <w:rsid w:val="00FD505C"/>
    <w:rsid w:val="00FD75BB"/>
    <w:rsid w:val="00FE7E6F"/>
    <w:rsid w:val="00FF470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0D318"/>
  <w15:chartTrackingRefBased/>
  <w15:docId w15:val="{E62469A7-4115-454C-AD82-5039CCD5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1"/>
    <w:lsdException w:name="annotation text" w:semiHidden="1"/>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23F2"/>
    <w:pPr>
      <w:spacing w:after="0" w:line="240" w:lineRule="atLeast"/>
    </w:pPr>
    <w:rPr>
      <w:sz w:val="20"/>
    </w:rPr>
  </w:style>
  <w:style w:type="paragraph" w:styleId="Nadpis1">
    <w:name w:val="heading 1"/>
    <w:basedOn w:val="Normln"/>
    <w:next w:val="Normln"/>
    <w:link w:val="Nadpis1Char"/>
    <w:uiPriority w:val="9"/>
    <w:qFormat/>
    <w:rsid w:val="008F5EDD"/>
    <w:pPr>
      <w:keepNext/>
      <w:keepLines/>
      <w:numPr>
        <w:numId w:val="23"/>
      </w:numPr>
      <w:spacing w:after="240"/>
      <w:outlineLvl w:val="0"/>
    </w:pPr>
    <w:rPr>
      <w:rFonts w:asciiTheme="majorHAnsi" w:eastAsia="MingLiU" w:hAnsiTheme="majorHAnsi" w:cs="Times New Roman"/>
      <w:b/>
      <w:bCs/>
      <w:color w:val="00A3E0"/>
      <w:szCs w:val="28"/>
      <w:lang w:val="en-US" w:eastAsia="cs-CZ"/>
    </w:rPr>
  </w:style>
  <w:style w:type="paragraph" w:styleId="Nadpis2">
    <w:name w:val="heading 2"/>
    <w:basedOn w:val="Normln"/>
    <w:next w:val="Normln"/>
    <w:link w:val="Nadpis2Char"/>
    <w:uiPriority w:val="9"/>
    <w:qFormat/>
    <w:rsid w:val="008F5EDD"/>
    <w:pPr>
      <w:keepNext/>
      <w:keepLines/>
      <w:numPr>
        <w:ilvl w:val="1"/>
        <w:numId w:val="23"/>
      </w:numPr>
      <w:spacing w:after="240"/>
      <w:ind w:left="576"/>
      <w:outlineLvl w:val="1"/>
    </w:pPr>
    <w:rPr>
      <w:rFonts w:eastAsia="MingLiU" w:cs="Times New Roman"/>
      <w:bCs/>
      <w:color w:val="000000"/>
      <w:szCs w:val="26"/>
      <w:lang w:val="en-US" w:eastAsia="cs-CZ"/>
    </w:rPr>
  </w:style>
  <w:style w:type="paragraph" w:styleId="Nadpis3">
    <w:name w:val="heading 3"/>
    <w:basedOn w:val="Normln"/>
    <w:next w:val="Normln"/>
    <w:link w:val="Nadpis3Char"/>
    <w:uiPriority w:val="9"/>
    <w:qFormat/>
    <w:rsid w:val="008F5EDD"/>
    <w:pPr>
      <w:keepNext/>
      <w:keepLines/>
      <w:numPr>
        <w:ilvl w:val="2"/>
        <w:numId w:val="23"/>
      </w:numPr>
      <w:spacing w:after="240"/>
      <w:outlineLvl w:val="2"/>
    </w:pPr>
    <w:rPr>
      <w:rFonts w:asciiTheme="majorHAnsi" w:eastAsia="MingLiU" w:hAnsiTheme="majorHAnsi" w:cs="Times New Roman"/>
      <w:b/>
      <w:bCs/>
      <w:color w:val="53565A" w:themeColor="background2"/>
      <w:szCs w:val="20"/>
      <w:lang w:val="en-US" w:eastAsia="cs-CZ"/>
    </w:rPr>
  </w:style>
  <w:style w:type="paragraph" w:styleId="Nadpis4">
    <w:name w:val="heading 4"/>
    <w:basedOn w:val="Normln"/>
    <w:next w:val="Normln"/>
    <w:link w:val="Nadpis4Char"/>
    <w:uiPriority w:val="9"/>
    <w:qFormat/>
    <w:rsid w:val="009F1025"/>
    <w:pPr>
      <w:keepNext/>
      <w:keepLines/>
      <w:numPr>
        <w:ilvl w:val="3"/>
        <w:numId w:val="23"/>
      </w:numPr>
      <w:tabs>
        <w:tab w:val="left" w:pos="340"/>
      </w:tabs>
      <w:spacing w:after="240"/>
      <w:outlineLvl w:val="3"/>
    </w:pPr>
    <w:rPr>
      <w:rFonts w:asciiTheme="majorHAnsi" w:eastAsia="MingLiU" w:hAnsiTheme="majorHAnsi" w:cs="Times New Roman"/>
      <w:b/>
      <w:bCs/>
      <w:iCs/>
      <w:color w:val="000000"/>
      <w:lang w:val="en-US"/>
    </w:rPr>
  </w:style>
  <w:style w:type="paragraph" w:styleId="Nadpis5">
    <w:name w:val="heading 5"/>
    <w:basedOn w:val="Normln"/>
    <w:next w:val="Normln"/>
    <w:link w:val="Nadpis5Char"/>
    <w:uiPriority w:val="9"/>
    <w:qFormat/>
    <w:rsid w:val="008F5EDD"/>
    <w:pPr>
      <w:keepNext/>
      <w:keepLines/>
      <w:numPr>
        <w:ilvl w:val="4"/>
        <w:numId w:val="23"/>
      </w:numPr>
      <w:spacing w:before="40" w:after="240"/>
      <w:outlineLvl w:val="4"/>
    </w:pPr>
    <w:rPr>
      <w:rFonts w:asciiTheme="majorHAnsi" w:eastAsiaTheme="majorEastAsia" w:hAnsiTheme="majorHAnsi" w:cstheme="majorBidi"/>
      <w:i/>
      <w:color w:val="000000" w:themeColor="text1"/>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F5EDD"/>
    <w:rPr>
      <w:rFonts w:asciiTheme="majorHAnsi" w:eastAsia="MingLiU" w:hAnsiTheme="majorHAnsi" w:cs="Times New Roman"/>
      <w:b/>
      <w:bCs/>
      <w:color w:val="00A3E0"/>
      <w:sz w:val="20"/>
      <w:szCs w:val="28"/>
      <w:lang w:val="en-US" w:eastAsia="cs-CZ"/>
    </w:rPr>
  </w:style>
  <w:style w:type="character" w:customStyle="1" w:styleId="Nadpis2Char">
    <w:name w:val="Nadpis 2 Char"/>
    <w:link w:val="Nadpis2"/>
    <w:uiPriority w:val="9"/>
    <w:rsid w:val="008F5EDD"/>
    <w:rPr>
      <w:rFonts w:eastAsia="MingLiU" w:cs="Times New Roman"/>
      <w:bCs/>
      <w:color w:val="000000"/>
      <w:sz w:val="20"/>
      <w:szCs w:val="26"/>
      <w:lang w:val="en-US" w:eastAsia="cs-CZ"/>
    </w:rPr>
  </w:style>
  <w:style w:type="table" w:styleId="Mkatabulky">
    <w:name w:val="Table Grid"/>
    <w:basedOn w:val="Normlntabulka"/>
    <w:uiPriority w:val="59"/>
    <w:rsid w:val="00025E7D"/>
    <w:pPr>
      <w:spacing w:after="0" w:line="240" w:lineRule="auto"/>
    </w:pPr>
    <w:tblPr/>
  </w:style>
  <w:style w:type="paragraph" w:styleId="Zhlav">
    <w:name w:val="header"/>
    <w:link w:val="ZhlavChar"/>
    <w:uiPriority w:val="99"/>
    <w:rsid w:val="000A53E2"/>
    <w:pPr>
      <w:tabs>
        <w:tab w:val="center" w:pos="4513"/>
        <w:tab w:val="right" w:pos="9026"/>
      </w:tabs>
      <w:spacing w:after="0" w:line="240" w:lineRule="auto"/>
    </w:pPr>
    <w:rPr>
      <w:sz w:val="17"/>
    </w:rPr>
  </w:style>
  <w:style w:type="character" w:customStyle="1" w:styleId="ZhlavChar">
    <w:name w:val="Záhlaví Char"/>
    <w:basedOn w:val="Standardnpsmoodstavce"/>
    <w:link w:val="Zhlav"/>
    <w:uiPriority w:val="99"/>
    <w:rsid w:val="000A53E2"/>
    <w:rPr>
      <w:sz w:val="17"/>
    </w:rPr>
  </w:style>
  <w:style w:type="paragraph" w:styleId="Zpat">
    <w:name w:val="footer"/>
    <w:link w:val="ZpatChar"/>
    <w:uiPriority w:val="99"/>
    <w:rsid w:val="006025D1"/>
    <w:pPr>
      <w:tabs>
        <w:tab w:val="right" w:pos="7371"/>
      </w:tabs>
      <w:spacing w:after="0" w:line="130" w:lineRule="exact"/>
      <w:ind w:right="227"/>
    </w:pPr>
    <w:rPr>
      <w:sz w:val="14"/>
    </w:rPr>
  </w:style>
  <w:style w:type="character" w:customStyle="1" w:styleId="ZpatChar">
    <w:name w:val="Zápatí Char"/>
    <w:basedOn w:val="Standardnpsmoodstavce"/>
    <w:link w:val="Zpat"/>
    <w:uiPriority w:val="99"/>
    <w:rsid w:val="006025D1"/>
    <w:rPr>
      <w:sz w:val="14"/>
    </w:rPr>
  </w:style>
  <w:style w:type="paragraph" w:styleId="Textbubliny">
    <w:name w:val="Balloon Text"/>
    <w:basedOn w:val="Normln"/>
    <w:link w:val="TextbublinyChar"/>
    <w:uiPriority w:val="99"/>
    <w:semiHidden/>
    <w:rsid w:val="00C702C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702C7"/>
    <w:rPr>
      <w:rFonts w:ascii="Tahoma" w:hAnsi="Tahoma" w:cs="Tahoma"/>
      <w:sz w:val="16"/>
      <w:szCs w:val="16"/>
    </w:rPr>
  </w:style>
  <w:style w:type="paragraph" w:customStyle="1" w:styleId="Subject">
    <w:name w:val="Subject"/>
    <w:basedOn w:val="Normln"/>
    <w:semiHidden/>
    <w:qFormat/>
    <w:rsid w:val="00A43B3E"/>
    <w:rPr>
      <w:b/>
    </w:rPr>
  </w:style>
  <w:style w:type="character" w:styleId="Zstupntext">
    <w:name w:val="Placeholder Text"/>
    <w:basedOn w:val="Standardnpsmoodstavce"/>
    <w:uiPriority w:val="99"/>
    <w:semiHidden/>
    <w:rsid w:val="001975EF"/>
    <w:rPr>
      <w:color w:val="808080"/>
    </w:rPr>
  </w:style>
  <w:style w:type="paragraph" w:styleId="Seznamsodrkami">
    <w:name w:val="List Bullet"/>
    <w:basedOn w:val="Normln"/>
    <w:uiPriority w:val="99"/>
    <w:qFormat/>
    <w:rsid w:val="009A0464"/>
    <w:pPr>
      <w:numPr>
        <w:numId w:val="1"/>
      </w:numPr>
      <w:tabs>
        <w:tab w:val="clear" w:pos="360"/>
        <w:tab w:val="left" w:pos="227"/>
      </w:tabs>
      <w:ind w:left="227" w:hanging="227"/>
      <w:contextualSpacing/>
    </w:pPr>
  </w:style>
  <w:style w:type="paragraph" w:styleId="Seznamsodrkami2">
    <w:name w:val="List Bullet 2"/>
    <w:basedOn w:val="Normln"/>
    <w:uiPriority w:val="99"/>
    <w:qFormat/>
    <w:rsid w:val="009A0464"/>
    <w:pPr>
      <w:numPr>
        <w:numId w:val="2"/>
      </w:numPr>
      <w:ind w:left="454" w:hanging="227"/>
      <w:contextualSpacing/>
    </w:pPr>
  </w:style>
  <w:style w:type="paragraph" w:styleId="slovanseznam">
    <w:name w:val="List Number"/>
    <w:basedOn w:val="Normln"/>
    <w:uiPriority w:val="99"/>
    <w:qFormat/>
    <w:rsid w:val="00E26113"/>
    <w:pPr>
      <w:numPr>
        <w:numId w:val="3"/>
      </w:numPr>
      <w:ind w:left="340" w:hanging="340"/>
      <w:contextualSpacing/>
    </w:pPr>
  </w:style>
  <w:style w:type="paragraph" w:styleId="slovanseznam2">
    <w:name w:val="List Number 2"/>
    <w:basedOn w:val="Normln"/>
    <w:uiPriority w:val="99"/>
    <w:qFormat/>
    <w:rsid w:val="00E26113"/>
    <w:pPr>
      <w:numPr>
        <w:numId w:val="4"/>
      </w:numPr>
      <w:ind w:left="680" w:hanging="340"/>
      <w:contextualSpacing/>
    </w:pPr>
  </w:style>
  <w:style w:type="character" w:customStyle="1" w:styleId="Nadpis3Char">
    <w:name w:val="Nadpis 3 Char"/>
    <w:link w:val="Nadpis3"/>
    <w:uiPriority w:val="9"/>
    <w:rsid w:val="008F5EDD"/>
    <w:rPr>
      <w:rFonts w:asciiTheme="majorHAnsi" w:eastAsia="MingLiU" w:hAnsiTheme="majorHAnsi" w:cs="Times New Roman"/>
      <w:b/>
      <w:bCs/>
      <w:color w:val="53565A" w:themeColor="background2"/>
      <w:sz w:val="20"/>
      <w:szCs w:val="20"/>
      <w:lang w:val="en-US" w:eastAsia="cs-CZ"/>
    </w:rPr>
  </w:style>
  <w:style w:type="character" w:customStyle="1" w:styleId="Nadpis4Char">
    <w:name w:val="Nadpis 4 Char"/>
    <w:link w:val="Nadpis4"/>
    <w:uiPriority w:val="9"/>
    <w:rsid w:val="009F1025"/>
    <w:rPr>
      <w:rFonts w:asciiTheme="majorHAnsi" w:eastAsia="MingLiU" w:hAnsiTheme="majorHAnsi" w:cs="Times New Roman"/>
      <w:b/>
      <w:bCs/>
      <w:iCs/>
      <w:color w:val="000000"/>
      <w:sz w:val="20"/>
      <w:lang w:val="en-US"/>
    </w:rPr>
  </w:style>
  <w:style w:type="paragraph" w:styleId="Textpoznpodarou">
    <w:name w:val="footnote text"/>
    <w:basedOn w:val="Normln"/>
    <w:link w:val="TextpoznpodarouChar"/>
    <w:rsid w:val="00F3081C"/>
    <w:pPr>
      <w:spacing w:line="240" w:lineRule="auto"/>
    </w:pPr>
    <w:rPr>
      <w:sz w:val="16"/>
      <w:szCs w:val="20"/>
    </w:rPr>
  </w:style>
  <w:style w:type="character" w:customStyle="1" w:styleId="TextpoznpodarouChar">
    <w:name w:val="Text pozn. pod čarou Char"/>
    <w:basedOn w:val="Standardnpsmoodstavce"/>
    <w:link w:val="Textpoznpodarou"/>
    <w:rsid w:val="00C8703B"/>
    <w:rPr>
      <w:sz w:val="16"/>
      <w:szCs w:val="20"/>
    </w:rPr>
  </w:style>
  <w:style w:type="paragraph" w:customStyle="1" w:styleId="Documenttitle">
    <w:name w:val="Document title"/>
    <w:next w:val="Normln"/>
    <w:qFormat/>
    <w:rsid w:val="00703CBC"/>
    <w:pPr>
      <w:spacing w:after="0" w:line="240" w:lineRule="auto"/>
    </w:pPr>
    <w:rPr>
      <w:rFonts w:asciiTheme="majorHAnsi" w:eastAsiaTheme="majorEastAsia" w:hAnsiTheme="majorHAnsi" w:cstheme="majorBidi"/>
      <w:b/>
      <w:bCs/>
      <w:sz w:val="36"/>
      <w:szCs w:val="28"/>
    </w:rPr>
  </w:style>
  <w:style w:type="paragraph" w:customStyle="1" w:styleId="Subheading">
    <w:name w:val="Subheading"/>
    <w:basedOn w:val="Normln"/>
    <w:next w:val="Normln"/>
    <w:semiHidden/>
    <w:qFormat/>
    <w:rsid w:val="00D236E8"/>
    <w:rPr>
      <w:rFonts w:asciiTheme="majorHAnsi" w:eastAsiaTheme="majorEastAsia" w:hAnsiTheme="majorHAnsi" w:cstheme="majorBidi"/>
      <w:b/>
      <w:bCs/>
      <w:iCs/>
      <w:color w:val="000000" w:themeColor="text1"/>
    </w:rPr>
  </w:style>
  <w:style w:type="character" w:styleId="Znakapoznpodarou">
    <w:name w:val="footnote reference"/>
    <w:basedOn w:val="Standardnpsmoodstavce"/>
    <w:uiPriority w:val="99"/>
    <w:semiHidden/>
    <w:rsid w:val="00412EA0"/>
    <w:rPr>
      <w:vertAlign w:val="superscript"/>
    </w:rPr>
  </w:style>
  <w:style w:type="paragraph" w:customStyle="1" w:styleId="Deloitteaddress">
    <w:name w:val="Deloitte address"/>
    <w:basedOn w:val="Normln"/>
    <w:qFormat/>
    <w:rsid w:val="00120DEC"/>
    <w:pPr>
      <w:spacing w:line="170" w:lineRule="atLeast"/>
    </w:pPr>
    <w:rPr>
      <w:sz w:val="16"/>
    </w:rPr>
  </w:style>
  <w:style w:type="paragraph" w:customStyle="1" w:styleId="Sponsortext">
    <w:name w:val="Sponsor text"/>
    <w:basedOn w:val="Zpat"/>
    <w:qFormat/>
    <w:rsid w:val="00350C8D"/>
    <w:pPr>
      <w:spacing w:line="170" w:lineRule="exact"/>
      <w:ind w:right="0"/>
    </w:pPr>
  </w:style>
  <w:style w:type="table" w:customStyle="1" w:styleId="Deloittetable">
    <w:name w:val="Deloitte table"/>
    <w:basedOn w:val="Deloittetable2"/>
    <w:uiPriority w:val="99"/>
    <w:rsid w:val="008F5EDD"/>
    <w:rPr>
      <w:rFonts w:ascii="Calibri" w:hAnsi="Calibri"/>
      <w:sz w:val="20"/>
      <w:lang w:val="en-US"/>
    </w:rPr>
    <w:tblPr>
      <w:tblBorders>
        <w:top w:val="single" w:sz="4" w:space="0" w:color="62B5E5"/>
        <w:bottom w:val="single" w:sz="4" w:space="0" w:color="000000"/>
        <w:insideH w:val="single" w:sz="4" w:space="0" w:color="000000"/>
      </w:tblBorders>
    </w:tblPr>
    <w:tblStylePr w:type="firstRow">
      <w:pPr>
        <w:wordWrap/>
        <w:spacing w:beforeLines="0" w:before="0" w:beforeAutospacing="0" w:afterLines="0" w:after="0" w:afterAutospacing="0" w:line="240" w:lineRule="auto"/>
        <w:contextualSpacing/>
      </w:pPr>
      <w:rPr>
        <w:rFonts w:ascii="Calibri" w:hAnsi="Calibri"/>
        <w:b/>
        <w:color w:val="62B5E5"/>
        <w:sz w:val="17"/>
      </w:rPr>
      <w:tblPr/>
      <w:tcPr>
        <w:tcBorders>
          <w:top w:val="single" w:sz="24" w:space="0" w:color="62B5E5"/>
        </w:tcBorders>
      </w:tcPr>
    </w:tblStylePr>
    <w:tblStylePr w:type="band1Horz">
      <w:pPr>
        <w:wordWrap/>
        <w:spacing w:beforeLines="0" w:before="0" w:beforeAutospacing="0" w:afterLines="0" w:after="0" w:afterAutospacing="0" w:line="240" w:lineRule="auto"/>
        <w:contextualSpacing/>
      </w:pPr>
      <w:rPr>
        <w:rFonts w:ascii="Calibri" w:hAnsi="Calibri"/>
        <w:sz w:val="17"/>
      </w:rPr>
    </w:tblStylePr>
    <w:tblStylePr w:type="band2Horz">
      <w:pPr>
        <w:wordWrap/>
        <w:spacing w:beforeLines="0" w:before="0" w:beforeAutospacing="0" w:afterLines="0" w:after="0" w:afterAutospacing="0" w:line="240" w:lineRule="auto"/>
        <w:contextualSpacing/>
      </w:pPr>
      <w:rPr>
        <w:rFonts w:ascii="Calibri" w:hAnsi="Calibri"/>
        <w:sz w:val="17"/>
      </w:rPr>
    </w:tblStylePr>
  </w:style>
  <w:style w:type="character" w:customStyle="1" w:styleId="Nadpis5Char">
    <w:name w:val="Nadpis 5 Char"/>
    <w:basedOn w:val="Standardnpsmoodstavce"/>
    <w:link w:val="Nadpis5"/>
    <w:uiPriority w:val="9"/>
    <w:rsid w:val="008F5EDD"/>
    <w:rPr>
      <w:rFonts w:asciiTheme="majorHAnsi" w:eastAsiaTheme="majorEastAsia" w:hAnsiTheme="majorHAnsi" w:cstheme="majorBidi"/>
      <w:i/>
      <w:color w:val="000000" w:themeColor="text1"/>
      <w:sz w:val="20"/>
      <w:lang w:val="en-US"/>
    </w:rPr>
  </w:style>
  <w:style w:type="paragraph" w:customStyle="1" w:styleId="Smlouvaheading10">
    <w:name w:val="Smlouva heading 1"/>
    <w:basedOn w:val="Normln"/>
    <w:link w:val="Smlouvaheading1Char"/>
    <w:qFormat/>
    <w:rsid w:val="009F1025"/>
    <w:pPr>
      <w:numPr>
        <w:numId w:val="27"/>
      </w:numPr>
      <w:spacing w:before="240" w:after="120"/>
      <w:jc w:val="both"/>
    </w:pPr>
    <w:rPr>
      <w:rFonts w:ascii="Calibri" w:eastAsia="Verdana" w:hAnsi="Calibri" w:cs="Times New Roman"/>
      <w:b/>
      <w:lang w:val="en-US"/>
    </w:rPr>
  </w:style>
  <w:style w:type="character" w:customStyle="1" w:styleId="Smlouvaheading1Char">
    <w:name w:val="Smlouva heading 1 Char"/>
    <w:link w:val="Smlouvaheading10"/>
    <w:rsid w:val="009F1025"/>
    <w:rPr>
      <w:rFonts w:ascii="Calibri" w:eastAsia="Verdana" w:hAnsi="Calibri" w:cs="Times New Roman"/>
      <w:b/>
      <w:sz w:val="20"/>
      <w:lang w:val="en-US"/>
    </w:rPr>
  </w:style>
  <w:style w:type="paragraph" w:customStyle="1" w:styleId="Smlouvaheading20">
    <w:name w:val="Smlouva heading 2"/>
    <w:link w:val="Smlouvaheading2Char"/>
    <w:qFormat/>
    <w:rsid w:val="009F1025"/>
    <w:pPr>
      <w:numPr>
        <w:ilvl w:val="1"/>
        <w:numId w:val="27"/>
      </w:numPr>
      <w:spacing w:before="120" w:after="120" w:line="240" w:lineRule="atLeast"/>
      <w:jc w:val="both"/>
    </w:pPr>
    <w:rPr>
      <w:rFonts w:ascii="Calibri" w:eastAsia="Verdana" w:hAnsi="Calibri" w:cs="Times New Roman"/>
      <w:sz w:val="20"/>
      <w:lang w:val="en-US"/>
    </w:rPr>
  </w:style>
  <w:style w:type="character" w:customStyle="1" w:styleId="Smlouvaheading2Char">
    <w:name w:val="Smlouva heading 2 Char"/>
    <w:link w:val="Smlouvaheading20"/>
    <w:rsid w:val="009F1025"/>
    <w:rPr>
      <w:rFonts w:ascii="Calibri" w:eastAsia="Verdana" w:hAnsi="Calibri" w:cs="Times New Roman"/>
      <w:sz w:val="20"/>
      <w:lang w:val="en-US"/>
    </w:rPr>
  </w:style>
  <w:style w:type="paragraph" w:customStyle="1" w:styleId="Smlouvaheading30">
    <w:name w:val="Smlouva heading 3"/>
    <w:qFormat/>
    <w:rsid w:val="009F1025"/>
    <w:pPr>
      <w:numPr>
        <w:ilvl w:val="2"/>
        <w:numId w:val="27"/>
      </w:numPr>
      <w:spacing w:after="120" w:line="240" w:lineRule="atLeast"/>
      <w:jc w:val="both"/>
    </w:pPr>
    <w:rPr>
      <w:rFonts w:ascii="Calibri" w:eastAsia="Verdana" w:hAnsi="Calibri" w:cs="Times New Roman"/>
      <w:sz w:val="20"/>
      <w:lang w:val="en-US"/>
    </w:rPr>
  </w:style>
  <w:style w:type="paragraph" w:customStyle="1" w:styleId="Smlouvaheading40">
    <w:name w:val="Smlouva heading 4"/>
    <w:qFormat/>
    <w:rsid w:val="009F1025"/>
    <w:pPr>
      <w:numPr>
        <w:ilvl w:val="3"/>
        <w:numId w:val="27"/>
      </w:numPr>
      <w:spacing w:after="120" w:line="240" w:lineRule="atLeast"/>
      <w:jc w:val="both"/>
    </w:pPr>
    <w:rPr>
      <w:rFonts w:ascii="Calibri" w:eastAsia="Verdana" w:hAnsi="Calibri" w:cs="Times New Roman"/>
      <w:sz w:val="20"/>
      <w:lang w:val="en-US"/>
    </w:rPr>
  </w:style>
  <w:style w:type="paragraph" w:customStyle="1" w:styleId="QuotesourceBlue">
    <w:name w:val="Quote source Blue"/>
    <w:basedOn w:val="Normln"/>
    <w:next w:val="Normln"/>
    <w:qFormat/>
    <w:rsid w:val="008F5EDD"/>
    <w:pPr>
      <w:spacing w:after="240"/>
      <w:contextualSpacing/>
    </w:pPr>
    <w:rPr>
      <w:rFonts w:ascii="Calibri" w:eastAsia="Verdana" w:hAnsi="Calibri" w:cs="Times New Roman"/>
      <w:b/>
      <w:color w:val="62B5E5"/>
      <w:lang w:val="en-US"/>
    </w:rPr>
  </w:style>
  <w:style w:type="paragraph" w:customStyle="1" w:styleId="QuotesourceGreen">
    <w:name w:val="Quote source Green"/>
    <w:basedOn w:val="QuotesourceBlue"/>
    <w:next w:val="Normln"/>
    <w:qFormat/>
    <w:rsid w:val="00D317F5"/>
    <w:rPr>
      <w:color w:val="86BC25"/>
    </w:rPr>
  </w:style>
  <w:style w:type="paragraph" w:customStyle="1" w:styleId="Tabletext">
    <w:name w:val="Table text"/>
    <w:basedOn w:val="Normln"/>
    <w:qFormat/>
    <w:rsid w:val="008F5EDD"/>
    <w:pPr>
      <w:spacing w:line="200" w:lineRule="atLeast"/>
    </w:pPr>
    <w:rPr>
      <w:rFonts w:ascii="Calibri" w:eastAsia="Verdana" w:hAnsi="Calibri" w:cs="Times New Roman"/>
      <w:sz w:val="17"/>
      <w:lang w:val="en-US"/>
    </w:rPr>
  </w:style>
  <w:style w:type="paragraph" w:customStyle="1" w:styleId="Tablebullets">
    <w:name w:val="Table bullets"/>
    <w:basedOn w:val="Tabletext"/>
    <w:qFormat/>
    <w:rsid w:val="008F5EDD"/>
    <w:pPr>
      <w:numPr>
        <w:numId w:val="30"/>
      </w:numPr>
      <w:ind w:left="227" w:hanging="227"/>
    </w:pPr>
  </w:style>
  <w:style w:type="paragraph" w:customStyle="1" w:styleId="Tablenumbered">
    <w:name w:val="Table numbered"/>
    <w:basedOn w:val="Tablebullets"/>
    <w:qFormat/>
    <w:rsid w:val="008F5EDD"/>
    <w:pPr>
      <w:numPr>
        <w:numId w:val="31"/>
      </w:numPr>
      <w:ind w:left="227" w:hanging="227"/>
    </w:pPr>
  </w:style>
  <w:style w:type="paragraph" w:customStyle="1" w:styleId="Tabletitle">
    <w:name w:val="Table title"/>
    <w:basedOn w:val="Tabletext"/>
    <w:qFormat/>
    <w:rsid w:val="001A44A3"/>
    <w:rPr>
      <w:b/>
      <w:color w:val="53565A" w:themeColor="background2"/>
      <w:sz w:val="20"/>
    </w:rPr>
  </w:style>
  <w:style w:type="table" w:customStyle="1" w:styleId="Deloittetable2">
    <w:name w:val="Deloitte table 2"/>
    <w:basedOn w:val="Normlntabulka"/>
    <w:uiPriority w:val="99"/>
    <w:rsid w:val="008F5EDD"/>
    <w:pPr>
      <w:spacing w:after="0" w:line="240" w:lineRule="auto"/>
    </w:pPr>
    <w:rPr>
      <w:rFonts w:ascii="Verdana" w:eastAsia="Verdana" w:hAnsi="Verdana" w:cs="Times New Roman"/>
      <w:sz w:val="17"/>
      <w:szCs w:val="20"/>
      <w:lang w:val="cs-CZ" w:eastAsia="cs-CZ"/>
    </w:rPr>
    <w:tblPr>
      <w:tblStyleRowBandSize w:val="1"/>
      <w:tblBorders>
        <w:bottom w:val="single" w:sz="4" w:space="0" w:color="auto"/>
        <w:insideH w:val="single" w:sz="4" w:space="0" w:color="auto"/>
      </w:tblBorders>
      <w:tblCellMar>
        <w:top w:w="57" w:type="dxa"/>
        <w:left w:w="0" w:type="dxa"/>
        <w:bottom w:w="57" w:type="dxa"/>
        <w:right w:w="0" w:type="dxa"/>
      </w:tblCellMar>
    </w:tblPr>
    <w:tblStylePr w:type="firstRow">
      <w:pPr>
        <w:wordWrap/>
        <w:spacing w:beforeLines="0" w:before="0" w:beforeAutospacing="0" w:afterLines="0" w:after="0" w:afterAutospacing="0" w:line="240" w:lineRule="auto"/>
        <w:contextualSpacing/>
      </w:pPr>
      <w:rPr>
        <w:rFonts w:ascii="Calibri" w:hAnsi="Calibri"/>
        <w:b/>
        <w:color w:val="86BC25"/>
        <w:sz w:val="17"/>
      </w:rPr>
      <w:tblPr/>
      <w:tcPr>
        <w:tcBorders>
          <w:top w:val="single" w:sz="24" w:space="0" w:color="86BC25"/>
        </w:tcBorders>
      </w:tcPr>
    </w:tblStylePr>
    <w:tblStylePr w:type="band1Horz">
      <w:pPr>
        <w:wordWrap/>
        <w:spacing w:beforeLines="0" w:before="0" w:beforeAutospacing="0" w:afterLines="0" w:after="0" w:afterAutospacing="0" w:line="240" w:lineRule="auto"/>
        <w:contextualSpacing/>
      </w:pPr>
      <w:rPr>
        <w:rFonts w:ascii="Calibri" w:hAnsi="Calibri"/>
        <w:sz w:val="17"/>
      </w:rPr>
    </w:tblStylePr>
    <w:tblStylePr w:type="band2Horz">
      <w:pPr>
        <w:wordWrap/>
        <w:spacing w:beforeLines="0" w:before="0" w:beforeAutospacing="0" w:afterLines="0" w:after="0" w:afterAutospacing="0" w:line="240" w:lineRule="auto"/>
        <w:contextualSpacing/>
      </w:pPr>
      <w:rPr>
        <w:rFonts w:ascii="Calibri" w:hAnsi="Calibri"/>
        <w:sz w:val="17"/>
      </w:rPr>
    </w:tblStylePr>
  </w:style>
  <w:style w:type="table" w:customStyle="1" w:styleId="Deloittetable3">
    <w:name w:val="Deloitte table 3"/>
    <w:basedOn w:val="Prosttabulka4"/>
    <w:uiPriority w:val="99"/>
    <w:rsid w:val="008F5EDD"/>
    <w:rPr>
      <w:rFonts w:ascii="Verdana" w:eastAsia="Verdana" w:hAnsi="Verdana" w:cs="Times New Roman"/>
      <w:sz w:val="17"/>
      <w:szCs w:val="20"/>
      <w:lang w:val="cs-CZ" w:eastAsia="cs-CZ"/>
    </w:rPr>
    <w:tblPr>
      <w:tblBorders>
        <w:bottom w:val="single" w:sz="4" w:space="0" w:color="E7E6E6"/>
      </w:tblBorders>
      <w:tblCellMar>
        <w:top w:w="57" w:type="dxa"/>
        <w:left w:w="0" w:type="dxa"/>
        <w:bottom w:w="57" w:type="dxa"/>
        <w:right w:w="0" w:type="dxa"/>
      </w:tblCellMar>
    </w:tblPr>
    <w:tcPr>
      <w:shd w:val="clear" w:color="auto" w:fill="auto"/>
    </w:tcPr>
    <w:tblStylePr w:type="firstRow">
      <w:pPr>
        <w:wordWrap/>
        <w:spacing w:beforeLines="0" w:before="0" w:beforeAutospacing="0" w:afterLines="0" w:after="0" w:afterAutospacing="0" w:line="240" w:lineRule="auto"/>
        <w:contextualSpacing/>
      </w:pPr>
      <w:rPr>
        <w:rFonts w:ascii="Calibri" w:hAnsi="Calibri"/>
        <w:b/>
        <w:bCs/>
        <w:color w:val="86BC25"/>
        <w:sz w:val="17"/>
      </w:rPr>
      <w:tblPr/>
      <w:tcPr>
        <w:tcBorders>
          <w:top w:val="single" w:sz="24" w:space="0" w:color="86BC25"/>
        </w:tcBorders>
        <w:shd w:val="clear" w:color="auto" w:fill="auto"/>
      </w:tcPr>
    </w:tblStylePr>
    <w:tblStylePr w:type="lastRow">
      <w:rPr>
        <w:rFonts w:ascii="Calibri" w:hAnsi="Calibri"/>
        <w:b w:val="0"/>
        <w:bCs/>
        <w:sz w:val="17"/>
      </w:rPr>
      <w:tblPr/>
      <w:tcPr>
        <w:tcBorders>
          <w:bottom w:val="single" w:sz="4" w:space="0" w:color="E7E6E6"/>
        </w:tcBorders>
        <w:shd w:val="clear" w:color="auto" w:fill="auto"/>
      </w:tcPr>
    </w:tblStylePr>
    <w:tblStylePr w:type="firstCol">
      <w:rPr>
        <w:b w:val="0"/>
        <w:bCs/>
      </w:rPr>
      <w:tblPr>
        <w:tblCellMar>
          <w:top w:w="57" w:type="dxa"/>
          <w:left w:w="0" w:type="dxa"/>
          <w:bottom w:w="57" w:type="dxa"/>
          <w:right w:w="0" w:type="dxa"/>
        </w:tblCellMar>
      </w:tblPr>
    </w:tblStylePr>
    <w:tblStylePr w:type="lastCol">
      <w:rPr>
        <w:b w:val="0"/>
        <w:bCs/>
      </w:rPr>
    </w:tblStylePr>
    <w:tblStylePr w:type="band1Vert">
      <w:tblPr/>
      <w:tcPr>
        <w:shd w:val="clear" w:color="auto" w:fill="F2F2F2"/>
      </w:tcPr>
    </w:tblStylePr>
    <w:tblStylePr w:type="band1Horz">
      <w:pPr>
        <w:wordWrap/>
        <w:spacing w:beforeLines="0" w:before="0" w:beforeAutospacing="0" w:afterLines="0" w:after="0" w:afterAutospacing="0" w:line="240" w:lineRule="auto"/>
        <w:contextualSpacing/>
      </w:pPr>
      <w:rPr>
        <w:rFonts w:ascii="Calibri" w:hAnsi="Calibri"/>
        <w:sz w:val="17"/>
      </w:rPr>
      <w:tblPr/>
      <w:tcPr>
        <w:shd w:val="clear" w:color="auto" w:fill="F2F2F2"/>
      </w:tcPr>
    </w:tblStylePr>
    <w:tblStylePr w:type="band2Horz">
      <w:pPr>
        <w:wordWrap/>
        <w:spacing w:beforeLines="0" w:before="0" w:beforeAutospacing="0" w:afterLines="0" w:after="0" w:afterAutospacing="0" w:line="240" w:lineRule="auto"/>
        <w:contextualSpacing/>
      </w:pPr>
      <w:rPr>
        <w:rFonts w:ascii="Calibri" w:hAnsi="Calibri"/>
        <w:sz w:val="17"/>
      </w:rPr>
    </w:tblStylePr>
  </w:style>
  <w:style w:type="table" w:styleId="Prosttabulka4">
    <w:name w:val="Plain Table 4"/>
    <w:basedOn w:val="Normlntabulka"/>
    <w:uiPriority w:val="44"/>
    <w:rsid w:val="008F5E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loittetable4">
    <w:name w:val="Deloitte table 4"/>
    <w:basedOn w:val="Deloittetable"/>
    <w:uiPriority w:val="99"/>
    <w:rsid w:val="008F5EDD"/>
    <w:tblPr/>
    <w:tblStylePr w:type="firstRow">
      <w:pPr>
        <w:wordWrap/>
        <w:spacing w:beforeLines="0" w:before="0" w:beforeAutospacing="0" w:afterLines="0" w:after="0" w:afterAutospacing="0" w:line="240" w:lineRule="auto"/>
        <w:contextualSpacing/>
      </w:pPr>
      <w:rPr>
        <w:rFonts w:ascii="Calibri" w:hAnsi="Calibri"/>
        <w:b/>
        <w:color w:val="26890D" w:themeColor="accent3"/>
        <w:sz w:val="17"/>
      </w:rPr>
      <w:tblPr/>
      <w:tcPr>
        <w:tcBorders>
          <w:top w:val="single" w:sz="24" w:space="0" w:color="26890D" w:themeColor="accent3"/>
        </w:tcBorders>
      </w:tcPr>
    </w:tblStylePr>
    <w:tblStylePr w:type="band1Horz">
      <w:pPr>
        <w:wordWrap/>
        <w:spacing w:beforeLines="0" w:before="0" w:beforeAutospacing="0" w:afterLines="0" w:after="0" w:afterAutospacing="0" w:line="240" w:lineRule="auto"/>
        <w:contextualSpacing/>
      </w:pPr>
      <w:rPr>
        <w:rFonts w:ascii="Calibri" w:hAnsi="Calibri"/>
        <w:sz w:val="17"/>
      </w:rPr>
    </w:tblStylePr>
    <w:tblStylePr w:type="band2Horz">
      <w:pPr>
        <w:wordWrap/>
        <w:spacing w:beforeLines="0" w:before="0" w:beforeAutospacing="0" w:afterLines="0" w:after="0" w:afterAutospacing="0" w:line="240" w:lineRule="auto"/>
        <w:contextualSpacing/>
      </w:pPr>
      <w:rPr>
        <w:rFonts w:ascii="Calibri" w:hAnsi="Calibri"/>
        <w:sz w:val="17"/>
      </w:rPr>
    </w:tblStylePr>
  </w:style>
  <w:style w:type="paragraph" w:customStyle="1" w:styleId="BodyText1">
    <w:name w:val="Body Text1"/>
    <w:qFormat/>
    <w:rsid w:val="009176E5"/>
    <w:pPr>
      <w:spacing w:after="0" w:line="240" w:lineRule="auto"/>
    </w:pPr>
    <w:rPr>
      <w:rFonts w:ascii="Arial" w:eastAsia="Times New Roman" w:hAnsi="Arial" w:cs="Times New Roman"/>
      <w:color w:val="000000"/>
      <w:szCs w:val="48"/>
      <w:lang w:val="cs-CZ"/>
    </w:rPr>
  </w:style>
  <w:style w:type="paragraph" w:styleId="Textkomente">
    <w:name w:val="annotation text"/>
    <w:basedOn w:val="Normln"/>
    <w:link w:val="TextkomenteChar"/>
    <w:uiPriority w:val="99"/>
    <w:semiHidden/>
    <w:rsid w:val="000A75A1"/>
    <w:pPr>
      <w:spacing w:line="240" w:lineRule="auto"/>
    </w:pPr>
    <w:rPr>
      <w:szCs w:val="20"/>
      <w:lang w:val="cs-CZ"/>
    </w:rPr>
  </w:style>
  <w:style w:type="character" w:customStyle="1" w:styleId="TextkomenteChar">
    <w:name w:val="Text komentáře Char"/>
    <w:basedOn w:val="Standardnpsmoodstavce"/>
    <w:link w:val="Textkomente"/>
    <w:uiPriority w:val="99"/>
    <w:semiHidden/>
    <w:rsid w:val="000A75A1"/>
    <w:rPr>
      <w:sz w:val="20"/>
      <w:szCs w:val="20"/>
      <w:lang w:val="cs-CZ"/>
    </w:rPr>
  </w:style>
  <w:style w:type="paragraph" w:styleId="Pedmtkomente">
    <w:name w:val="annotation subject"/>
    <w:basedOn w:val="Textkomente"/>
    <w:next w:val="Textkomente"/>
    <w:link w:val="PedmtkomenteChar"/>
    <w:uiPriority w:val="99"/>
    <w:semiHidden/>
    <w:unhideWhenUsed/>
    <w:rsid w:val="000A75A1"/>
    <w:rPr>
      <w:b/>
      <w:bCs/>
    </w:rPr>
  </w:style>
  <w:style w:type="character" w:customStyle="1" w:styleId="PedmtkomenteChar">
    <w:name w:val="Předmět komentáře Char"/>
    <w:basedOn w:val="TextkomenteChar"/>
    <w:link w:val="Pedmtkomente"/>
    <w:uiPriority w:val="99"/>
    <w:semiHidden/>
    <w:rsid w:val="000A75A1"/>
    <w:rPr>
      <w:b/>
      <w:bCs/>
      <w:sz w:val="20"/>
      <w:szCs w:val="20"/>
      <w:lang w:val="cs-CZ"/>
    </w:rPr>
  </w:style>
  <w:style w:type="character" w:styleId="Odkaznakoment">
    <w:name w:val="annotation reference"/>
    <w:basedOn w:val="Standardnpsmoodstavce"/>
    <w:uiPriority w:val="99"/>
    <w:semiHidden/>
    <w:rsid w:val="000A75A1"/>
    <w:rPr>
      <w:sz w:val="16"/>
      <w:szCs w:val="16"/>
      <w:lang w:val="cs-CZ"/>
    </w:rPr>
  </w:style>
  <w:style w:type="character" w:styleId="Hypertextovodkaz">
    <w:name w:val="Hyperlink"/>
    <w:basedOn w:val="Standardnpsmoodstavce"/>
    <w:rsid w:val="00745C9A"/>
    <w:rPr>
      <w:rFonts w:ascii="Verdana" w:hAnsi="Verdana"/>
      <w:color w:val="26890D" w:themeColor="accent3"/>
      <w:sz w:val="16"/>
      <w:u w:val="single"/>
    </w:rPr>
  </w:style>
  <w:style w:type="paragraph" w:customStyle="1" w:styleId="smlouvaheading1">
    <w:name w:val="smlouva heading 1"/>
    <w:next w:val="Normln"/>
    <w:qFormat/>
    <w:rsid w:val="00745C9A"/>
    <w:pPr>
      <w:numPr>
        <w:numId w:val="44"/>
      </w:numPr>
      <w:spacing w:before="360" w:after="120" w:line="240" w:lineRule="auto"/>
    </w:pPr>
    <w:rPr>
      <w:rFonts w:ascii="Verdana" w:eastAsia="Times New Roman" w:hAnsi="Verdana" w:cs="Times New Roman"/>
      <w:b/>
      <w:caps/>
      <w:noProof/>
      <w:color w:val="000000" w:themeColor="text1"/>
      <w:sz w:val="17"/>
      <w:szCs w:val="24"/>
      <w:lang w:val="cs-CZ"/>
    </w:rPr>
  </w:style>
  <w:style w:type="paragraph" w:customStyle="1" w:styleId="smlouvaheading2">
    <w:name w:val="smlouva heading 2"/>
    <w:basedOn w:val="Normln"/>
    <w:next w:val="Normln"/>
    <w:qFormat/>
    <w:rsid w:val="00745C9A"/>
    <w:pPr>
      <w:numPr>
        <w:ilvl w:val="1"/>
        <w:numId w:val="44"/>
      </w:numPr>
      <w:spacing w:before="120" w:line="240" w:lineRule="auto"/>
      <w:jc w:val="both"/>
    </w:pPr>
    <w:rPr>
      <w:rFonts w:ascii="Verdana" w:eastAsia="Times New Roman" w:hAnsi="Verdana" w:cs="Times New Roman"/>
      <w:color w:val="000000" w:themeColor="text1"/>
      <w:sz w:val="17"/>
      <w:lang w:val="cs-CZ"/>
    </w:rPr>
  </w:style>
  <w:style w:type="paragraph" w:customStyle="1" w:styleId="smlouvaheading3">
    <w:name w:val="smlouva heading 3"/>
    <w:basedOn w:val="smlouvaheading2"/>
    <w:next w:val="Normln"/>
    <w:qFormat/>
    <w:rsid w:val="00745C9A"/>
    <w:pPr>
      <w:numPr>
        <w:ilvl w:val="2"/>
      </w:numPr>
      <w:tabs>
        <w:tab w:val="left" w:pos="794"/>
      </w:tabs>
    </w:pPr>
  </w:style>
  <w:style w:type="paragraph" w:customStyle="1" w:styleId="smlouvaheading4">
    <w:name w:val="smlouva heading 4"/>
    <w:basedOn w:val="smlouvaheading3"/>
    <w:next w:val="Normln"/>
    <w:qFormat/>
    <w:rsid w:val="00745C9A"/>
    <w:pPr>
      <w:numPr>
        <w:ilvl w:val="3"/>
      </w:numPr>
      <w:tabs>
        <w:tab w:val="clear" w:pos="794"/>
      </w:tabs>
    </w:pPr>
    <w:rPr>
      <w:color w:val="auto"/>
    </w:rPr>
  </w:style>
  <w:style w:type="paragraph" w:styleId="Odstavecseseznamem">
    <w:name w:val="List Paragraph"/>
    <w:basedOn w:val="Normln"/>
    <w:uiPriority w:val="34"/>
    <w:qFormat/>
    <w:rsid w:val="00745C9A"/>
    <w:pPr>
      <w:keepLines/>
      <w:tabs>
        <w:tab w:val="left" w:pos="851"/>
      </w:tabs>
      <w:spacing w:before="120" w:line="240" w:lineRule="auto"/>
      <w:ind w:left="720"/>
      <w:jc w:val="both"/>
    </w:pPr>
    <w:rPr>
      <w:rFonts w:ascii="Verdana" w:eastAsia="Times New Roman" w:hAnsi="Verdana" w:cs="Times New Roman"/>
      <w:sz w:val="17"/>
      <w:szCs w:val="18"/>
      <w:lang w:val="cs-CZ"/>
    </w:rPr>
  </w:style>
  <w:style w:type="paragraph" w:styleId="Revize">
    <w:name w:val="Revision"/>
    <w:hidden/>
    <w:uiPriority w:val="99"/>
    <w:semiHidden/>
    <w:rsid w:val="002401B1"/>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skerova\Desktop\OSTATN&#205;\VZORY\EL_UOCHB.dotx" TargetMode="External"/></Relationships>
</file>

<file path=word/theme/theme1.xml><?xml version="1.0" encoding="utf-8"?>
<a:theme xmlns:a="http://schemas.openxmlformats.org/drawingml/2006/main" name="Theme 2020">
  <a:themeElements>
    <a:clrScheme name="Custom 1">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 Brand Theme" id="{25049939-F45C-468E-9BFD-6DA761B8498D}" vid="{209F14B4-8B24-4C73-BD36-0068D8B1E23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8177A2AC732E449AA0EAFBD2374E79C" ma:contentTypeVersion="2" ma:contentTypeDescription="Create a new document." ma:contentTypeScope="" ma:versionID="59456cdff4fd7ed3455df934bc12db5f">
  <xsd:schema xmlns:xsd="http://www.w3.org/2001/XMLSchema" xmlns:xs="http://www.w3.org/2001/XMLSchema" xmlns:p="http://schemas.microsoft.com/office/2006/metadata/properties" xmlns:ns2="e4b95afa-2213-4486-8c1e-3596e478df32" xmlns:ns3="7f12a17c-f727-4508-8581-067cb947e8a1" targetNamespace="http://schemas.microsoft.com/office/2006/metadata/properties" ma:root="true" ma:fieldsID="55b81f36eb5058fa66311c0b3b1679fc" ns2:_="" ns3:_="">
    <xsd:import namespace="e4b95afa-2213-4486-8c1e-3596e478df32"/>
    <xsd:import namespace="7f12a17c-f727-4508-8581-067cb947e8a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95afa-2213-4486-8c1e-3596e478df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f12a17c-f727-4508-8581-067cb947e8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CCAFB-11B0-4564-87D1-9C903D0332F8}">
  <ds:schemaRefs>
    <ds:schemaRef ds:uri="http://schemas.microsoft.com/sharepoint/events"/>
    <ds:schemaRef ds:uri=""/>
  </ds:schemaRefs>
</ds:datastoreItem>
</file>

<file path=customXml/itemProps2.xml><?xml version="1.0" encoding="utf-8"?>
<ds:datastoreItem xmlns:ds="http://schemas.openxmlformats.org/officeDocument/2006/customXml" ds:itemID="{DF14A7DE-985A-4320-A717-2AEE6C049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95afa-2213-4486-8c1e-3596e478df32"/>
    <ds:schemaRef ds:uri="7f12a17c-f727-4508-8581-067cb947e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25B81-93AA-4F15-86B3-E07B28EDABB3}">
  <ds:schemaRefs>
    <ds:schemaRef ds:uri="http://purl.org/dc/elements/1.1/"/>
    <ds:schemaRef ds:uri="http://schemas.microsoft.com/office/2006/metadata/properties"/>
    <ds:schemaRef ds:uri="7f12a17c-f727-4508-8581-067cb947e8a1"/>
    <ds:schemaRef ds:uri="http://purl.org/dc/terms/"/>
    <ds:schemaRef ds:uri="http://schemas.microsoft.com/office/2006/documentManagement/types"/>
    <ds:schemaRef ds:uri="http://purl.org/dc/dcmitype/"/>
    <ds:schemaRef ds:uri="http://schemas.microsoft.com/office/infopath/2007/PartnerControls"/>
    <ds:schemaRef ds:uri="e4b95afa-2213-4486-8c1e-3596e478df32"/>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9BFE8A0-F11A-4B60-9B6F-85A8B5D04ECA}">
  <ds:schemaRefs>
    <ds:schemaRef ds:uri="http://schemas.microsoft.com/sharepoint/v3/contenttype/forms"/>
  </ds:schemaRefs>
</ds:datastoreItem>
</file>

<file path=customXml/itemProps5.xml><?xml version="1.0" encoding="utf-8"?>
<ds:datastoreItem xmlns:ds="http://schemas.openxmlformats.org/officeDocument/2006/customXml" ds:itemID="{0A7CCF1A-9FA4-4616-B83A-C027CCA9F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EL_UOCHB.dotx</Template>
  <TotalTime>19</TotalTime>
  <Pages>6</Pages>
  <Words>2860</Words>
  <Characters>16877</Characters>
  <Application>Microsoft Office Word</Application>
  <DocSecurity>0</DocSecurity>
  <Lines>140</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Letterhead</vt:lpstr>
      <vt:lpstr>Letterhead</vt:lpstr>
    </vt:vector>
  </TitlesOfParts>
  <Company/>
  <LinksUpToDate>false</LinksUpToDate>
  <CharactersWithSpaces>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Deloitte Legal</dc:creator>
  <cp:keywords/>
  <dc:description/>
  <cp:lastModifiedBy>Nedomová Jana</cp:lastModifiedBy>
  <cp:revision>7</cp:revision>
  <cp:lastPrinted>2022-03-21T14:17:00Z</cp:lastPrinted>
  <dcterms:created xsi:type="dcterms:W3CDTF">2022-03-14T16:58:00Z</dcterms:created>
  <dcterms:modified xsi:type="dcterms:W3CDTF">2022-03-21T14:30:00Z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0x010100D8177A2AC732E449AA0EAFBD2374E79C</vt:lpwstr>
  </property>
  <property fmtid="{D5CDD505-2E9C-101B-9397-08002B2CF9AE}" pid="3" name="MSIP_Label_ea60d57e-af5b-4752-ac57-3e4f28ca11dc_Enabled">
    <vt:lpwstr>true</vt:lpwstr>
  </property>
  <property fmtid="{D5CDD505-2E9C-101B-9397-08002B2CF9AE}" pid="4" name="MSIP_Label_ea60d57e-af5b-4752-ac57-3e4f28ca11dc_SetDate">
    <vt:lpwstr>2021-06-23T12:39:32Z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6a949b06-e7f5-476f-a1b4-f38c90887855</vt:lpwstr>
  </property>
  <property fmtid="{D5CDD505-2E9C-101B-9397-08002B2CF9AE}" pid="9" name="MSIP_Label_ea60d57e-af5b-4752-ac57-3e4f28ca11dc_ContentBits">
    <vt:lpwstr>0</vt:lpwstr>
  </property>
</Properties>
</file>