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2CE5F" w14:textId="77777777" w:rsidR="00D96156" w:rsidRDefault="00D96156" w:rsidP="00D859C2">
      <w:pPr>
        <w:jc w:val="center"/>
        <w:rPr>
          <w:b/>
          <w:sz w:val="36"/>
          <w:szCs w:val="36"/>
        </w:rPr>
      </w:pPr>
    </w:p>
    <w:p w14:paraId="57CC0963" w14:textId="77777777" w:rsidR="00D96156" w:rsidRDefault="00D96156" w:rsidP="00D859C2">
      <w:pPr>
        <w:jc w:val="center"/>
        <w:rPr>
          <w:b/>
          <w:sz w:val="36"/>
          <w:szCs w:val="36"/>
        </w:rPr>
      </w:pPr>
    </w:p>
    <w:p w14:paraId="3AE3FF75" w14:textId="77777777" w:rsidR="00D96156" w:rsidRDefault="00D96156" w:rsidP="00D859C2">
      <w:pPr>
        <w:jc w:val="center"/>
        <w:rPr>
          <w:b/>
          <w:sz w:val="36"/>
          <w:szCs w:val="36"/>
        </w:rPr>
      </w:pPr>
    </w:p>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53BB5B46" w14:textId="77777777" w:rsidR="00E41462" w:rsidRDefault="00E41462" w:rsidP="00D859C2">
      <w:pPr>
        <w:rPr>
          <w:rStyle w:val="platne1"/>
        </w:rPr>
      </w:pPr>
    </w:p>
    <w:p w14:paraId="55A975A1" w14:textId="77777777" w:rsidR="00E41462" w:rsidRDefault="00E41462" w:rsidP="00D859C2">
      <w:pPr>
        <w:rPr>
          <w:rStyle w:val="platne1"/>
        </w:rPr>
      </w:pPr>
    </w:p>
    <w:p w14:paraId="1D3495A3" w14:textId="77777777" w:rsidR="00E41462" w:rsidRPr="00473AA4" w:rsidRDefault="00E41462" w:rsidP="00E41462">
      <w:pPr>
        <w:spacing w:after="60" w:line="240" w:lineRule="auto"/>
        <w:rPr>
          <w:b/>
          <w:sz w:val="23"/>
          <w:szCs w:val="23"/>
        </w:rPr>
      </w:pPr>
      <w:r>
        <w:rPr>
          <w:b/>
          <w:sz w:val="23"/>
          <w:szCs w:val="23"/>
        </w:rPr>
        <w:t>NIMOTECH, s.r.o.</w:t>
      </w:r>
    </w:p>
    <w:p w14:paraId="055D5C85" w14:textId="3B480266" w:rsidR="00E41462" w:rsidRPr="00F55A47" w:rsidRDefault="00E41462" w:rsidP="00F55A47">
      <w:pPr>
        <w:rPr>
          <w:rStyle w:val="platne1"/>
        </w:rPr>
      </w:pPr>
      <w:r w:rsidRPr="00F55A47">
        <w:t>IČ: 18825605</w:t>
      </w:r>
    </w:p>
    <w:p w14:paraId="69B306AC" w14:textId="77777777" w:rsidR="00E41462" w:rsidRPr="00F55A47" w:rsidRDefault="00E41462" w:rsidP="00F55A47">
      <w:pPr>
        <w:rPr>
          <w:rStyle w:val="platne1"/>
        </w:rPr>
      </w:pPr>
      <w:r w:rsidRPr="00F55A47">
        <w:rPr>
          <w:rStyle w:val="platne1"/>
        </w:rPr>
        <w:t>DIČ: CZ18825605</w:t>
      </w:r>
    </w:p>
    <w:p w14:paraId="1413E2B5" w14:textId="77777777" w:rsidR="00E41462" w:rsidRPr="00F55A47" w:rsidRDefault="00E41462" w:rsidP="00F55A47">
      <w:pPr>
        <w:rPr>
          <w:rStyle w:val="platne1"/>
        </w:rPr>
      </w:pPr>
      <w:r w:rsidRPr="00F55A47">
        <w:rPr>
          <w:rStyle w:val="platne1"/>
        </w:rPr>
        <w:t xml:space="preserve">se sídlem: Šumavská 416/15, </w:t>
      </w:r>
      <w:proofErr w:type="spellStart"/>
      <w:r w:rsidRPr="00F55A47">
        <w:rPr>
          <w:rStyle w:val="platne1"/>
        </w:rPr>
        <w:t>Ponava</w:t>
      </w:r>
      <w:proofErr w:type="spellEnd"/>
      <w:r w:rsidRPr="00F55A47">
        <w:rPr>
          <w:rStyle w:val="platne1"/>
        </w:rPr>
        <w:t>, 602 00 Brno</w:t>
      </w:r>
    </w:p>
    <w:p w14:paraId="34058F82" w14:textId="77777777" w:rsidR="00E41462" w:rsidRPr="00F55A47" w:rsidRDefault="00E41462" w:rsidP="00F55A47">
      <w:pPr>
        <w:rPr>
          <w:rStyle w:val="platne1"/>
        </w:rPr>
      </w:pPr>
      <w:r w:rsidRPr="00F55A47">
        <w:rPr>
          <w:rStyle w:val="platne1"/>
        </w:rPr>
        <w:t xml:space="preserve">zastoupena: JUDr. Gertrudou </w:t>
      </w:r>
      <w:proofErr w:type="spellStart"/>
      <w:r w:rsidRPr="00F55A47">
        <w:rPr>
          <w:rStyle w:val="platne1"/>
        </w:rPr>
        <w:t>Frydovou</w:t>
      </w:r>
      <w:proofErr w:type="spellEnd"/>
      <w:r w:rsidRPr="00F55A47">
        <w:rPr>
          <w:rStyle w:val="platne1"/>
        </w:rPr>
        <w:t>, prokuristou</w:t>
      </w:r>
    </w:p>
    <w:p w14:paraId="5AE9BC1B" w14:textId="77777777" w:rsidR="00E41462" w:rsidRPr="00F55A47" w:rsidRDefault="00E41462" w:rsidP="00F55A47">
      <w:pPr>
        <w:rPr>
          <w:rStyle w:val="platne1"/>
        </w:rPr>
      </w:pPr>
      <w:r w:rsidRPr="00F55A47">
        <w:rPr>
          <w:rStyle w:val="platne1"/>
        </w:rPr>
        <w:t xml:space="preserve">bankovní spojení: </w:t>
      </w:r>
      <w:proofErr w:type="spellStart"/>
      <w:r w:rsidRPr="00F55A47">
        <w:rPr>
          <w:rStyle w:val="platne1"/>
        </w:rPr>
        <w:t>UniCredit</w:t>
      </w:r>
      <w:proofErr w:type="spellEnd"/>
      <w:r w:rsidRPr="00F55A47">
        <w:rPr>
          <w:rStyle w:val="platne1"/>
        </w:rPr>
        <w:t xml:space="preserve"> Bank Czech Republic and Slovakia, a.s.</w:t>
      </w:r>
    </w:p>
    <w:p w14:paraId="220F2677" w14:textId="77777777" w:rsidR="00E41462" w:rsidRPr="00F55A47" w:rsidRDefault="00E41462" w:rsidP="00F55A47">
      <w:pPr>
        <w:rPr>
          <w:rStyle w:val="platne1"/>
        </w:rPr>
      </w:pPr>
      <w:r w:rsidRPr="00F55A47">
        <w:rPr>
          <w:rStyle w:val="platne1"/>
        </w:rPr>
        <w:t>číslo bankovního účtu: 1031513006/2700</w:t>
      </w:r>
    </w:p>
    <w:p w14:paraId="59ECF4A5" w14:textId="77777777" w:rsidR="00E41462" w:rsidRPr="00F55A47" w:rsidRDefault="00E41462" w:rsidP="00F55A47">
      <w:r w:rsidRPr="00F55A47">
        <w:rPr>
          <w:rStyle w:val="platne1"/>
        </w:rPr>
        <w:t>zapsaná v obchodním rejstříku vedeném Krajským soudem v Brně, oddíl C, vložka 1292</w:t>
      </w:r>
    </w:p>
    <w:p w14:paraId="1B5FDF32" w14:textId="77777777" w:rsidR="00F55A47" w:rsidRDefault="00F55A47"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77777777" w:rsidR="00D859C2" w:rsidRPr="002B77A6" w:rsidRDefault="00D859C2" w:rsidP="00D859C2">
      <w:r>
        <w:t>zastoupena</w:t>
      </w:r>
      <w:r w:rsidRPr="002B77A6">
        <w:t xml:space="preserve">: </w:t>
      </w:r>
      <w:r w:rsidRPr="001150C5">
        <w:t>prof. MUDr. Jaroslav Štěrba, Ph.D.</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34A66AC9"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w:t>
      </w:r>
      <w:r w:rsidR="00E62375">
        <w:br/>
      </w:r>
      <w:r>
        <w:t>a nerušeně užívat v souladu s jejich účelovým určením</w:t>
      </w:r>
      <w:r w:rsidR="00E62375">
        <w:t xml:space="preserve"> a </w:t>
      </w:r>
      <w:r w:rsidRPr="00E62375">
        <w:t>touto smlouvou</w:t>
      </w:r>
      <w:r w:rsidR="00E62375">
        <w:t>.</w:t>
      </w:r>
    </w:p>
    <w:p w14:paraId="65CA5F78" w14:textId="77777777" w:rsidR="00095C75" w:rsidRDefault="00095C75" w:rsidP="003E4543"/>
    <w:p w14:paraId="4971FA91" w14:textId="77777777" w:rsidR="00E62375" w:rsidRDefault="00E623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34D769C4" w14:textId="77777777" w:rsidR="00EE155A" w:rsidRDefault="00EE155A" w:rsidP="00E62375">
      <w:pPr>
        <w:pStyle w:val="Odstavecsmlouvy"/>
        <w:numPr>
          <w:ilvl w:val="0"/>
          <w:numId w:val="0"/>
        </w:numPr>
      </w:pPr>
    </w:p>
    <w:p w14:paraId="4C88BE70" w14:textId="24541249" w:rsidR="00EE155A" w:rsidRPr="00D859C2" w:rsidRDefault="00EE155A" w:rsidP="00EE155A">
      <w:pPr>
        <w:pStyle w:val="Odstavecsmlouvy"/>
      </w:pPr>
      <w:r>
        <w:t xml:space="preserve">Požádá-li o to písemně Kupující, je Prodávající povinen provést zaškolení techniků Oddělení zdravotnické techniky Kupujícího k provádění bezpečnostně technických prohlídek Zboží dle § 45 </w:t>
      </w:r>
      <w:r w:rsidRPr="00D859C2">
        <w:t xml:space="preserve">zákona č. </w:t>
      </w:r>
      <w:r>
        <w:t>89</w:t>
      </w:r>
      <w:r w:rsidRPr="00D859C2">
        <w:t>/</w:t>
      </w:r>
      <w:r>
        <w:t>2021</w:t>
      </w:r>
      <w:r w:rsidRPr="00D859C2">
        <w:t xml:space="preserve"> Sb., </w:t>
      </w:r>
      <w:r w:rsidRPr="004820A4">
        <w:t xml:space="preserve">o zdravotnických prostředcích </w:t>
      </w:r>
      <w:r w:rsidR="00E62375">
        <w:br/>
      </w:r>
      <w:r w:rsidRPr="004820A4">
        <w:t>a o změně zákona č. 378/2007 Sb., o léčivech a o změnách některých souvisejících zákonů (zákon o léčivech), ve znění pozdějších předpisů</w:t>
      </w:r>
      <w:r>
        <w:t xml:space="preserve"> (dále jen „</w:t>
      </w:r>
      <w:proofErr w:type="spellStart"/>
      <w:r w:rsidRPr="00D859C2">
        <w:rPr>
          <w:b/>
        </w:rPr>
        <w:t>ZoZP</w:t>
      </w:r>
      <w:proofErr w:type="spellEnd"/>
      <w:r>
        <w:t xml:space="preserve">“), k provádění oprav Zboží dle § 46 </w:t>
      </w:r>
      <w:proofErr w:type="spellStart"/>
      <w:r>
        <w:t>ZoZP</w:t>
      </w:r>
      <w:proofErr w:type="spellEnd"/>
      <w:r>
        <w:t xml:space="preserve"> a k provádění instruktáže obsluhy Zboží dle § 41 </w:t>
      </w:r>
      <w:proofErr w:type="spellStart"/>
      <w:r>
        <w:t>ZoZP</w:t>
      </w:r>
      <w:proofErr w:type="spellEnd"/>
      <w:r>
        <w:t xml:space="preserve">, </w:t>
      </w:r>
      <w:r w:rsidR="00E62375">
        <w:br/>
      </w:r>
      <w:r>
        <w:t xml:space="preserve">to vše tak, aby Kupující byl schopen a oprávněn provádět tyto činnosti po celou dobu životnosti Zboží sám, nejméně však po dobu 10 let od podpisu předávacího protokolu oběma smluvními stranami. Zaškolení dle věty předchozí je Prodávající povinen dokončit do 6 měsíců od doručení písemné žádosti Kupujícího dle věty předchozí. Plnění podle tohoto odstavce smlouvy je Prodávající povinen poskytnout </w:t>
      </w:r>
      <w:r w:rsidRPr="004A221C">
        <w:rPr>
          <w:b/>
          <w:u w:val="single"/>
        </w:rPr>
        <w:t>bezplatně</w:t>
      </w:r>
      <w:r>
        <w:t>, a to včetně případného opakování zaškolení po dobu životnosti Zboží.</w:t>
      </w:r>
    </w:p>
    <w:p w14:paraId="63E7B2BE" w14:textId="418C2B22" w:rsidR="00095C75" w:rsidRDefault="00095C75" w:rsidP="00EE155A">
      <w:pPr>
        <w:pStyle w:val="Odstavecsmlouvy"/>
        <w:numPr>
          <w:ilvl w:val="0"/>
          <w:numId w:val="0"/>
        </w:numPr>
        <w:ind w:left="567"/>
      </w:pPr>
    </w:p>
    <w:p w14:paraId="0719D17C" w14:textId="484E37E3" w:rsidR="00BA5EEC" w:rsidRDefault="00BA5EEC" w:rsidP="00BA5EEC">
      <w:pPr>
        <w:pStyle w:val="Odstavecsmlouvy"/>
        <w:numPr>
          <w:ilvl w:val="1"/>
          <w:numId w:val="1"/>
        </w:numPr>
      </w:pPr>
      <w:r w:rsidRPr="00D231CC">
        <w:t>Prodávající je povinen do 2 týdnů od převzetí Zboží Kupujícím provést zaškolení</w:t>
      </w:r>
      <w:r>
        <w:t xml:space="preserve">, </w:t>
      </w:r>
      <w:r w:rsidR="00E62375">
        <w:br/>
      </w:r>
      <w:r>
        <w:t>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p>
    <w:p w14:paraId="262FC22F" w14:textId="74B95389" w:rsidR="009A7E08" w:rsidRDefault="009A7E08" w:rsidP="009A7E08">
      <w:pPr>
        <w:pStyle w:val="Odstavecsmlouvy"/>
        <w:numPr>
          <w:ilvl w:val="1"/>
          <w:numId w:val="1"/>
        </w:numPr>
      </w:pPr>
      <w:r>
        <w:t xml:space="preserve">V případě, že je v příloze č. 1 této smlouvy uveden počítačový program (software), </w:t>
      </w:r>
      <w:r w:rsidR="0057752F">
        <w:br/>
      </w:r>
      <w:r>
        <w:t xml:space="preserve">jakož i tehdy, kdy je software nezbytnou součástí Zboží, poskytuje Prodávající </w:t>
      </w:r>
      <w:bookmarkEnd w:id="0"/>
      <w:r>
        <w:t xml:space="preserve">Kupujícímu </w:t>
      </w:r>
      <w:bookmarkEnd w:id="1"/>
      <w:bookmarkEnd w:id="2"/>
      <w:r>
        <w:t xml:space="preserve">k takovému software nevýhradní a nevypověditelné oprávnění (licenci) </w:t>
      </w:r>
      <w:r w:rsidR="0057752F">
        <w:br/>
      </w:r>
      <w:r>
        <w:t xml:space="preserve">jej užívat všemi způsoby nezbytnými pro jeho řádné užívání dle jeho účelového určení, dle této smlouvy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přihlášených a na dobu trvání majetkových práv autorských (dále souhrnně </w:t>
      </w:r>
      <w:r w:rsidR="0057752F">
        <w:br/>
      </w:r>
      <w:r>
        <w:t>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xml:space="preserve">“). Závazek Prodávajícího zprostředkovat uzavření Licenční smlouvy se považuje za splněný i uzavřením této smlouvy, pokud příloha č. 1 této smlouvy obsahuje podstatné náležitosti Licenční </w:t>
      </w:r>
      <w:r w:rsidR="001B4519">
        <w:t>smlouvy</w:t>
      </w:r>
      <w:r>
        <w:t xml:space="preserve"> a Prodávající je oprávněn takto </w:t>
      </w:r>
      <w:r w:rsidR="00E62375">
        <w:br/>
      </w:r>
      <w:r>
        <w:lastRenderedPageBreak/>
        <w:t xml:space="preserve">pro Kupujícího zajistit uzavření Licenční smlouvy. </w:t>
      </w:r>
      <w:r w:rsidR="0070757B">
        <w:t>Prodávající je povinen uhradit veškeré náklady nabyvatele licencí vyplývající z Licenčních smluv.</w:t>
      </w:r>
    </w:p>
    <w:p w14:paraId="11393A80" w14:textId="77777777" w:rsidR="009A7E08" w:rsidRDefault="009A7E08" w:rsidP="009A7E08">
      <w:pPr>
        <w:pStyle w:val="Odstavecsmlouvy"/>
        <w:numPr>
          <w:ilvl w:val="0"/>
          <w:numId w:val="0"/>
        </w:numPr>
        <w:ind w:left="567"/>
      </w:pPr>
    </w:p>
    <w:p w14:paraId="6600F0E3" w14:textId="2A1EA806" w:rsidR="0070757B" w:rsidRDefault="009A7E08" w:rsidP="0070757B">
      <w:pPr>
        <w:pStyle w:val="Odstavecsmlouvy"/>
        <w:numPr>
          <w:ilvl w:val="1"/>
          <w:numId w:val="1"/>
        </w:numPr>
      </w:pPr>
      <w:bookmarkStart w:id="3" w:name="_Ref77341478"/>
      <w:bookmarkStart w:id="4" w:name="_Ref46315892"/>
      <w:r>
        <w:t xml:space="preserve">V případě, že je v příloze č. 1 této smlouvy specifikována </w:t>
      </w:r>
      <w:r w:rsidRPr="00960A57">
        <w:t>služba</w:t>
      </w:r>
      <w:r>
        <w:t xml:space="preserve"> případně včetně doby, po kterou má být poskytována, </w:t>
      </w:r>
      <w:r w:rsidR="001B4519">
        <w:t xml:space="preserve">a není-li v této smlouvě sjednáno jinak, </w:t>
      </w:r>
      <w:r>
        <w:t xml:space="preserve">je Prodávající povinen takovou službu Kupujícímu po tuto dobu a za </w:t>
      </w:r>
      <w:r w:rsidR="001B4519">
        <w:t>podmínek uvedených v příloze č. </w:t>
      </w:r>
      <w:r>
        <w:t xml:space="preserve">1 této smlouvy poskytovat. Jestliže z povahy takové služby vyplývá, že ji poskytuje třetí osoba (např. výrobce počítačového programu), případně včetně dalších plnění, </w:t>
      </w:r>
      <w:r w:rsidR="009262A8">
        <w:br/>
      </w:r>
      <w:r>
        <w:t xml:space="preserve">je Prodávající ve lhůtě sjednané pro </w:t>
      </w:r>
      <w:r w:rsidR="001B4519">
        <w:t xml:space="preserve">dodání Zboží </w:t>
      </w:r>
      <w:r>
        <w:t>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sidR="001B4519">
        <w:rPr>
          <w:b/>
        </w:rPr>
        <w:t>s</w:t>
      </w:r>
      <w:r w:rsidRPr="008D0FB0">
        <w:rPr>
          <w:b/>
        </w:rPr>
        <w:t>lužby</w:t>
      </w:r>
      <w:r>
        <w:rPr>
          <w:b/>
        </w:rPr>
        <w:t xml:space="preserve"> třetí osoby</w:t>
      </w:r>
      <w:r>
        <w:t>“).</w:t>
      </w:r>
      <w:r w:rsidRPr="007B69F7">
        <w:t xml:space="preserve"> </w:t>
      </w:r>
      <w:r>
        <w:t xml:space="preserve">Závazek Prodávajícího zprostředkovat uzavření Smlouvy o poskytování </w:t>
      </w:r>
      <w:r w:rsidR="00F8343D">
        <w:t>s</w:t>
      </w:r>
      <w:r>
        <w:t xml:space="preserve">lužby třetí osoby se považuje </w:t>
      </w:r>
      <w:r w:rsidR="009262A8">
        <w:br/>
      </w:r>
      <w:r>
        <w:t xml:space="preserve">za splněný i uzavřením této smlouvy, pokud příloha č. 1 této smlouvy obsahuje </w:t>
      </w:r>
      <w:r w:rsidR="001B4519">
        <w:t xml:space="preserve">podstatné náležitosti </w:t>
      </w:r>
      <w:r>
        <w:t xml:space="preserve">Smlouvy o poskytování </w:t>
      </w:r>
      <w:r w:rsidR="001B4519">
        <w:t>s</w:t>
      </w:r>
      <w:r>
        <w:t xml:space="preserve">lužby třetí osoby a Prodávající je oprávněn takto </w:t>
      </w:r>
      <w:r w:rsidR="009262A8">
        <w:br/>
      </w:r>
      <w:r>
        <w:t xml:space="preserve">pro Kupujícího uzavření Smlouvy o poskytování </w:t>
      </w:r>
      <w:r w:rsidR="001B4519">
        <w:t>s</w:t>
      </w:r>
      <w:r>
        <w:t xml:space="preserve">lužby třetí osoby zajistit. </w:t>
      </w:r>
      <w:r w:rsidR="009262A8">
        <w:br/>
      </w:r>
      <w:r>
        <w:t xml:space="preserve">Závazek Prodávajícího zprostředkovat uzavření Smlouvy o poskytování </w:t>
      </w:r>
      <w:r w:rsidR="001B4519">
        <w:t>s</w:t>
      </w:r>
      <w:r>
        <w:t xml:space="preserve">lužby třetí osoby se považuje za splněný i uzavřením této smlouvy, pokud je závazek poskytování příslušné </w:t>
      </w:r>
      <w:r w:rsidR="001B4519">
        <w:t>s</w:t>
      </w:r>
      <w:r>
        <w:t>lužby třetí osoby součástí Licenční smlouvy.</w:t>
      </w:r>
      <w:bookmarkEnd w:id="3"/>
      <w:r>
        <w:t xml:space="preserve"> </w:t>
      </w:r>
      <w:bookmarkEnd w:id="4"/>
      <w:r w:rsidR="0070757B">
        <w:t>Prodávající je povinen uhradit veškeré náklady objednatele vyplývající ze Smluv o poskytování služby třetích osob.</w:t>
      </w:r>
    </w:p>
    <w:p w14:paraId="3FDBCDBD" w14:textId="77777777" w:rsidR="009A7E08" w:rsidRDefault="009A7E08" w:rsidP="009A7E08">
      <w:pPr>
        <w:pStyle w:val="Odstavecsmlouvy"/>
        <w:numPr>
          <w:ilvl w:val="0"/>
          <w:numId w:val="0"/>
        </w:numPr>
        <w:ind w:left="567"/>
      </w:pPr>
    </w:p>
    <w:p w14:paraId="395F9AC8" w14:textId="7520B9DB" w:rsidR="00BA5EEC" w:rsidRDefault="009A7E08" w:rsidP="009A7E08">
      <w:pPr>
        <w:pStyle w:val="Odstavecsmlouvy"/>
        <w:numPr>
          <w:ilvl w:val="1"/>
          <w:numId w:val="1"/>
        </w:numPr>
      </w:pPr>
      <w:r>
        <w:t xml:space="preserve">Pokud je pro oprávněné užívání </w:t>
      </w:r>
      <w:r w:rsidR="001B4519">
        <w:t xml:space="preserve">software uvedeného v příloze č. 1 této smlouvy </w:t>
      </w:r>
      <w:r w:rsidR="009262A8">
        <w:br/>
      </w:r>
      <w:r w:rsidR="001B4519">
        <w:t xml:space="preserve">nebo software, který je součástí Zboží, </w:t>
      </w:r>
      <w:r>
        <w:t>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499A5C7B" w14:textId="733A0156" w:rsidR="009A7E08" w:rsidRPr="00D859C2" w:rsidRDefault="009A7E08" w:rsidP="009A7E08">
      <w:pPr>
        <w:pStyle w:val="Odstavecsmlouvy"/>
        <w:numPr>
          <w:ilvl w:val="0"/>
          <w:numId w:val="0"/>
        </w:numPr>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4CDE5384"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F55A47" w:rsidRPr="00F55A47">
        <w:t xml:space="preserve">1 </w:t>
      </w:r>
      <w:r w:rsidR="002F4F30" w:rsidRPr="00D859C2">
        <w:t xml:space="preserve">ks </w:t>
      </w:r>
      <w:r w:rsidR="00F55A47" w:rsidRPr="001B580F">
        <w:t>Širokopásmové kardiologické sondy</w:t>
      </w:r>
      <w:r w:rsidR="001B580F" w:rsidRPr="001B580F">
        <w:t xml:space="preserve"> SAMSUNG MEDISON 1-5 MHz</w:t>
      </w:r>
      <w:r w:rsidR="008645D8" w:rsidRPr="001B580F">
        <w:t xml:space="preserve">, typ: </w:t>
      </w:r>
      <w:r w:rsidR="001B580F" w:rsidRPr="001B580F">
        <w:t>(</w:t>
      </w:r>
      <w:r w:rsidR="00F55A47" w:rsidRPr="001B580F">
        <w:t>PA1-5A</w:t>
      </w:r>
      <w:r w:rsidR="001B580F" w:rsidRPr="001B580F">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1B580F">
        <w:t xml:space="preserve"> </w:t>
      </w:r>
      <w:r w:rsidR="00094B12">
        <w:t>(</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27CBB885" w:rsidR="00841443" w:rsidRDefault="009262A8" w:rsidP="00D859C2">
      <w:pPr>
        <w:pStyle w:val="Odstavecsmlouvy"/>
      </w:pPr>
      <w:r>
        <w:t xml:space="preserve">Jestliže z přílohy č. 1 </w:t>
      </w:r>
      <w:r w:rsidR="00841443">
        <w:t xml:space="preserve">nebo z jiných částí této smlouvy vyplývá, že Prodávající je povinen provést montáž Zboží, je povinen provést montáž Zboží dle čl. </w:t>
      </w:r>
      <w:r w:rsidR="00841443">
        <w:fldChar w:fldCharType="begin"/>
      </w:r>
      <w:r w:rsidR="00841443">
        <w:instrText xml:space="preserve"> REF _Ref31278541 \r \h </w:instrText>
      </w:r>
      <w:r w:rsidR="00841443">
        <w:fldChar w:fldCharType="separate"/>
      </w:r>
      <w:r w:rsidR="00BA5EEC">
        <w:t>V</w:t>
      </w:r>
      <w:r w:rsidR="00841443">
        <w:fldChar w:fldCharType="end"/>
      </w:r>
      <w:r w:rsidR="00841443">
        <w:t xml:space="preserve"> této smlouvy (dále </w:t>
      </w:r>
      <w:r>
        <w:br/>
      </w:r>
      <w:r w:rsidR="00841443">
        <w:t>jen „</w:t>
      </w:r>
      <w:r w:rsidR="00841443" w:rsidRPr="00841443">
        <w:rPr>
          <w:b/>
        </w:rPr>
        <w:t>Montáž</w:t>
      </w:r>
      <w:r w:rsidR="00841443">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63AF7F5" w:rsidR="002E3B0B" w:rsidRPr="00D859C2"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Default="00B9193B" w:rsidP="00D859C2">
      <w:pPr>
        <w:pStyle w:val="Zkladntext3"/>
        <w:spacing w:line="240" w:lineRule="auto"/>
        <w:ind w:left="993"/>
        <w:rPr>
          <w:sz w:val="22"/>
          <w:szCs w:val="22"/>
        </w:rPr>
      </w:pPr>
    </w:p>
    <w:p w14:paraId="4D729B0F" w14:textId="77777777" w:rsidR="009262A8" w:rsidRPr="00D859C2" w:rsidRDefault="009262A8"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lastRenderedPageBreak/>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EFB6189"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F55A47">
        <w:rPr>
          <w:b/>
        </w:rPr>
        <w:t xml:space="preserve">do </w:t>
      </w:r>
      <w:r w:rsidR="00F55A47" w:rsidRPr="00F55A47">
        <w:rPr>
          <w:b/>
        </w:rPr>
        <w:t xml:space="preserve">6 </w:t>
      </w:r>
      <w:r w:rsidR="006C3751" w:rsidRPr="00F55A47">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 xml:space="preserve">smlouvy a Kupující </w:t>
      </w:r>
      <w:r w:rsidR="00E62375">
        <w:br/>
      </w:r>
      <w:r w:rsidR="00250E90" w:rsidRPr="00D859C2">
        <w:t>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A591C35" w:rsidR="00BE2371" w:rsidRPr="00D859C2" w:rsidRDefault="003F7B02" w:rsidP="00D859C2">
      <w:pPr>
        <w:pStyle w:val="Odstavecsmlouvy"/>
      </w:pPr>
      <w:r w:rsidRPr="00D859C2">
        <w:t xml:space="preserve">Místem dodání Zboží </w:t>
      </w:r>
      <w:r w:rsidR="00D50BBE" w:rsidRPr="00D859C2">
        <w:t xml:space="preserve">je </w:t>
      </w:r>
      <w:r w:rsidR="00F55A47" w:rsidRPr="00697291">
        <w:t xml:space="preserve">ARO 2, Fakultní nemocnice Brno, Pracoviště Porodnice, </w:t>
      </w:r>
      <w:r w:rsidR="00F55A47">
        <w:br/>
        <w:t>Obilní trh 11, 602</w:t>
      </w:r>
      <w:r w:rsidR="00F55A47" w:rsidRPr="00697291">
        <w:t xml:space="preserve">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75A9ACE"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C26CEB">
        <w:t xml:space="preserve"> ………………</w:t>
      </w:r>
      <w:proofErr w:type="gramStart"/>
      <w:r w:rsidR="00C26CEB">
        <w:t xml:space="preserve">….., </w:t>
      </w:r>
      <w:r w:rsidR="00DE3A3F" w:rsidRPr="00D859C2">
        <w:t>tel.</w:t>
      </w:r>
      <w:proofErr w:type="gramEnd"/>
      <w:r w:rsidR="00C26CEB">
        <w:t xml:space="preserve"> </w:t>
      </w:r>
      <w:r w:rsidR="00DE3A3F" w:rsidRPr="00D859C2">
        <w:t xml:space="preserve">: </w:t>
      </w:r>
      <w:r w:rsidR="00C26CEB">
        <w:t xml:space="preserve">……………………. </w:t>
      </w:r>
      <w:r w:rsidR="002A7916">
        <w:t>a písemně na e-</w:t>
      </w:r>
      <w:r w:rsidR="002A7916" w:rsidRPr="00C26CEB">
        <w:t>mail:</w:t>
      </w:r>
      <w:r w:rsidR="00C26CEB" w:rsidRPr="00C26CEB">
        <w:rPr>
          <w:rStyle w:val="Hypertextovodkaz"/>
          <w:color w:val="auto"/>
          <w:u w:val="none"/>
        </w:rPr>
        <w:t>…………………………</w:t>
      </w:r>
      <w:r w:rsidRPr="00C26CEB">
        <w:t xml:space="preserve">. </w:t>
      </w:r>
      <w:r w:rsidRPr="00D859C2">
        <w:t>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1B9C5142"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 xml:space="preserve">263/2016 Sb., atomový zákon, ve znění pozdějších předpisů, včetně prováděcích předpisů tohoto zákona, zejména vyhlášky č. 422/2016 Sb., </w:t>
      </w:r>
      <w:r w:rsidR="00E62375">
        <w:br/>
      </w:r>
      <w:r w:rsidR="003E4543" w:rsidRPr="009A7E08">
        <w:t>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w:t>
      </w:r>
      <w:r w:rsidR="00E62375">
        <w:br/>
      </w:r>
      <w:r w:rsidRPr="009A7E08">
        <w:t xml:space="preserve">a odzkoušení bezproblémového provozu (např. formou testovacího provozu) </w:t>
      </w:r>
      <w:r w:rsidR="00E62375">
        <w:br/>
      </w:r>
      <w:r w:rsidRPr="009A7E08">
        <w:t>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 xml:space="preserve">nstruktáže obsluhujícího personálu </w:t>
      </w:r>
      <w:r w:rsidR="00E62375">
        <w:br/>
      </w:r>
      <w:r w:rsidRPr="00D859C2">
        <w:t>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1B78A1F6"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 xml:space="preserve">a převzetí Zboží, </w:t>
      </w:r>
      <w:r w:rsidR="00E62375">
        <w:br/>
      </w:r>
      <w:r w:rsidR="00841443">
        <w:t xml:space="preserve">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E62375">
        <w:br/>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E62375">
        <w:br/>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5553E5EF" w:rsidR="00AF2763" w:rsidRPr="00D859C2" w:rsidRDefault="00E826DA" w:rsidP="00D859C2">
      <w:pPr>
        <w:pStyle w:val="Odstavecsmlouvy"/>
      </w:pPr>
      <w:r w:rsidRPr="00D859C2">
        <w:t xml:space="preserve">Okamžikem </w:t>
      </w:r>
      <w:r w:rsidR="0009512B">
        <w:t xml:space="preserve">podpisu předávacího protokolu oběma smluvními stranami </w:t>
      </w:r>
      <w:r w:rsidRPr="00D859C2">
        <w:t>nabývá Kupující vlastnické právo ke Zboží a přechází na Kupujícího nebezpečí škody na Zboží.</w:t>
      </w:r>
    </w:p>
    <w:p w14:paraId="75136A75" w14:textId="77777777" w:rsidR="00AF2763" w:rsidRPr="00D859C2" w:rsidRDefault="00AF2763" w:rsidP="00D859C2">
      <w:pPr>
        <w:pStyle w:val="Odstavecsmlouvy"/>
        <w:numPr>
          <w:ilvl w:val="0"/>
          <w:numId w:val="0"/>
        </w:numPr>
        <w:ind w:left="567"/>
      </w:pPr>
    </w:p>
    <w:p w14:paraId="75136A76" w14:textId="7DEA0BD1"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w:t>
      </w:r>
      <w:r w:rsidR="00E62375">
        <w:br/>
      </w:r>
      <w:r w:rsidRPr="00D859C2">
        <w:t>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16D44CA3" w14:textId="77777777" w:rsidR="00E62375" w:rsidRDefault="00E62375" w:rsidP="00D859C2">
      <w:pPr>
        <w:pStyle w:val="Zkladntext3"/>
        <w:spacing w:line="240" w:lineRule="auto"/>
        <w:ind w:left="567"/>
        <w:rPr>
          <w:sz w:val="22"/>
          <w:szCs w:val="22"/>
        </w:rPr>
      </w:pPr>
    </w:p>
    <w:p w14:paraId="698CB87E" w14:textId="77777777" w:rsidR="00E62375" w:rsidRDefault="00E62375" w:rsidP="00D859C2">
      <w:pPr>
        <w:pStyle w:val="Zkladntext3"/>
        <w:spacing w:line="240" w:lineRule="auto"/>
        <w:ind w:left="567"/>
        <w:rPr>
          <w:sz w:val="22"/>
          <w:szCs w:val="22"/>
        </w:rPr>
      </w:pPr>
    </w:p>
    <w:p w14:paraId="568EAB37" w14:textId="77777777" w:rsidR="00E62375" w:rsidRDefault="00E62375" w:rsidP="00D859C2">
      <w:pPr>
        <w:pStyle w:val="Zkladntext3"/>
        <w:spacing w:line="240" w:lineRule="auto"/>
        <w:ind w:left="567"/>
        <w:rPr>
          <w:sz w:val="22"/>
          <w:szCs w:val="22"/>
        </w:rPr>
      </w:pPr>
    </w:p>
    <w:p w14:paraId="76E9B822" w14:textId="77777777" w:rsidR="00841443" w:rsidRDefault="00841443" w:rsidP="00841443">
      <w:pPr>
        <w:pStyle w:val="Nadpis1"/>
      </w:pPr>
      <w:bookmarkStart w:id="5" w:name="_Ref31278541"/>
      <w:r>
        <w:lastRenderedPageBreak/>
        <w:t>Montáž</w:t>
      </w:r>
      <w:bookmarkEnd w:id="5"/>
    </w:p>
    <w:p w14:paraId="7F49ED67" w14:textId="77777777" w:rsidR="00841443" w:rsidRDefault="00841443" w:rsidP="00841443">
      <w:pPr>
        <w:jc w:val="center"/>
        <w:rPr>
          <w:b/>
          <w:bCs/>
        </w:rPr>
      </w:pPr>
    </w:p>
    <w:p w14:paraId="36B44289" w14:textId="0F9FF244" w:rsidR="00271FDF" w:rsidRDefault="00271FDF" w:rsidP="00271FDF">
      <w:pPr>
        <w:pStyle w:val="Odstavecsmlouvy"/>
        <w:numPr>
          <w:ilvl w:val="1"/>
          <w:numId w:val="1"/>
        </w:numPr>
      </w:pPr>
      <w:r>
        <w:t>Prodávající je povinen na svůj náklad a nebezpečí provést Montáž včetně případné demontáže dle</w:t>
      </w:r>
      <w:r w:rsidR="009262A8">
        <w:t xml:space="preserve"> přílohy č. 1 této smlouvy </w:t>
      </w:r>
      <w:r>
        <w:t xml:space="preserve">a v souladu s právními předpisy a s ohledem </w:t>
      </w:r>
      <w:r w:rsidR="009262A8">
        <w:br/>
      </w:r>
      <w:r>
        <w:t>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Prodávající je povinen při provádění Montáže dodržovat pokyny Kupujícího, které nejsou v rozporu s t</w:t>
      </w:r>
      <w:r w:rsidR="0093482D">
        <w:t>outo smlouvou, právními předpis</w:t>
      </w:r>
      <w:r>
        <w:t>. Prodávající je povinen Montáž provést v místech označených Kupujícím a touto smlouvou v rozsahu a způsobem, které Kupujícímu umožní řádné a nerušené užívání Zb</w:t>
      </w:r>
      <w:r w:rsidR="0093482D">
        <w:t xml:space="preserve">oží v souladu s touto smlouvou, </w:t>
      </w:r>
      <w:r>
        <w:t xml:space="preserve">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288A7B3" w:rsidR="00271FDF" w:rsidRDefault="00271FDF" w:rsidP="00271FDF">
      <w:pPr>
        <w:pStyle w:val="Odstavecsmlouvy"/>
        <w:numPr>
          <w:ilvl w:val="1"/>
          <w:numId w:val="1"/>
        </w:numPr>
      </w:pPr>
      <w:r>
        <w:t xml:space="preserve">Kupující je povinen předat Prodávajícímu místa provádění Montáže ve stavu umožňujícím splnění povinností Prodávajícího sjednaných v této smlouvě, </w:t>
      </w:r>
      <w:r w:rsidR="00E62375">
        <w:br/>
      </w:r>
      <w:r>
        <w:t xml:space="preserve">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w:t>
      </w:r>
      <w:r w:rsidR="00E62375">
        <w:br/>
      </w:r>
      <w:r>
        <w:t>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29E1D7A2" w:rsidR="00271FDF" w:rsidRDefault="00271FDF" w:rsidP="00271FDF">
      <w:pPr>
        <w:pStyle w:val="Odstavecsmlouvy"/>
        <w:numPr>
          <w:ilvl w:val="1"/>
          <w:numId w:val="1"/>
        </w:numPr>
      </w:pPr>
      <w:r>
        <w:t>Prodávající je povinen na své náklady dodat veškerý materiál nezbytný k řádnému provedení Montáže. V rozsahu, ve kterém to nevypl</w:t>
      </w:r>
      <w:r w:rsidR="009262A8">
        <w:t>ývá z přílohy č. 1 této smlouvy</w:t>
      </w:r>
      <w:r>
        <w:t>,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w:t>
      </w:r>
      <w:r w:rsidR="009262A8">
        <w:br/>
      </w:r>
      <w:r>
        <w:t>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2511BCFF" w:rsidR="00271FDF" w:rsidRDefault="00271FDF" w:rsidP="00271FDF">
      <w:pPr>
        <w:pStyle w:val="Odstavecsmlouvy"/>
        <w:numPr>
          <w:ilvl w:val="1"/>
          <w:numId w:val="1"/>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w:t>
      </w:r>
      <w:r w:rsidR="00E62375">
        <w:br/>
      </w:r>
      <w:r>
        <w:t>která Kupujícímu umožní provádět opravy a úpravy Montáže i prostřednictvím třetích osob.</w:t>
      </w:r>
    </w:p>
    <w:p w14:paraId="49BBCB0C" w14:textId="77777777" w:rsidR="00841443" w:rsidRDefault="00841443" w:rsidP="00D859C2">
      <w:pPr>
        <w:pStyle w:val="Zkladntext3"/>
        <w:spacing w:line="240" w:lineRule="auto"/>
        <w:ind w:left="567"/>
        <w:rPr>
          <w:sz w:val="22"/>
          <w:szCs w:val="22"/>
        </w:rPr>
      </w:pPr>
    </w:p>
    <w:p w14:paraId="348C3D4E" w14:textId="77777777" w:rsidR="00E62375" w:rsidRDefault="00E62375" w:rsidP="00D859C2">
      <w:pPr>
        <w:pStyle w:val="Zkladntext3"/>
        <w:spacing w:line="240" w:lineRule="auto"/>
        <w:ind w:left="567"/>
        <w:rPr>
          <w:sz w:val="22"/>
          <w:szCs w:val="22"/>
        </w:rPr>
      </w:pPr>
    </w:p>
    <w:p w14:paraId="19B605A3" w14:textId="77777777" w:rsidR="00E62375" w:rsidRDefault="00E62375" w:rsidP="00D859C2">
      <w:pPr>
        <w:pStyle w:val="Zkladntext3"/>
        <w:spacing w:line="240" w:lineRule="auto"/>
        <w:ind w:left="567"/>
        <w:rPr>
          <w:sz w:val="22"/>
          <w:szCs w:val="22"/>
        </w:rPr>
      </w:pPr>
    </w:p>
    <w:p w14:paraId="581A39AB" w14:textId="77777777" w:rsidR="009262A8" w:rsidRPr="00D859C2" w:rsidRDefault="009262A8"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lastRenderedPageBreak/>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DE7561" w:rsidRPr="00DE7561" w14:paraId="6E329E95" w14:textId="77777777" w:rsidTr="005E0721">
        <w:tc>
          <w:tcPr>
            <w:tcW w:w="2977" w:type="dxa"/>
            <w:shd w:val="clear" w:color="auto" w:fill="auto"/>
          </w:tcPr>
          <w:p w14:paraId="29D6415C" w14:textId="77777777" w:rsidR="00DE7561" w:rsidRPr="00DE7561" w:rsidRDefault="00DE7561" w:rsidP="00DE7561">
            <w:pPr>
              <w:spacing w:line="240" w:lineRule="auto"/>
              <w:ind w:left="709" w:hanging="709"/>
              <w:jc w:val="left"/>
              <w:rPr>
                <w:b/>
              </w:rPr>
            </w:pPr>
          </w:p>
          <w:p w14:paraId="1B96321A" w14:textId="77777777" w:rsidR="00DE7561" w:rsidRPr="00DE7561" w:rsidRDefault="00DE7561" w:rsidP="00DE7561">
            <w:pPr>
              <w:spacing w:line="240" w:lineRule="auto"/>
              <w:ind w:left="709" w:hanging="709"/>
              <w:jc w:val="left"/>
              <w:rPr>
                <w:b/>
              </w:rPr>
            </w:pPr>
            <w:r w:rsidRPr="00DE7561">
              <w:rPr>
                <w:b/>
              </w:rPr>
              <w:t>Cena Zboží bez DPH</w:t>
            </w:r>
          </w:p>
        </w:tc>
        <w:tc>
          <w:tcPr>
            <w:tcW w:w="5245" w:type="dxa"/>
            <w:shd w:val="clear" w:color="auto" w:fill="auto"/>
          </w:tcPr>
          <w:p w14:paraId="6C0CD474" w14:textId="77777777" w:rsidR="00DE7561" w:rsidRPr="00DE7561" w:rsidRDefault="00DE7561" w:rsidP="00DE7561">
            <w:pPr>
              <w:spacing w:line="240" w:lineRule="auto"/>
              <w:ind w:left="709" w:hanging="709"/>
              <w:jc w:val="left"/>
              <w:rPr>
                <w:b/>
              </w:rPr>
            </w:pPr>
            <w:r w:rsidRPr="00DE7561">
              <w:rPr>
                <w:b/>
              </w:rPr>
              <w:t>195 545,55 Kč</w:t>
            </w:r>
          </w:p>
          <w:p w14:paraId="433F4B25" w14:textId="77777777" w:rsidR="00DE7561" w:rsidRPr="00DE7561" w:rsidRDefault="00DE7561" w:rsidP="00DE7561">
            <w:pPr>
              <w:spacing w:line="240" w:lineRule="auto"/>
              <w:ind w:left="709" w:hanging="709"/>
              <w:jc w:val="left"/>
              <w:rPr>
                <w:b/>
              </w:rPr>
            </w:pPr>
            <w:r w:rsidRPr="00DE7561">
              <w:rPr>
                <w:b/>
              </w:rPr>
              <w:t>(slovy: s</w:t>
            </w:r>
            <w:r w:rsidRPr="00DE7561">
              <w:rPr>
                <w:b/>
                <w:lang w:val="x-none"/>
              </w:rPr>
              <w:t>t</w:t>
            </w:r>
            <w:r w:rsidRPr="00DE7561">
              <w:rPr>
                <w:b/>
              </w:rPr>
              <w:t>o</w:t>
            </w:r>
            <w:r w:rsidRPr="00DE7561">
              <w:rPr>
                <w:b/>
                <w:lang w:val="x-none"/>
              </w:rPr>
              <w:t xml:space="preserve"> </w:t>
            </w:r>
            <w:r w:rsidRPr="00DE7561">
              <w:rPr>
                <w:b/>
              </w:rPr>
              <w:t>d</w:t>
            </w:r>
            <w:proofErr w:type="spellStart"/>
            <w:r w:rsidRPr="00DE7561">
              <w:rPr>
                <w:b/>
                <w:lang w:val="x-none"/>
              </w:rPr>
              <w:t>e</w:t>
            </w:r>
            <w:r w:rsidRPr="00DE7561">
              <w:rPr>
                <w:b/>
              </w:rPr>
              <w:t>v</w:t>
            </w:r>
            <w:proofErr w:type="spellEnd"/>
            <w:r w:rsidRPr="00DE7561">
              <w:rPr>
                <w:b/>
                <w:lang w:val="x-none"/>
              </w:rPr>
              <w:t>a</w:t>
            </w:r>
            <w:r w:rsidRPr="00DE7561">
              <w:rPr>
                <w:b/>
              </w:rPr>
              <w:t>d</w:t>
            </w:r>
            <w:r w:rsidRPr="00DE7561">
              <w:rPr>
                <w:b/>
                <w:lang w:val="x-none"/>
              </w:rPr>
              <w:t>e</w:t>
            </w:r>
            <w:r w:rsidRPr="00DE7561">
              <w:rPr>
                <w:b/>
              </w:rPr>
              <w:t>s</w:t>
            </w:r>
            <w:proofErr w:type="spellStart"/>
            <w:r w:rsidRPr="00DE7561">
              <w:rPr>
                <w:b/>
                <w:lang w:val="x-none"/>
              </w:rPr>
              <w:t>á</w:t>
            </w:r>
            <w:r w:rsidRPr="00DE7561">
              <w:rPr>
                <w:b/>
              </w:rPr>
              <w:t>t</w:t>
            </w:r>
            <w:proofErr w:type="spellEnd"/>
            <w:r w:rsidRPr="00DE7561">
              <w:rPr>
                <w:b/>
                <w:lang w:val="x-none"/>
              </w:rPr>
              <w:t xml:space="preserve"> </w:t>
            </w:r>
            <w:r w:rsidRPr="00DE7561">
              <w:rPr>
                <w:b/>
              </w:rPr>
              <w:t>p</w:t>
            </w:r>
            <w:proofErr w:type="spellStart"/>
            <w:r w:rsidRPr="00DE7561">
              <w:rPr>
                <w:b/>
                <w:lang w:val="x-none"/>
              </w:rPr>
              <w:t>ě</w:t>
            </w:r>
            <w:r w:rsidRPr="00DE7561">
              <w:rPr>
                <w:b/>
              </w:rPr>
              <w:t>t</w:t>
            </w:r>
            <w:proofErr w:type="spellEnd"/>
            <w:r w:rsidRPr="00DE7561">
              <w:rPr>
                <w:b/>
                <w:lang w:val="x-none"/>
              </w:rPr>
              <w:t xml:space="preserve"> </w:t>
            </w:r>
            <w:r w:rsidRPr="00DE7561">
              <w:rPr>
                <w:b/>
              </w:rPr>
              <w:t>t</w:t>
            </w:r>
            <w:proofErr w:type="spellStart"/>
            <w:r w:rsidRPr="00DE7561">
              <w:rPr>
                <w:b/>
                <w:lang w:val="x-none"/>
              </w:rPr>
              <w:t>i</w:t>
            </w:r>
            <w:r w:rsidRPr="00DE7561">
              <w:rPr>
                <w:b/>
              </w:rPr>
              <w:t>s</w:t>
            </w:r>
            <w:r w:rsidRPr="00DE7561">
              <w:rPr>
                <w:b/>
                <w:lang w:val="x-none"/>
              </w:rPr>
              <w:t>í</w:t>
            </w:r>
            <w:r w:rsidRPr="00DE7561">
              <w:rPr>
                <w:b/>
              </w:rPr>
              <w:t>c</w:t>
            </w:r>
            <w:proofErr w:type="spellEnd"/>
            <w:r w:rsidRPr="00DE7561">
              <w:rPr>
                <w:b/>
                <w:lang w:val="x-none"/>
              </w:rPr>
              <w:t xml:space="preserve"> </w:t>
            </w:r>
            <w:r w:rsidRPr="00DE7561">
              <w:rPr>
                <w:b/>
              </w:rPr>
              <w:t>p</w:t>
            </w:r>
            <w:proofErr w:type="spellStart"/>
            <w:r w:rsidRPr="00DE7561">
              <w:rPr>
                <w:b/>
                <w:lang w:val="x-none"/>
              </w:rPr>
              <w:t>ě</w:t>
            </w:r>
            <w:r w:rsidRPr="00DE7561">
              <w:rPr>
                <w:b/>
              </w:rPr>
              <w:t>t</w:t>
            </w:r>
            <w:proofErr w:type="spellEnd"/>
            <w:r w:rsidRPr="00DE7561">
              <w:rPr>
                <w:b/>
                <w:lang w:val="x-none"/>
              </w:rPr>
              <w:t xml:space="preserve"> </w:t>
            </w:r>
            <w:r w:rsidRPr="00DE7561">
              <w:rPr>
                <w:b/>
              </w:rPr>
              <w:t>s</w:t>
            </w:r>
            <w:r w:rsidRPr="00DE7561">
              <w:rPr>
                <w:b/>
                <w:lang w:val="x-none"/>
              </w:rPr>
              <w:t>e</w:t>
            </w:r>
            <w:r w:rsidRPr="00DE7561">
              <w:rPr>
                <w:b/>
              </w:rPr>
              <w:t>t</w:t>
            </w:r>
            <w:r w:rsidRPr="00DE7561">
              <w:rPr>
                <w:b/>
                <w:lang w:val="x-none"/>
              </w:rPr>
              <w:t xml:space="preserve"> </w:t>
            </w:r>
            <w:r w:rsidRPr="00DE7561">
              <w:rPr>
                <w:b/>
              </w:rPr>
              <w:t>č</w:t>
            </w:r>
            <w:r w:rsidRPr="00DE7561">
              <w:rPr>
                <w:b/>
                <w:lang w:val="x-none"/>
              </w:rPr>
              <w:t>t</w:t>
            </w:r>
            <w:r w:rsidRPr="00DE7561">
              <w:rPr>
                <w:b/>
              </w:rPr>
              <w:t>y</w:t>
            </w:r>
            <w:proofErr w:type="spellStart"/>
            <w:r w:rsidRPr="00DE7561">
              <w:rPr>
                <w:b/>
                <w:lang w:val="x-none"/>
              </w:rPr>
              <w:t>ř</w:t>
            </w:r>
            <w:r w:rsidRPr="00DE7561">
              <w:rPr>
                <w:b/>
              </w:rPr>
              <w:t>i</w:t>
            </w:r>
            <w:r w:rsidRPr="00DE7561">
              <w:rPr>
                <w:b/>
                <w:lang w:val="x-none"/>
              </w:rPr>
              <w:t>c</w:t>
            </w:r>
            <w:r w:rsidRPr="00DE7561">
              <w:rPr>
                <w:b/>
              </w:rPr>
              <w:t>e</w:t>
            </w:r>
            <w:proofErr w:type="spellEnd"/>
            <w:r w:rsidRPr="00DE7561">
              <w:rPr>
                <w:b/>
                <w:lang w:val="x-none"/>
              </w:rPr>
              <w:t>t</w:t>
            </w:r>
            <w:r w:rsidRPr="00DE7561">
              <w:rPr>
                <w:b/>
              </w:rPr>
              <w:t xml:space="preserve"> </w:t>
            </w:r>
            <w:proofErr w:type="spellStart"/>
            <w:r w:rsidRPr="00DE7561">
              <w:rPr>
                <w:b/>
                <w:lang w:val="x-none"/>
              </w:rPr>
              <w:t>p</w:t>
            </w:r>
            <w:r w:rsidRPr="00DE7561">
              <w:rPr>
                <w:b/>
              </w:rPr>
              <w:t>ě</w:t>
            </w:r>
            <w:proofErr w:type="spellEnd"/>
            <w:r w:rsidRPr="00DE7561">
              <w:rPr>
                <w:b/>
                <w:lang w:val="x-none"/>
              </w:rPr>
              <w:t>t</w:t>
            </w:r>
            <w:r w:rsidRPr="00DE7561">
              <w:rPr>
                <w:b/>
              </w:rPr>
              <w:t xml:space="preserve"> k</w:t>
            </w:r>
            <w:proofErr w:type="spellStart"/>
            <w:r w:rsidRPr="00DE7561">
              <w:rPr>
                <w:b/>
                <w:lang w:val="x-none"/>
              </w:rPr>
              <w:t>o</w:t>
            </w:r>
            <w:r w:rsidRPr="00DE7561">
              <w:rPr>
                <w:b/>
              </w:rPr>
              <w:t>r</w:t>
            </w:r>
            <w:r w:rsidRPr="00DE7561">
              <w:rPr>
                <w:b/>
                <w:lang w:val="x-none"/>
              </w:rPr>
              <w:t>u</w:t>
            </w:r>
            <w:r w:rsidRPr="00DE7561">
              <w:rPr>
                <w:b/>
              </w:rPr>
              <w:t>n</w:t>
            </w:r>
            <w:proofErr w:type="spellEnd"/>
            <w:r w:rsidRPr="00DE7561">
              <w:rPr>
                <w:b/>
                <w:lang w:val="x-none"/>
              </w:rPr>
              <w:t xml:space="preserve"> </w:t>
            </w:r>
            <w:r w:rsidRPr="00DE7561">
              <w:rPr>
                <w:b/>
              </w:rPr>
              <w:t>č</w:t>
            </w:r>
            <w:r w:rsidRPr="00DE7561">
              <w:rPr>
                <w:b/>
                <w:lang w:val="x-none"/>
              </w:rPr>
              <w:t>e</w:t>
            </w:r>
            <w:r w:rsidRPr="00DE7561">
              <w:rPr>
                <w:b/>
              </w:rPr>
              <w:t>s</w:t>
            </w:r>
            <w:proofErr w:type="spellStart"/>
            <w:r w:rsidRPr="00DE7561">
              <w:rPr>
                <w:b/>
                <w:lang w:val="x-none"/>
              </w:rPr>
              <w:t>k</w:t>
            </w:r>
            <w:r w:rsidRPr="00DE7561">
              <w:rPr>
                <w:b/>
              </w:rPr>
              <w:t>ý</w:t>
            </w:r>
            <w:proofErr w:type="spellEnd"/>
            <w:r w:rsidRPr="00DE7561">
              <w:rPr>
                <w:b/>
                <w:lang w:val="x-none"/>
              </w:rPr>
              <w:t>c</w:t>
            </w:r>
            <w:r w:rsidRPr="00DE7561">
              <w:rPr>
                <w:b/>
              </w:rPr>
              <w:t>h</w:t>
            </w:r>
            <w:r w:rsidRPr="00DE7561">
              <w:rPr>
                <w:b/>
                <w:lang w:val="x-none"/>
              </w:rPr>
              <w:t>,</w:t>
            </w:r>
            <w:r w:rsidRPr="00DE7561">
              <w:rPr>
                <w:b/>
              </w:rPr>
              <w:t xml:space="preserve"> </w:t>
            </w:r>
            <w:proofErr w:type="spellStart"/>
            <w:r w:rsidRPr="00DE7561">
              <w:rPr>
                <w:b/>
                <w:lang w:val="x-none"/>
              </w:rPr>
              <w:t>p</w:t>
            </w:r>
            <w:r w:rsidRPr="00DE7561">
              <w:rPr>
                <w:b/>
              </w:rPr>
              <w:t>a</w:t>
            </w:r>
            <w:proofErr w:type="spellEnd"/>
            <w:r w:rsidRPr="00DE7561">
              <w:rPr>
                <w:b/>
                <w:lang w:val="x-none"/>
              </w:rPr>
              <w:t>d</w:t>
            </w:r>
            <w:r w:rsidRPr="00DE7561">
              <w:rPr>
                <w:b/>
              </w:rPr>
              <w:t>e</w:t>
            </w:r>
            <w:proofErr w:type="spellStart"/>
            <w:r w:rsidRPr="00DE7561">
              <w:rPr>
                <w:b/>
                <w:lang w:val="x-none"/>
              </w:rPr>
              <w:t>s</w:t>
            </w:r>
            <w:r w:rsidRPr="00DE7561">
              <w:rPr>
                <w:b/>
              </w:rPr>
              <w:t>á</w:t>
            </w:r>
            <w:proofErr w:type="spellEnd"/>
            <w:r w:rsidRPr="00DE7561">
              <w:rPr>
                <w:b/>
                <w:lang w:val="x-none"/>
              </w:rPr>
              <w:t>t</w:t>
            </w:r>
            <w:r w:rsidRPr="00DE7561">
              <w:rPr>
                <w:b/>
              </w:rPr>
              <w:t xml:space="preserve"> </w:t>
            </w:r>
            <w:proofErr w:type="spellStart"/>
            <w:r w:rsidRPr="00DE7561">
              <w:rPr>
                <w:b/>
                <w:lang w:val="x-none"/>
              </w:rPr>
              <w:t>p</w:t>
            </w:r>
            <w:r w:rsidRPr="00DE7561">
              <w:rPr>
                <w:b/>
              </w:rPr>
              <w:t>ě</w:t>
            </w:r>
            <w:proofErr w:type="spellEnd"/>
            <w:r w:rsidRPr="00DE7561">
              <w:rPr>
                <w:b/>
                <w:lang w:val="x-none"/>
              </w:rPr>
              <w:t>t</w:t>
            </w:r>
            <w:r w:rsidRPr="00DE7561">
              <w:rPr>
                <w:b/>
              </w:rPr>
              <w:t xml:space="preserve"> </w:t>
            </w:r>
            <w:r w:rsidRPr="00DE7561">
              <w:rPr>
                <w:b/>
                <w:lang w:val="x-none"/>
              </w:rPr>
              <w:t>h</w:t>
            </w:r>
            <w:r w:rsidRPr="00DE7561">
              <w:rPr>
                <w:b/>
              </w:rPr>
              <w:t>a</w:t>
            </w:r>
            <w:proofErr w:type="spellStart"/>
            <w:r w:rsidRPr="00DE7561">
              <w:rPr>
                <w:b/>
                <w:lang w:val="x-none"/>
              </w:rPr>
              <w:t>l</w:t>
            </w:r>
            <w:r w:rsidRPr="00DE7561">
              <w:rPr>
                <w:b/>
              </w:rPr>
              <w:t>é</w:t>
            </w:r>
            <w:r w:rsidRPr="00DE7561">
              <w:rPr>
                <w:b/>
                <w:lang w:val="x-none"/>
              </w:rPr>
              <w:t>ř</w:t>
            </w:r>
            <w:r w:rsidRPr="00DE7561">
              <w:rPr>
                <w:b/>
              </w:rPr>
              <w:t>ů</w:t>
            </w:r>
            <w:proofErr w:type="spellEnd"/>
            <w:r w:rsidRPr="00DE7561">
              <w:rPr>
                <w:b/>
              </w:rPr>
              <w:t>)</w:t>
            </w:r>
          </w:p>
        </w:tc>
      </w:tr>
      <w:tr w:rsidR="00DE7561" w:rsidRPr="00DE7561" w14:paraId="0C156EEC" w14:textId="77777777" w:rsidTr="005E0721">
        <w:tc>
          <w:tcPr>
            <w:tcW w:w="2977" w:type="dxa"/>
            <w:shd w:val="clear" w:color="auto" w:fill="auto"/>
          </w:tcPr>
          <w:p w14:paraId="26FAB9A9" w14:textId="77777777" w:rsidR="00DE7561" w:rsidRPr="00DE7561" w:rsidRDefault="00DE7561" w:rsidP="00DE7561">
            <w:pPr>
              <w:spacing w:line="240" w:lineRule="auto"/>
              <w:ind w:left="709" w:hanging="709"/>
              <w:rPr>
                <w:b/>
              </w:rPr>
            </w:pPr>
          </w:p>
          <w:p w14:paraId="7BB141DC" w14:textId="77777777" w:rsidR="00DE7561" w:rsidRPr="00DE7561" w:rsidRDefault="00DE7561" w:rsidP="00DE7561">
            <w:pPr>
              <w:spacing w:line="240" w:lineRule="auto"/>
              <w:ind w:left="709" w:hanging="709"/>
              <w:rPr>
                <w:b/>
              </w:rPr>
            </w:pPr>
            <w:r w:rsidRPr="00DE7561">
              <w:rPr>
                <w:b/>
              </w:rPr>
              <w:t>DPH 21 % k ceně Zboží</w:t>
            </w:r>
          </w:p>
        </w:tc>
        <w:tc>
          <w:tcPr>
            <w:tcW w:w="5245" w:type="dxa"/>
            <w:shd w:val="clear" w:color="auto" w:fill="auto"/>
          </w:tcPr>
          <w:p w14:paraId="5A38A156" w14:textId="77777777" w:rsidR="00DE7561" w:rsidRPr="00DE7561" w:rsidRDefault="00DE7561" w:rsidP="00DE7561">
            <w:pPr>
              <w:spacing w:line="240" w:lineRule="auto"/>
              <w:ind w:left="709" w:hanging="709"/>
              <w:rPr>
                <w:b/>
              </w:rPr>
            </w:pPr>
          </w:p>
          <w:p w14:paraId="4992495E" w14:textId="77777777" w:rsidR="00DE7561" w:rsidRPr="00DE7561" w:rsidRDefault="00DE7561" w:rsidP="00DE7561">
            <w:pPr>
              <w:spacing w:line="240" w:lineRule="auto"/>
              <w:ind w:left="709" w:hanging="709"/>
              <w:rPr>
                <w:b/>
              </w:rPr>
            </w:pPr>
            <w:r w:rsidRPr="00DE7561">
              <w:rPr>
                <w:b/>
              </w:rPr>
              <w:t>41 064,57 Kč</w:t>
            </w:r>
          </w:p>
        </w:tc>
      </w:tr>
      <w:tr w:rsidR="00DE7561" w:rsidRPr="00DE7561" w14:paraId="291FA255" w14:textId="77777777" w:rsidTr="005E0721">
        <w:tc>
          <w:tcPr>
            <w:tcW w:w="2977" w:type="dxa"/>
            <w:shd w:val="clear" w:color="auto" w:fill="auto"/>
          </w:tcPr>
          <w:p w14:paraId="2D4D0A0F" w14:textId="77777777" w:rsidR="00DE7561" w:rsidRPr="00DE7561" w:rsidRDefault="00DE7561" w:rsidP="00DE7561">
            <w:pPr>
              <w:spacing w:line="240" w:lineRule="auto"/>
              <w:ind w:left="709" w:hanging="709"/>
              <w:rPr>
                <w:b/>
              </w:rPr>
            </w:pPr>
          </w:p>
          <w:p w14:paraId="7F87AF5F" w14:textId="77777777" w:rsidR="00DE7561" w:rsidRPr="00DE7561" w:rsidRDefault="00DE7561" w:rsidP="00DE7561">
            <w:pPr>
              <w:spacing w:line="240" w:lineRule="auto"/>
              <w:ind w:left="709" w:hanging="709"/>
              <w:rPr>
                <w:b/>
              </w:rPr>
            </w:pPr>
            <w:r w:rsidRPr="00DE7561">
              <w:rPr>
                <w:b/>
              </w:rPr>
              <w:t>Celková cena vč. DPH</w:t>
            </w:r>
          </w:p>
        </w:tc>
        <w:tc>
          <w:tcPr>
            <w:tcW w:w="5245" w:type="dxa"/>
            <w:shd w:val="clear" w:color="auto" w:fill="auto"/>
          </w:tcPr>
          <w:p w14:paraId="135FCC1F" w14:textId="77777777" w:rsidR="00DE7561" w:rsidRPr="00DE7561" w:rsidRDefault="00DE7561" w:rsidP="00DE7561">
            <w:pPr>
              <w:spacing w:line="240" w:lineRule="auto"/>
              <w:ind w:left="709" w:hanging="709"/>
              <w:rPr>
                <w:b/>
              </w:rPr>
            </w:pPr>
          </w:p>
          <w:p w14:paraId="5D26776F" w14:textId="77777777" w:rsidR="00DE7561" w:rsidRPr="00DE7561" w:rsidRDefault="00DE7561" w:rsidP="00DE7561">
            <w:pPr>
              <w:spacing w:line="240" w:lineRule="auto"/>
              <w:ind w:left="709" w:hanging="709"/>
              <w:rPr>
                <w:b/>
              </w:rPr>
            </w:pPr>
            <w:r w:rsidRPr="00DE7561">
              <w:rPr>
                <w:b/>
              </w:rPr>
              <w:t>236 610,12 Kč</w:t>
            </w:r>
          </w:p>
          <w:p w14:paraId="27C0C3AE" w14:textId="77777777" w:rsidR="00DE7561" w:rsidRPr="00DE7561" w:rsidRDefault="00DE7561" w:rsidP="00DE7561">
            <w:pPr>
              <w:spacing w:line="240" w:lineRule="auto"/>
              <w:ind w:left="709" w:hanging="709"/>
              <w:rPr>
                <w:b/>
              </w:rPr>
            </w:pPr>
            <w:r w:rsidRPr="00DE7561">
              <w:rPr>
                <w:b/>
              </w:rPr>
              <w:t>(slovy: dvě stě třicet šest tisíc šest set deset korun českých, dvanáct haléřů)</w:t>
            </w:r>
          </w:p>
        </w:tc>
      </w:tr>
    </w:tbl>
    <w:p w14:paraId="50FE0A6F" w14:textId="77777777" w:rsidR="00DE7561" w:rsidRDefault="00DE7561" w:rsidP="003E4543"/>
    <w:p w14:paraId="75136A8F" w14:textId="75235A8F" w:rsidR="002E1388" w:rsidRPr="00D859C2" w:rsidRDefault="00D927B5" w:rsidP="00094B12">
      <w:pPr>
        <w:pStyle w:val="Odstavecsmlouvy"/>
      </w:pPr>
      <w:r w:rsidRPr="00D859C2">
        <w:t xml:space="preserve">Sjednaná celková cena plnění zahrnuje kromě Zboží, zejména náklady na dopravu </w:t>
      </w:r>
      <w:r w:rsidR="00E62375">
        <w:br/>
      </w:r>
      <w:r w:rsidRPr="00D859C2">
        <w:t xml:space="preserve">do místa plnění, obaly, naložení, složení, pojištění během dopravy, případné clo, instalaci vč. konfigurace modalit, uvedení do provozu, provedení funkční zkoušky </w:t>
      </w:r>
      <w:r w:rsidR="00857DB1">
        <w:br/>
      </w:r>
      <w:r w:rsidRPr="00D859C2">
        <w:rPr>
          <w:bCs/>
        </w:rPr>
        <w:t xml:space="preserve">vč. přejímací zkoušky dlouhodobé stability (pouze u Zboží, které této zkoušce podle </w:t>
      </w:r>
      <w:r w:rsidR="003E4543">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 ověření přenos</w:t>
      </w:r>
      <w:r w:rsidR="000242EC" w:rsidRPr="00D859C2">
        <w:t xml:space="preserve">u dat do archivu MARIE PACS </w:t>
      </w:r>
      <w:r w:rsidR="00E62375">
        <w:br/>
      </w:r>
      <w:r w:rsidRPr="00D859C2">
        <w:t>a odzkoušení bezproblémového provozu, recyklační poplatek (pouze u Zboží, které tomuto poplatku podle zákona č. </w:t>
      </w:r>
      <w:r w:rsidR="00997C0A">
        <w:t>541</w:t>
      </w:r>
      <w:r w:rsidRPr="00D859C2">
        <w:t>/</w:t>
      </w:r>
      <w:r w:rsidR="00997C0A">
        <w:t>2020</w:t>
      </w:r>
      <w:r w:rsidRPr="00D859C2">
        <w:t xml:space="preserve"> Sb., o odpadech, ve znění pozdějších předpisů, podléhá), preventivní bezpečnostně technické kontroly vč. aktualizace </w:t>
      </w:r>
      <w:r w:rsidR="00857DB1">
        <w:br/>
      </w:r>
      <w:r w:rsidRPr="00D859C2">
        <w:t xml:space="preserve">příp. firmware, zkoušek dlouhodobé stability </w:t>
      </w:r>
      <w:r w:rsidRPr="00D859C2">
        <w:rPr>
          <w:bCs/>
        </w:rPr>
        <w:t xml:space="preserve">(pouze u Zboží, které této zkoušce podle </w:t>
      </w:r>
      <w:r w:rsidR="003E4543">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33293896" w:rsidR="002E1388" w:rsidRPr="00D859C2" w:rsidRDefault="002E1388" w:rsidP="00094B12">
      <w:pPr>
        <w:pStyle w:val="Odstavecsmlouvy"/>
      </w:pPr>
      <w:r w:rsidRPr="00D859C2">
        <w:t>Prodávající potvrzuje, že sjednaná kupní cena zcela</w:t>
      </w:r>
      <w:r w:rsidR="009262A8">
        <w:t xml:space="preserve"> odpovídá nabídce Prodávajícího. </w:t>
      </w:r>
      <w:r w:rsidRPr="00D859C2">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4E321E65" w:rsidR="00A74BD6" w:rsidRPr="00345214" w:rsidRDefault="00D82704" w:rsidP="00094B12">
      <w:pPr>
        <w:pStyle w:val="Odstavecsmlouvy"/>
        <w:rPr>
          <w:color w:val="000000" w:themeColor="text1"/>
        </w:rPr>
      </w:pPr>
      <w:r w:rsidRPr="00345214">
        <w:rPr>
          <w:color w:val="000000" w:themeColor="text1"/>
        </w:rPr>
        <w:t>Kupující</w:t>
      </w:r>
      <w:r w:rsidR="00871625" w:rsidRPr="00345214">
        <w:rPr>
          <w:color w:val="000000" w:themeColor="text1"/>
        </w:rPr>
        <w:t xml:space="preserve"> </w:t>
      </w:r>
      <w:r w:rsidR="00D50BBE" w:rsidRPr="00345214">
        <w:rPr>
          <w:color w:val="000000" w:themeColor="text1"/>
        </w:rPr>
        <w:t>se zavazuje uhradit kupní cenu na základě j</w:t>
      </w:r>
      <w:r w:rsidR="00E62375">
        <w:rPr>
          <w:color w:val="000000" w:themeColor="text1"/>
        </w:rPr>
        <w:t>edné faktury – daňového dokladu,</w:t>
      </w:r>
      <w:r w:rsidR="00D50BBE" w:rsidRPr="00345214">
        <w:rPr>
          <w:color w:val="000000" w:themeColor="text1"/>
        </w:rPr>
        <w:t xml:space="preserve"> </w:t>
      </w:r>
      <w:r w:rsidR="00E62375">
        <w:rPr>
          <w:color w:val="000000"/>
          <w:shd w:val="clear" w:color="auto" w:fill="FFFFFF"/>
        </w:rPr>
        <w:t xml:space="preserve">který </w:t>
      </w:r>
      <w:r w:rsidR="00E62375" w:rsidRPr="00697291">
        <w:rPr>
          <w:color w:val="000000"/>
          <w:shd w:val="clear" w:color="auto" w:fill="FFFFFF"/>
        </w:rPr>
        <w:t>vystaví prodávající po splnění dodávky a předání předmětu plnění kupujícímu. Splatnost faktury je 60 dnů od data vystavení faktury</w:t>
      </w:r>
      <w:r w:rsidR="00E62375" w:rsidRPr="00697291">
        <w:rPr>
          <w:b/>
          <w:bCs/>
          <w:color w:val="000000"/>
          <w:shd w:val="clear" w:color="auto" w:fill="FFFFFF"/>
        </w:rPr>
        <w:t>.</w:t>
      </w:r>
      <w:r w:rsidR="00E62375" w:rsidRPr="00697291">
        <w:rPr>
          <w:color w:val="000000"/>
          <w:shd w:val="clear" w:color="auto" w:fill="FFFFFF"/>
        </w:rPr>
        <w:t> Dnem uskutečnění zdanitelného plnění bude den protokolárního převzetí předmětu plnění kupujícím od Prodávajícího</w:t>
      </w:r>
      <w:r w:rsidR="00E62375">
        <w:t>.</w:t>
      </w:r>
    </w:p>
    <w:p w14:paraId="5E9D6CDE" w14:textId="77777777" w:rsidR="00D50BBE" w:rsidRPr="00D859C2" w:rsidRDefault="00D50BBE" w:rsidP="00094B12">
      <w:pPr>
        <w:pStyle w:val="Odstavecsmlouvy"/>
        <w:numPr>
          <w:ilvl w:val="0"/>
          <w:numId w:val="0"/>
        </w:numPr>
        <w:ind w:left="567"/>
      </w:pPr>
    </w:p>
    <w:p w14:paraId="75136A99" w14:textId="1A9A6FD5"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A0" w14:textId="3E30C09B" w:rsidR="009A4F9F" w:rsidRPr="00D859C2" w:rsidRDefault="00F25BC8" w:rsidP="0072306C">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1" w14:textId="73C4DF75" w:rsidR="009A4F9F" w:rsidRPr="00D859C2" w:rsidRDefault="009A4F9F" w:rsidP="00094B12">
      <w:pPr>
        <w:pStyle w:val="Odstavecsmlouvy"/>
        <w:rPr>
          <w:color w:val="000000"/>
        </w:rPr>
      </w:pPr>
      <w:r w:rsidRPr="00D859C2">
        <w:rPr>
          <w:color w:val="000000"/>
        </w:rPr>
        <w:lastRenderedPageBreak/>
        <w:t>V případě, že v okamžiku uskute</w:t>
      </w:r>
      <w:r w:rsidR="000B5E9D" w:rsidRPr="00D859C2">
        <w:rPr>
          <w:color w:val="000000"/>
        </w:rPr>
        <w:t>čnění zdanitelného plnění bude Prodávající</w:t>
      </w:r>
      <w:r w:rsidRPr="00D859C2">
        <w:rPr>
          <w:color w:val="000000"/>
        </w:rPr>
        <w:t xml:space="preserve"> zapsán </w:t>
      </w:r>
      <w:r w:rsidR="00E62375">
        <w:rPr>
          <w:color w:val="000000"/>
        </w:rPr>
        <w:br/>
      </w:r>
      <w:r w:rsidRPr="00D859C2">
        <w:rPr>
          <w:color w:val="000000"/>
        </w:rPr>
        <w:t xml:space="preserve">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18D9DC3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w:t>
      </w:r>
      <w:r w:rsidR="00E62375">
        <w:rPr>
          <w:color w:val="000000"/>
        </w:rPr>
        <w:br/>
      </w:r>
      <w:r w:rsidR="009A4F9F" w:rsidRPr="00D859C2">
        <w:rPr>
          <w:color w:val="000000"/>
        </w:rPr>
        <w:t xml:space="preserve">a zbývající částku sjednané ceny (relevantní část bez DPH) </w:t>
      </w:r>
      <w:r w:rsidRPr="00D859C2">
        <w:rPr>
          <w:color w:val="000000"/>
        </w:rPr>
        <w:t>Prodávajícímu</w:t>
      </w:r>
      <w:r w:rsidR="009A4F9F" w:rsidRPr="00D859C2">
        <w:rPr>
          <w:color w:val="000000"/>
        </w:rPr>
        <w:t xml:space="preserve">, považuje </w:t>
      </w:r>
      <w:r w:rsidR="00E62375">
        <w:rPr>
          <w:color w:val="000000"/>
        </w:rPr>
        <w:br/>
      </w:r>
      <w:r w:rsidR="009A4F9F" w:rsidRPr="00D859C2">
        <w:rPr>
          <w:color w:val="000000"/>
        </w:rPr>
        <w:t xml:space="preserve">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8E1EFCF" w:rsidR="00183727" w:rsidRPr="00D859C2" w:rsidRDefault="00183727" w:rsidP="00094B12">
      <w:pPr>
        <w:pStyle w:val="Odstavecsmlouvy"/>
      </w:pPr>
      <w:r w:rsidRPr="00D859C2">
        <w:t xml:space="preserve">Prodávající je oprávněn postoupit své peněžité pohledávky za Kupujícím výhradně </w:t>
      </w:r>
      <w:r w:rsidR="00E62375">
        <w:br/>
      </w:r>
      <w:r w:rsidRPr="00D859C2">
        <w:t>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5314986F"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 xml:space="preserve">unie </w:t>
      </w:r>
      <w:r w:rsidR="00E62375">
        <w:br/>
      </w:r>
      <w:r w:rsidR="0058691F" w:rsidRPr="00D859C2">
        <w:t xml:space="preserve">a odpovídajícímu požadavkům stanoveným právními předpisy České republiky, harmonizovanými českými technickými normami a ostatními ČSN, které se vztahují </w:t>
      </w:r>
      <w:r w:rsidR="00E62375">
        <w:br/>
      </w:r>
      <w:r w:rsidR="0058691F" w:rsidRPr="00D859C2">
        <w:t>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w:t>
      </w:r>
      <w:r w:rsidR="00E62375">
        <w:br/>
      </w:r>
      <w:r w:rsidR="0058691F" w:rsidRPr="00D859C2">
        <w:t>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29801839" w:rsidR="00AF2763" w:rsidRPr="00D859C2" w:rsidRDefault="00AF2763" w:rsidP="00094B12">
      <w:pPr>
        <w:pStyle w:val="Odstavecsmlouvy"/>
      </w:pPr>
      <w:r w:rsidRPr="00D859C2">
        <w:t>Prodávající prohlašuje, že Zboží, které dodá na základě této s</w:t>
      </w:r>
      <w:r w:rsidR="0072306C">
        <w:t>mlouvy, zcela odpovídá technické specifikaci stanovené v příloze č. 1.</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1" w14:textId="47D57970" w:rsidR="001A3D28" w:rsidRDefault="003E0DE8" w:rsidP="00DE7561">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 si nejméně po tuto dobu zachová své vlastnos</w:t>
      </w:r>
      <w:r w:rsidR="0072306C">
        <w:t>ti v souladu s touto smlouvou</w:t>
      </w:r>
      <w:r w:rsidRPr="00D859C2">
        <w:t xml:space="preserve">.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Zboží, </w:t>
      </w:r>
      <w:r w:rsidR="0072306C">
        <w:br/>
      </w:r>
      <w:r w:rsidR="0009512B">
        <w:t xml:space="preserve">přičemž za vadu software se považuje rovněž zhoršená funkčnost, neshody software </w:t>
      </w:r>
      <w:r w:rsidR="0072306C">
        <w:br/>
      </w:r>
      <w:r w:rsidR="0009512B">
        <w:t>s dokumentací, jakož i nepřiměřeně dlouhé odezvy software.</w:t>
      </w:r>
    </w:p>
    <w:p w14:paraId="2CC83E9A" w14:textId="77777777" w:rsidR="00E62375" w:rsidRPr="00D859C2" w:rsidRDefault="00E62375" w:rsidP="00E62375">
      <w:pPr>
        <w:pStyle w:val="Odstavecsmlouvy"/>
        <w:numPr>
          <w:ilvl w:val="0"/>
          <w:numId w:val="0"/>
        </w:numPr>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1050F67F" w:rsidR="00271FDF" w:rsidRDefault="00271FDF" w:rsidP="00271FDF">
      <w:pPr>
        <w:pStyle w:val="Odstavecsmlouvy"/>
        <w:numPr>
          <w:ilvl w:val="1"/>
          <w:numId w:val="1"/>
        </w:numPr>
        <w:rPr>
          <w:color w:val="000000"/>
        </w:rPr>
      </w:pPr>
      <w:bookmarkStart w:id="6" w:name="_Ref90987783"/>
      <w:r w:rsidRPr="004672FC">
        <w:lastRenderedPageBreak/>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w:t>
      </w:r>
      <w:r w:rsidRPr="000A3995">
        <w:t>, právními předpisy, technickými normami a v</w:t>
      </w:r>
      <w:r>
        <w:t xml:space="preserve"> rozsahu, </w:t>
      </w:r>
      <w:r w:rsidR="009262A8">
        <w:br/>
      </w:r>
      <w:r>
        <w:t xml:space="preserve">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 xml:space="preserve">montážní práce a materiál použitý </w:t>
      </w:r>
      <w:r w:rsidR="009262A8">
        <w:br/>
      </w:r>
      <w:r>
        <w:t>při Montáži budou v Záruční době způsobilé</w:t>
      </w:r>
      <w:r w:rsidRPr="004672FC">
        <w:t xml:space="preserve"> pro použití k obvyklému účelu</w:t>
      </w:r>
      <w:r>
        <w:t xml:space="preserve">, prosté vad </w:t>
      </w:r>
      <w:r w:rsidR="009262A8">
        <w:br/>
      </w:r>
      <w:r>
        <w:t>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009262A8">
        <w:t>.</w:t>
      </w:r>
      <w:r w:rsidRPr="00F9164C">
        <w:t xml:space="preserve"> </w:t>
      </w:r>
    </w:p>
    <w:p w14:paraId="12048F8F" w14:textId="77777777" w:rsidR="00841443" w:rsidRDefault="00841443" w:rsidP="00841443">
      <w:pPr>
        <w:pStyle w:val="Odstavecsmlouvy"/>
        <w:numPr>
          <w:ilvl w:val="0"/>
          <w:numId w:val="0"/>
        </w:numPr>
        <w:ind w:left="567"/>
      </w:pPr>
    </w:p>
    <w:p w14:paraId="6373BBC4" w14:textId="0DB53413"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E62375">
        <w:br/>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37C8B562" w:rsidR="006C6CD1" w:rsidRDefault="00C71D12" w:rsidP="00841443">
      <w:pPr>
        <w:pStyle w:val="Odstavecsmlouvy"/>
      </w:pPr>
      <w:bookmarkStart w:id="7"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6"/>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7"/>
    </w:p>
    <w:p w14:paraId="30FD4E14" w14:textId="77777777" w:rsidR="00DE7561" w:rsidRDefault="00DE7561" w:rsidP="00DE7561">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1F2B3506" w14:textId="77777777" w:rsidR="009262A8" w:rsidRDefault="009262A8" w:rsidP="0072306C">
      <w:pPr>
        <w:spacing w:line="240" w:lineRule="auto"/>
        <w:rPr>
          <w:b/>
          <w:bCs/>
        </w:rPr>
      </w:pPr>
    </w:p>
    <w:p w14:paraId="579DFBFF" w14:textId="77777777" w:rsidR="009262A8" w:rsidRPr="00D859C2" w:rsidRDefault="009262A8"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7B9B6FA0" w:rsidR="00F06B76" w:rsidRPr="00D859C2" w:rsidRDefault="00563528" w:rsidP="00094B12">
      <w:pPr>
        <w:pStyle w:val="Odstavecsmlouvy"/>
      </w:pPr>
      <w:r>
        <w:lastRenderedPageBreak/>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BA5EEC">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E62375">
        <w:br/>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BA5EEC">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13764321"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w:t>
      </w:r>
      <w:r w:rsidR="00E62375">
        <w:br/>
      </w:r>
      <w:r>
        <w:t xml:space="preserve">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rsidR="00E62375">
        <w:br/>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3CECF48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BA5EEC">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3E3DB21"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BA5EEC">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49D253F4"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BA5EEC">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75136AC5" w14:textId="26C9AB33"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F59DA84" w14:textId="77777777" w:rsidR="0072306C" w:rsidRDefault="0072306C"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520DC7B" w14:textId="77777777" w:rsidR="0072306C" w:rsidRDefault="0072306C"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38B7557E" w14:textId="77777777" w:rsidR="0072306C" w:rsidRDefault="0072306C"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C579172" w14:textId="77777777" w:rsidR="0072306C" w:rsidRPr="00D859C2" w:rsidRDefault="0072306C"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8"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21B99DBE" w:rsidR="004A1880" w:rsidRDefault="004A1880" w:rsidP="004A1880">
      <w:pPr>
        <w:pStyle w:val="Psmenoodstavce"/>
        <w:numPr>
          <w:ilvl w:val="2"/>
          <w:numId w:val="1"/>
        </w:numPr>
        <w:ind w:left="1021" w:firstLine="0"/>
        <w:contextualSpacing/>
      </w:pPr>
      <w:r>
        <w:t xml:space="preserve">veškeré informace související s provozem a zabezpečením počítačových sítí </w:t>
      </w:r>
      <w:r w:rsidR="00E62375">
        <w:br/>
      </w:r>
      <w:r>
        <w:t>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68E5502C"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w:t>
      </w:r>
      <w:r w:rsidR="00E62375">
        <w:br/>
      </w:r>
      <w:r>
        <w:t xml:space="preserve">o její vlastní důvěrné informace. </w:t>
      </w:r>
    </w:p>
    <w:p w14:paraId="08B03624" w14:textId="77777777" w:rsidR="004A1880" w:rsidRDefault="004A1880" w:rsidP="004A1880">
      <w:pPr>
        <w:pStyle w:val="Odstavecsmlouvy"/>
        <w:numPr>
          <w:ilvl w:val="0"/>
          <w:numId w:val="0"/>
        </w:numPr>
        <w:ind w:left="567"/>
      </w:pPr>
    </w:p>
    <w:p w14:paraId="6B19C324" w14:textId="40419322" w:rsidR="004A1880" w:rsidRDefault="004A1880" w:rsidP="004A1880">
      <w:pPr>
        <w:pStyle w:val="Odstavecsmlouvy"/>
        <w:numPr>
          <w:ilvl w:val="1"/>
          <w:numId w:val="1"/>
        </w:numPr>
      </w:pPr>
      <w:bookmarkStart w:id="9" w:name="_Ref41464712"/>
      <w:bookmarkStart w:id="1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w:t>
      </w:r>
      <w:r w:rsidR="00E62375">
        <w:br/>
      </w:r>
      <w:r>
        <w:t>a to do 10 pracovních dnů od doručení takové písemné výzvy.</w:t>
      </w:r>
      <w:bookmarkEnd w:id="9"/>
    </w:p>
    <w:bookmarkEnd w:id="10"/>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11" w:name="_Ref41464266"/>
      <w:r>
        <w:t>Ochrana osobních údajů a kybernetická bezpečnost</w:t>
      </w:r>
      <w:bookmarkEnd w:id="11"/>
    </w:p>
    <w:p w14:paraId="0330D621" w14:textId="77777777" w:rsidR="004A1880" w:rsidRDefault="004A1880" w:rsidP="004A1880">
      <w:pPr>
        <w:pStyle w:val="Odstavecsmlouvy"/>
        <w:numPr>
          <w:ilvl w:val="0"/>
          <w:numId w:val="0"/>
        </w:numPr>
        <w:ind w:left="567"/>
      </w:pPr>
    </w:p>
    <w:p w14:paraId="03936D83" w14:textId="170AEBA0" w:rsidR="004A1880" w:rsidRDefault="004A1880" w:rsidP="004A1880">
      <w:pPr>
        <w:pStyle w:val="Odstavecsmlouvy"/>
        <w:numPr>
          <w:ilvl w:val="1"/>
          <w:numId w:val="1"/>
        </w:numPr>
      </w:pPr>
      <w:bookmarkStart w:id="12" w:name="_Ref529534908"/>
      <w:r>
        <w:t xml:space="preserve">Prodávající se v souvislosti s povinnostmi Kupujícího, které vyplývají z GDPR, zavazuje zpracovávat Osobní údaje výhradně na základě pokynů Kupujícího a výhradně </w:t>
      </w:r>
      <w:r w:rsidR="0072306C">
        <w:br/>
      </w:r>
      <w:r>
        <w:t>za účelem plnění povinností vyplývajících z této smlouvy.</w:t>
      </w:r>
      <w:bookmarkEnd w:id="12"/>
      <w:r>
        <w:t xml:space="preserve"> </w:t>
      </w:r>
    </w:p>
    <w:p w14:paraId="49DCE392" w14:textId="77777777" w:rsidR="004A1880" w:rsidRDefault="004A1880" w:rsidP="004A1880">
      <w:pPr>
        <w:pStyle w:val="Odstavecsmlouvy"/>
        <w:numPr>
          <w:ilvl w:val="0"/>
          <w:numId w:val="0"/>
        </w:numPr>
        <w:ind w:left="567"/>
      </w:pPr>
    </w:p>
    <w:p w14:paraId="3A1337F6" w14:textId="18FE216F" w:rsidR="004A1880" w:rsidRDefault="004A1880" w:rsidP="004A1880">
      <w:pPr>
        <w:pStyle w:val="Odstavecsmlouvy"/>
        <w:numPr>
          <w:ilvl w:val="1"/>
          <w:numId w:val="1"/>
        </w:numPr>
      </w:pPr>
      <w:bookmarkStart w:id="13" w:name="_Ref46315956"/>
      <w:r>
        <w:t xml:space="preserve">V případě výskytu události s dopadem na bezpečnost Osobních údajů je Prodávající povinen předat Kupujícímu bez zbytečného odkladu, nejpozději však do 12 hodin </w:t>
      </w:r>
      <w:r w:rsidR="0072306C">
        <w:br/>
      </w:r>
      <w:r>
        <w:t>od okamžiku, kdy Prodávající takovou událost při poskytování plnění dle této smlouvy měl nebo mohl zjistit, veškeré Prodávajícímu dostupné informace o takové bezpečnostní události.</w:t>
      </w:r>
      <w:bookmarkEnd w:id="13"/>
    </w:p>
    <w:p w14:paraId="0E56B5E2" w14:textId="77777777" w:rsidR="004A1880" w:rsidRDefault="004A1880" w:rsidP="004A1880">
      <w:pPr>
        <w:pStyle w:val="Odstavecsmlouvy"/>
        <w:numPr>
          <w:ilvl w:val="0"/>
          <w:numId w:val="0"/>
        </w:numPr>
        <w:ind w:left="567"/>
      </w:pPr>
    </w:p>
    <w:p w14:paraId="2F8C4697" w14:textId="7D85F4BD" w:rsidR="004A1880" w:rsidRDefault="004A1880" w:rsidP="004A1880">
      <w:pPr>
        <w:pStyle w:val="Odstavecsmlouvy"/>
        <w:numPr>
          <w:ilvl w:val="1"/>
          <w:numId w:val="1"/>
        </w:numPr>
      </w:pPr>
      <w:r>
        <w:t xml:space="preserve">Prodávající je v souvislosti </w:t>
      </w:r>
      <w:r w:rsidR="00277C16">
        <w:t>s jeho povinnostmi dle této smlou</w:t>
      </w:r>
      <w:r>
        <w:t>v</w:t>
      </w:r>
      <w:r w:rsidR="00277C16">
        <w:t>y</w:t>
      </w:r>
      <w:r>
        <w:t xml:space="preserve"> povinen poskytovat Kupujícímu součinnost k zavádění, provádění, revidování a aktualizaci technických </w:t>
      </w:r>
      <w:r w:rsidR="0072306C">
        <w:br/>
      </w:r>
      <w:r>
        <w:t>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w:t>
      </w:r>
      <w:r w:rsidR="00277C16">
        <w:t>.</w:t>
      </w:r>
    </w:p>
    <w:p w14:paraId="337CDE21" w14:textId="77777777" w:rsidR="004A1880" w:rsidRDefault="004A1880" w:rsidP="004A1880">
      <w:pPr>
        <w:pStyle w:val="Odstavecsmlouvy"/>
        <w:numPr>
          <w:ilvl w:val="0"/>
          <w:numId w:val="0"/>
        </w:numPr>
        <w:ind w:left="567"/>
        <w:rPr>
          <w:bCs/>
        </w:rPr>
      </w:pPr>
    </w:p>
    <w:p w14:paraId="58627892" w14:textId="68555DAA"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w:t>
      </w:r>
      <w:r w:rsidR="0072306C">
        <w:br/>
      </w:r>
      <w:r>
        <w:t>resp. smlouvy. Prodávající se pro tento případ rovněž zavazuje poskytnout součinnost směřující k uzavření takového dodatku, resp. smlouvy v soul</w:t>
      </w:r>
      <w:r w:rsidR="00277C16">
        <w:t>adu se ZZVZ a dalšími předpisy.</w:t>
      </w:r>
    </w:p>
    <w:p w14:paraId="54B8580C" w14:textId="77777777" w:rsidR="004A1880" w:rsidRDefault="004A1880" w:rsidP="004A1880">
      <w:pPr>
        <w:pStyle w:val="Odstavecsmlouvy"/>
        <w:numPr>
          <w:ilvl w:val="0"/>
          <w:numId w:val="0"/>
        </w:numPr>
        <w:ind w:left="567"/>
      </w:pPr>
    </w:p>
    <w:p w14:paraId="3F16AA7D" w14:textId="2EB64F74"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BA5EEC">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w:t>
      </w:r>
      <w:r w:rsidR="00E62375">
        <w:br/>
      </w:r>
      <w:r w:rsidRPr="00512E1A">
        <w:t xml:space="preserve">ji </w:t>
      </w:r>
      <w:r>
        <w:t xml:space="preserve">Prodávající Kupujícímu </w:t>
      </w:r>
      <w:r w:rsidRPr="00512E1A">
        <w:t>v plné výši.</w:t>
      </w:r>
    </w:p>
    <w:bookmarkEnd w:id="8"/>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26F93CD" w:rsidR="00160D16" w:rsidRPr="00D859C2" w:rsidRDefault="00160D16" w:rsidP="00160D16">
      <w:pPr>
        <w:pStyle w:val="Odstavecsmlouvy"/>
      </w:pPr>
      <w:r w:rsidRPr="00D859C2">
        <w:t xml:space="preserve">Prodávající s ohledem na povinnosti Kupujícího vyplývající zejména ze zákona </w:t>
      </w:r>
      <w:r w:rsidR="0072306C">
        <w:br/>
      </w:r>
      <w:r w:rsidRPr="00D859C2">
        <w:t>č. 340/2015 Sb., zákon o registru smluv</w:t>
      </w:r>
      <w:r>
        <w:t>,</w:t>
      </w:r>
      <w:r w:rsidRPr="00D859C2">
        <w:t xml:space="preserve"> ve znění pozdějších předpisů</w:t>
      </w:r>
      <w:r>
        <w:t xml:space="preserve"> (dále jen „</w:t>
      </w:r>
      <w:r w:rsidRPr="00094B12">
        <w:rPr>
          <w:b/>
        </w:rPr>
        <w:t>zákon o registru smluv</w:t>
      </w:r>
      <w:r>
        <w:t>“)</w:t>
      </w:r>
      <w:r w:rsidRPr="00D859C2">
        <w:t xml:space="preserve">, souhlasí se zveřejněním veškerých informací týkajících </w:t>
      </w:r>
      <w:r w:rsidR="00E62375">
        <w:br/>
      </w:r>
      <w:r w:rsidRPr="00D859C2">
        <w:t>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23A6FB90" w:rsidR="00D813B7" w:rsidRPr="00D859C2" w:rsidRDefault="00D813B7" w:rsidP="00094B12">
      <w:pPr>
        <w:pStyle w:val="Odstavecsmlouvy"/>
      </w:pPr>
      <w:r w:rsidRPr="00D859C2">
        <w:lastRenderedPageBreak/>
        <w:t xml:space="preserve">Osoba podepisující tuto smlouvu jménem Prodávajícího prohlašuje, že podle stanov společnosti, společenské smlouvy nebo jiného obdobného organizačního předpisu </w:t>
      </w:r>
      <w:r w:rsidR="00E62375">
        <w:br/>
      </w:r>
      <w:r w:rsidRPr="00D859C2">
        <w:t>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2DF72165" w:rsidR="00D813B7" w:rsidRPr="00D859C2" w:rsidRDefault="00D813B7" w:rsidP="00094B12">
      <w:pPr>
        <w:pStyle w:val="Odstavecsmlouvy"/>
      </w:pPr>
      <w:r w:rsidRPr="00D859C2">
        <w:t xml:space="preserve">Prodávající prohlašuje, že vůči němu není vedena exekuce a ani nemá žádné dluhy </w:t>
      </w:r>
      <w:r w:rsidR="0072306C">
        <w:br/>
      </w:r>
      <w:r w:rsidRPr="00D859C2">
        <w:t>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CC8E2F9" w:rsidR="00327588" w:rsidRPr="00D859C2" w:rsidRDefault="00CC12D2" w:rsidP="00094B12">
      <w:pPr>
        <w:pStyle w:val="Odstavecsmlouvy"/>
        <w:rPr>
          <w:snapToGrid w:val="0"/>
        </w:rPr>
      </w:pPr>
      <w:r w:rsidRPr="00DE7561">
        <w:rPr>
          <w:snapToGrid w:val="0"/>
        </w:rPr>
        <w:t xml:space="preserve">Tato smlouva je sepsána ve </w:t>
      </w:r>
      <w:r w:rsidR="00AF0406" w:rsidRPr="00DE7561">
        <w:rPr>
          <w:snapToGrid w:val="0"/>
        </w:rPr>
        <w:t>dvou</w:t>
      </w:r>
      <w:r w:rsidRPr="00DE7561">
        <w:rPr>
          <w:snapToGrid w:val="0"/>
        </w:rPr>
        <w:t xml:space="preserve"> vyhotoveních stejné platnosti a závaznosti, </w:t>
      </w:r>
      <w:r w:rsidR="0072306C">
        <w:rPr>
          <w:snapToGrid w:val="0"/>
        </w:rPr>
        <w:br/>
      </w:r>
      <w:r w:rsidR="00160D16" w:rsidRPr="00DE7561">
        <w:rPr>
          <w:snapToGrid w:val="0"/>
        </w:rPr>
        <w:t xml:space="preserve">přičemž každá smluvní </w:t>
      </w:r>
      <w:r w:rsidR="00DE7561" w:rsidRPr="00DE7561">
        <w:rPr>
          <w:snapToGrid w:val="0"/>
        </w:rPr>
        <w:t xml:space="preserve">strana obdrží jedno vyhotovení. </w:t>
      </w:r>
      <w:r w:rsidR="00A51E29">
        <w:rPr>
          <w:snapToGrid w:val="0"/>
        </w:rPr>
        <w:t>P</w:t>
      </w:r>
      <w:r w:rsidR="00A51E29" w:rsidRPr="00D231CC">
        <w:rPr>
          <w:snapToGrid w:val="0"/>
        </w:rPr>
        <w:t xml:space="preserve">řípadně je </w:t>
      </w:r>
      <w:r w:rsidR="00A51E29">
        <w:rPr>
          <w:snapToGrid w:val="0"/>
        </w:rPr>
        <w:t xml:space="preserve">tato smlouva </w:t>
      </w:r>
      <w:r w:rsidR="00A51E29" w:rsidRPr="00D231CC">
        <w:rPr>
          <w:snapToGrid w:val="0"/>
        </w:rPr>
        <w:t xml:space="preserve">vyhotovena elektronicky a podepsána </w:t>
      </w:r>
      <w:r w:rsidR="00A51E29">
        <w:rPr>
          <w:snapToGrid w:val="0"/>
        </w:rPr>
        <w:t>uznávaným</w:t>
      </w:r>
      <w:r w:rsidR="00A51E29" w:rsidRPr="00D231CC">
        <w:rPr>
          <w:snapToGrid w:val="0"/>
        </w:rPr>
        <w:t xml:space="preserve"> elektronickým podpisem</w:t>
      </w:r>
      <w:r w:rsidR="00D7425C">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5B875FA4"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w:t>
      </w:r>
      <w:r w:rsidR="0072306C">
        <w:rPr>
          <w:snapToGrid w:val="0"/>
        </w:rPr>
        <w:br/>
      </w:r>
      <w:r w:rsidRPr="00D859C2">
        <w:rPr>
          <w:snapToGrid w:val="0"/>
        </w:rPr>
        <w:t xml:space="preserve">a nabývá účinnosti dnem jejího zveřejnění v registru smluv v souladu s § 6 zákona </w:t>
      </w:r>
      <w:r w:rsidR="0072306C">
        <w:rPr>
          <w:snapToGrid w:val="0"/>
        </w:rPr>
        <w:br/>
      </w:r>
      <w:r w:rsidRPr="00D859C2">
        <w:rPr>
          <w:snapToGrid w:val="0"/>
        </w:rPr>
        <w:t xml:space="preserve">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1"/>
        </w:numPr>
      </w:pPr>
      <w:r>
        <w:t>Nedílnou součástí této smlouvy jsou:</w:t>
      </w:r>
    </w:p>
    <w:p w14:paraId="6EC6FB1A" w14:textId="1D4A0A6D" w:rsidR="0096600E" w:rsidRDefault="0052512F" w:rsidP="0096600E">
      <w:pPr>
        <w:pStyle w:val="Odstavecsmlouvy"/>
        <w:numPr>
          <w:ilvl w:val="0"/>
          <w:numId w:val="13"/>
        </w:numPr>
      </w:pPr>
      <w:r>
        <w:t>Příloha č. 1 – Detailní specifikace Zboží</w:t>
      </w:r>
    </w:p>
    <w:p w14:paraId="50C37144" w14:textId="77777777" w:rsidR="0096600E" w:rsidRDefault="0096600E" w:rsidP="0096600E">
      <w:pPr>
        <w:pStyle w:val="Odstavecsmlouvy"/>
        <w:numPr>
          <w:ilvl w:val="0"/>
          <w:numId w:val="0"/>
        </w:numPr>
        <w:ind w:left="567"/>
      </w:pPr>
    </w:p>
    <w:p w14:paraId="22C56218" w14:textId="0A003A89" w:rsidR="00277C16" w:rsidRDefault="00D071E8" w:rsidP="0072306C">
      <w:pPr>
        <w:pStyle w:val="Odstavecsmlouvy"/>
      </w:pPr>
      <w:r w:rsidRPr="00D859C2">
        <w:t>Smluvní strany prohlašují, že se důkladně seznámily s obsahem této smlouvy, kterému zcela rozumí a plně vyjadřuje jejich svobodnou a vážnou vůli</w:t>
      </w:r>
      <w:r w:rsidR="0072306C">
        <w:t>.</w:t>
      </w:r>
    </w:p>
    <w:p w14:paraId="58DBF985" w14:textId="77777777" w:rsidR="0072306C" w:rsidRDefault="0072306C" w:rsidP="0072306C">
      <w:pPr>
        <w:pStyle w:val="Nadpis1"/>
        <w:numPr>
          <w:ilvl w:val="0"/>
          <w:numId w:val="0"/>
        </w:numPr>
        <w:ind w:left="1080"/>
        <w:jc w:val="both"/>
      </w:pPr>
    </w:p>
    <w:p w14:paraId="7BC8AADB" w14:textId="77777777" w:rsidR="0072306C" w:rsidRDefault="0072306C" w:rsidP="0072306C"/>
    <w:p w14:paraId="5C4F88F8" w14:textId="77777777" w:rsidR="0072306C" w:rsidRDefault="0072306C" w:rsidP="0072306C"/>
    <w:p w14:paraId="72468435" w14:textId="77777777" w:rsidR="0072306C" w:rsidRDefault="0072306C" w:rsidP="0072306C"/>
    <w:p w14:paraId="164AD799" w14:textId="77777777" w:rsidR="0072306C" w:rsidRDefault="0072306C" w:rsidP="0072306C"/>
    <w:p w14:paraId="503DC340" w14:textId="77777777" w:rsidR="0072306C" w:rsidRDefault="0072306C" w:rsidP="0072306C"/>
    <w:p w14:paraId="6C7850B4" w14:textId="77777777" w:rsidR="0072306C" w:rsidRDefault="0072306C" w:rsidP="0072306C"/>
    <w:p w14:paraId="5EBCFD27" w14:textId="77777777" w:rsidR="0072306C" w:rsidRDefault="0072306C" w:rsidP="0072306C"/>
    <w:p w14:paraId="1348B370" w14:textId="77777777" w:rsidR="0072306C" w:rsidRDefault="0072306C" w:rsidP="0072306C"/>
    <w:p w14:paraId="6718833C" w14:textId="77777777" w:rsidR="0072306C" w:rsidRPr="0072306C" w:rsidRDefault="0072306C" w:rsidP="0072306C"/>
    <w:p w14:paraId="3BD68286" w14:textId="77777777" w:rsidR="00E62375" w:rsidRPr="00D859C2" w:rsidRDefault="00E62375"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3"/>
        <w:gridCol w:w="999"/>
        <w:gridCol w:w="3793"/>
      </w:tblGrid>
      <w:tr w:rsidR="00DE7561" w:rsidRPr="00D722DC" w14:paraId="3036FF83" w14:textId="77777777" w:rsidTr="00160D16">
        <w:tc>
          <w:tcPr>
            <w:tcW w:w="3802" w:type="dxa"/>
            <w:shd w:val="clear" w:color="auto" w:fill="auto"/>
          </w:tcPr>
          <w:p w14:paraId="69B3B101" w14:textId="00CE02BB" w:rsidR="00094B12" w:rsidRPr="00D722DC" w:rsidRDefault="00094B12" w:rsidP="00C26CEB">
            <w:pPr>
              <w:pStyle w:val="slovn"/>
              <w:numPr>
                <w:ilvl w:val="0"/>
                <w:numId w:val="0"/>
              </w:numPr>
              <w:tabs>
                <w:tab w:val="num" w:pos="567"/>
              </w:tabs>
              <w:spacing w:after="0" w:line="280" w:lineRule="atLeast"/>
              <w:jc w:val="left"/>
              <w:rPr>
                <w:sz w:val="22"/>
                <w:szCs w:val="22"/>
              </w:rPr>
            </w:pPr>
            <w:r w:rsidRPr="00D722DC">
              <w:rPr>
                <w:sz w:val="22"/>
                <w:szCs w:val="22"/>
              </w:rPr>
              <w:lastRenderedPageBreak/>
              <w:t>V</w:t>
            </w:r>
            <w:r w:rsidR="00DE7561">
              <w:rPr>
                <w:sz w:val="22"/>
                <w:szCs w:val="22"/>
              </w:rPr>
              <w:t xml:space="preserve"> Brně </w:t>
            </w:r>
            <w:r w:rsidRPr="001150C5">
              <w:rPr>
                <w:sz w:val="22"/>
                <w:szCs w:val="22"/>
              </w:rPr>
              <w:t>dne</w:t>
            </w:r>
            <w:r w:rsidR="00DE7561">
              <w:rPr>
                <w:sz w:val="22"/>
                <w:szCs w:val="22"/>
              </w:rPr>
              <w:t xml:space="preserve"> </w:t>
            </w:r>
            <w:r w:rsidR="00C26CEB">
              <w:rPr>
                <w:sz w:val="22"/>
                <w:szCs w:val="22"/>
              </w:rPr>
              <w:t>16. 3. 2022</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1C32CF7C" w:rsidR="00094B12" w:rsidRPr="00D722DC" w:rsidRDefault="00094B12" w:rsidP="00C26CEB">
            <w:pPr>
              <w:pStyle w:val="slovn"/>
              <w:numPr>
                <w:ilvl w:val="0"/>
                <w:numId w:val="0"/>
              </w:numPr>
              <w:tabs>
                <w:tab w:val="num" w:pos="567"/>
              </w:tabs>
              <w:spacing w:after="0" w:line="280" w:lineRule="atLeast"/>
              <w:rPr>
                <w:sz w:val="22"/>
                <w:szCs w:val="22"/>
              </w:rPr>
            </w:pPr>
            <w:r w:rsidRPr="00D722DC">
              <w:rPr>
                <w:sz w:val="22"/>
                <w:szCs w:val="22"/>
              </w:rPr>
              <w:t>V Brně dne</w:t>
            </w:r>
            <w:r w:rsidR="00DE7561">
              <w:rPr>
                <w:sz w:val="22"/>
                <w:szCs w:val="22"/>
              </w:rPr>
              <w:t xml:space="preserve"> </w:t>
            </w:r>
            <w:r w:rsidR="00C26CEB">
              <w:rPr>
                <w:sz w:val="22"/>
                <w:szCs w:val="22"/>
              </w:rPr>
              <w:t>17. 3. 2022</w:t>
            </w:r>
            <w:bookmarkStart w:id="14" w:name="_GoBack"/>
            <w:bookmarkEnd w:id="14"/>
          </w:p>
        </w:tc>
      </w:tr>
      <w:tr w:rsidR="00DE7561"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ECB8DCE" w14:textId="77777777" w:rsidR="00DE7561" w:rsidRDefault="00DE7561" w:rsidP="000E79CE">
            <w:pPr>
              <w:pStyle w:val="slovn"/>
              <w:numPr>
                <w:ilvl w:val="0"/>
                <w:numId w:val="0"/>
              </w:numPr>
              <w:tabs>
                <w:tab w:val="num" w:pos="567"/>
              </w:tabs>
              <w:spacing w:after="0" w:line="280" w:lineRule="atLeast"/>
              <w:rPr>
                <w:sz w:val="22"/>
                <w:szCs w:val="22"/>
              </w:rPr>
            </w:pPr>
          </w:p>
          <w:p w14:paraId="180E7BDF" w14:textId="77777777" w:rsidR="008D70B8" w:rsidRDefault="008D70B8" w:rsidP="000E79CE">
            <w:pPr>
              <w:pStyle w:val="slovn"/>
              <w:numPr>
                <w:ilvl w:val="0"/>
                <w:numId w:val="0"/>
              </w:numPr>
              <w:tabs>
                <w:tab w:val="num" w:pos="567"/>
              </w:tabs>
              <w:spacing w:after="0" w:line="280" w:lineRule="atLeast"/>
              <w:rPr>
                <w:sz w:val="22"/>
                <w:szCs w:val="22"/>
              </w:rPr>
            </w:pPr>
          </w:p>
          <w:p w14:paraId="120C0010" w14:textId="77777777" w:rsidR="00DE7561" w:rsidRDefault="00DE7561" w:rsidP="000E79CE">
            <w:pPr>
              <w:pStyle w:val="slovn"/>
              <w:numPr>
                <w:ilvl w:val="0"/>
                <w:numId w:val="0"/>
              </w:numPr>
              <w:tabs>
                <w:tab w:val="num" w:pos="567"/>
              </w:tabs>
              <w:spacing w:after="0" w:line="280" w:lineRule="atLeast"/>
              <w:rPr>
                <w:sz w:val="22"/>
                <w:szCs w:val="22"/>
              </w:rPr>
            </w:pPr>
          </w:p>
          <w:p w14:paraId="716B32C3" w14:textId="77777777" w:rsidR="00DE7561" w:rsidRDefault="00DE7561"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DE7561" w:rsidRPr="00D722DC" w14:paraId="1CC101F5" w14:textId="77777777" w:rsidTr="00160D16">
        <w:tc>
          <w:tcPr>
            <w:tcW w:w="3802" w:type="dxa"/>
            <w:tcBorders>
              <w:top w:val="single" w:sz="4" w:space="0" w:color="auto"/>
            </w:tcBorders>
            <w:shd w:val="clear" w:color="auto" w:fill="auto"/>
          </w:tcPr>
          <w:p w14:paraId="332338AF" w14:textId="77777777" w:rsidR="00DE7561" w:rsidRPr="00DE7561" w:rsidRDefault="00DE7561" w:rsidP="00DE7561">
            <w:pPr>
              <w:jc w:val="center"/>
              <w:rPr>
                <w:b/>
                <w:highlight w:val="yellow"/>
              </w:rPr>
            </w:pPr>
            <w:r w:rsidRPr="00DE7561">
              <w:rPr>
                <w:b/>
              </w:rPr>
              <w:t>NIMOTECH, s.r.o.</w:t>
            </w:r>
          </w:p>
          <w:p w14:paraId="69425322" w14:textId="2AB797C2" w:rsidR="00DE7561" w:rsidRPr="00697291" w:rsidRDefault="00DE7561" w:rsidP="00DE7561">
            <w:pPr>
              <w:jc w:val="center"/>
            </w:pPr>
            <w:r w:rsidRPr="00697291">
              <w:t xml:space="preserve">JUDr. Gertruda </w:t>
            </w:r>
            <w:proofErr w:type="spellStart"/>
            <w:r w:rsidRPr="00697291">
              <w:t>Frydová</w:t>
            </w:r>
            <w:proofErr w:type="spellEnd"/>
          </w:p>
          <w:p w14:paraId="307C3D15" w14:textId="6045BF5F" w:rsidR="00DE7561" w:rsidRPr="00697291" w:rsidRDefault="00DE7561" w:rsidP="00DE7561">
            <w:pPr>
              <w:jc w:val="center"/>
              <w:rPr>
                <w:highlight w:val="yellow"/>
              </w:rPr>
            </w:pPr>
            <w:r w:rsidRPr="00697291">
              <w:t>prokurista</w:t>
            </w:r>
          </w:p>
          <w:p w14:paraId="5D9AD45F" w14:textId="72940225" w:rsidR="00DE7561" w:rsidRPr="00D722DC" w:rsidRDefault="00DE7561" w:rsidP="00DE7561">
            <w:pPr>
              <w:pStyle w:val="slovn"/>
              <w:numPr>
                <w:ilvl w:val="0"/>
                <w:numId w:val="0"/>
              </w:numPr>
              <w:tabs>
                <w:tab w:val="num" w:pos="567"/>
              </w:tabs>
              <w:spacing w:after="0" w:line="280" w:lineRule="atLeast"/>
              <w:jc w:val="center"/>
              <w:rPr>
                <w:sz w:val="22"/>
                <w:szCs w:val="22"/>
              </w:rPr>
            </w:pPr>
          </w:p>
          <w:p w14:paraId="17D23793" w14:textId="08D01B61" w:rsidR="00094B12" w:rsidRPr="00D722DC" w:rsidRDefault="00094B12" w:rsidP="000E79CE">
            <w:pPr>
              <w:pStyle w:val="slovn"/>
              <w:numPr>
                <w:ilvl w:val="0"/>
                <w:numId w:val="0"/>
              </w:numPr>
              <w:tabs>
                <w:tab w:val="num" w:pos="567"/>
              </w:tabs>
              <w:spacing w:after="0" w:line="280" w:lineRule="atLeast"/>
              <w:jc w:val="center"/>
              <w:rPr>
                <w:sz w:val="22"/>
                <w:szCs w:val="22"/>
              </w:rPr>
            </w:pP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777777" w:rsidR="00094B12" w:rsidRPr="001150C5"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rPr>
              <w:t>prof. MUDr. Jaroslav Štěrba, Ph.D.,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5C0442EA" w:rsidR="00094B12" w:rsidRDefault="00094B12" w:rsidP="00094B12">
      <w:pPr>
        <w:jc w:val="center"/>
        <w:rPr>
          <w:b/>
        </w:rPr>
      </w:pPr>
      <w:r w:rsidRPr="000729CF">
        <w:rPr>
          <w:b/>
        </w:rPr>
        <w:t xml:space="preserve">Detailní specifikace </w:t>
      </w:r>
      <w:r>
        <w:rPr>
          <w:b/>
        </w:rPr>
        <w:t>Zboží</w:t>
      </w:r>
    </w:p>
    <w:p w14:paraId="46EF4B78" w14:textId="77777777" w:rsidR="00094B12" w:rsidRDefault="00094B12" w:rsidP="00094B12"/>
    <w:p w14:paraId="26237CCE"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r>
        <w:rPr>
          <w:sz w:val="23"/>
          <w:szCs w:val="23"/>
        </w:rPr>
        <w:t>Příloha č. 1 – Technická specifikace</w:t>
      </w:r>
    </w:p>
    <w:p w14:paraId="3A77A44E"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p>
    <w:p w14:paraId="1AE72A64"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p>
    <w:tbl>
      <w:tblPr>
        <w:tblW w:w="4640" w:type="dxa"/>
        <w:tblCellMar>
          <w:left w:w="70" w:type="dxa"/>
          <w:right w:w="70" w:type="dxa"/>
        </w:tblCellMar>
        <w:tblLook w:val="04A0" w:firstRow="1" w:lastRow="0" w:firstColumn="1" w:lastColumn="0" w:noHBand="0" w:noVBand="1"/>
      </w:tblPr>
      <w:tblGrid>
        <w:gridCol w:w="4640"/>
      </w:tblGrid>
      <w:tr w:rsidR="00DE7561" w:rsidRPr="000B475D" w14:paraId="31FAE363" w14:textId="77777777" w:rsidTr="005E0721">
        <w:trPr>
          <w:trHeight w:val="600"/>
        </w:trPr>
        <w:tc>
          <w:tcPr>
            <w:tcW w:w="4640" w:type="dxa"/>
            <w:tcBorders>
              <w:top w:val="single" w:sz="4" w:space="0" w:color="auto"/>
              <w:left w:val="single" w:sz="8" w:space="0" w:color="auto"/>
              <w:bottom w:val="single" w:sz="4" w:space="0" w:color="auto"/>
              <w:right w:val="single" w:sz="8" w:space="0" w:color="auto"/>
            </w:tcBorders>
            <w:shd w:val="clear" w:color="000000" w:fill="DCE6F1"/>
            <w:vAlign w:val="bottom"/>
            <w:hideMark/>
          </w:tcPr>
          <w:p w14:paraId="315200F1" w14:textId="77777777" w:rsidR="00DE7561" w:rsidRPr="000B475D" w:rsidRDefault="00DE7561" w:rsidP="005E0721">
            <w:pPr>
              <w:spacing w:line="240" w:lineRule="auto"/>
              <w:rPr>
                <w:rFonts w:cs="Calibri"/>
              </w:rPr>
            </w:pPr>
            <w:r w:rsidRPr="000B475D">
              <w:rPr>
                <w:rFonts w:cs="Calibri"/>
              </w:rPr>
              <w:t>Širokopásmová multifrekvenční kardiologická sonda s rozsahem min. 2 - 4 MHz</w:t>
            </w:r>
          </w:p>
        </w:tc>
      </w:tr>
      <w:tr w:rsidR="00DE7561" w:rsidRPr="000B475D" w14:paraId="60B12D95" w14:textId="77777777" w:rsidTr="005E0721">
        <w:trPr>
          <w:trHeight w:val="600"/>
        </w:trPr>
        <w:tc>
          <w:tcPr>
            <w:tcW w:w="4640" w:type="dxa"/>
            <w:tcBorders>
              <w:top w:val="nil"/>
              <w:left w:val="single" w:sz="8" w:space="0" w:color="auto"/>
              <w:bottom w:val="nil"/>
              <w:right w:val="single" w:sz="8" w:space="0" w:color="auto"/>
            </w:tcBorders>
            <w:shd w:val="clear" w:color="000000" w:fill="DCE6F1"/>
            <w:vAlign w:val="bottom"/>
            <w:hideMark/>
          </w:tcPr>
          <w:p w14:paraId="00F20B89" w14:textId="77777777" w:rsidR="00DE7561" w:rsidRPr="000B475D" w:rsidRDefault="00DE7561" w:rsidP="005E0721">
            <w:pPr>
              <w:spacing w:line="240" w:lineRule="auto"/>
              <w:rPr>
                <w:rFonts w:cs="Calibri"/>
              </w:rPr>
            </w:pPr>
            <w:r w:rsidRPr="000B475D">
              <w:rPr>
                <w:rFonts w:cs="Calibri"/>
              </w:rPr>
              <w:t>Součástí dodávky i SW pro kardiologická měření pro níže uvedený ultrazvuk</w:t>
            </w:r>
          </w:p>
        </w:tc>
      </w:tr>
      <w:tr w:rsidR="00DE7561" w:rsidRPr="000B475D" w14:paraId="7C80EF47" w14:textId="77777777" w:rsidTr="005E0721">
        <w:trPr>
          <w:trHeight w:val="615"/>
        </w:trPr>
        <w:tc>
          <w:tcPr>
            <w:tcW w:w="4640" w:type="dxa"/>
            <w:tcBorders>
              <w:top w:val="single" w:sz="4" w:space="0" w:color="auto"/>
              <w:left w:val="single" w:sz="8" w:space="0" w:color="auto"/>
              <w:bottom w:val="single" w:sz="4" w:space="0" w:color="auto"/>
              <w:right w:val="single" w:sz="8" w:space="0" w:color="auto"/>
            </w:tcBorders>
            <w:shd w:val="clear" w:color="000000" w:fill="DCE6F1"/>
            <w:vAlign w:val="bottom"/>
            <w:hideMark/>
          </w:tcPr>
          <w:p w14:paraId="082E8A6B" w14:textId="77777777" w:rsidR="00DE7561" w:rsidRPr="000B475D" w:rsidRDefault="00DE7561" w:rsidP="005E0721">
            <w:pPr>
              <w:spacing w:line="240" w:lineRule="auto"/>
              <w:rPr>
                <w:rFonts w:cs="Calibri"/>
              </w:rPr>
            </w:pPr>
            <w:r w:rsidRPr="000B475D">
              <w:rPr>
                <w:rFonts w:cs="Calibri"/>
              </w:rPr>
              <w:t xml:space="preserve">Nutná kompatibilita s ultrazvukem Samsung </w:t>
            </w:r>
            <w:proofErr w:type="spellStart"/>
            <w:r w:rsidRPr="000B475D">
              <w:rPr>
                <w:rFonts w:cs="Calibri"/>
              </w:rPr>
              <w:t>Medison</w:t>
            </w:r>
            <w:proofErr w:type="spellEnd"/>
            <w:r w:rsidRPr="000B475D">
              <w:rPr>
                <w:rFonts w:cs="Calibri"/>
              </w:rPr>
              <w:t xml:space="preserve">  UGEO HM70A</w:t>
            </w:r>
          </w:p>
        </w:tc>
      </w:tr>
      <w:tr w:rsidR="00DE7561" w:rsidRPr="000B475D" w14:paraId="36BB510B" w14:textId="77777777" w:rsidTr="005E0721">
        <w:trPr>
          <w:trHeight w:val="615"/>
        </w:trPr>
        <w:tc>
          <w:tcPr>
            <w:tcW w:w="4640" w:type="dxa"/>
            <w:tcBorders>
              <w:top w:val="single" w:sz="4" w:space="0" w:color="auto"/>
              <w:left w:val="single" w:sz="8" w:space="0" w:color="auto"/>
              <w:bottom w:val="single" w:sz="8" w:space="0" w:color="auto"/>
              <w:right w:val="single" w:sz="8" w:space="0" w:color="auto"/>
            </w:tcBorders>
            <w:shd w:val="clear" w:color="000000" w:fill="DCE6F1"/>
            <w:vAlign w:val="bottom"/>
          </w:tcPr>
          <w:p w14:paraId="796870C6" w14:textId="77777777" w:rsidR="00DE7561" w:rsidRPr="000B475D" w:rsidRDefault="00DE7561" w:rsidP="005E0721">
            <w:pPr>
              <w:spacing w:line="240" w:lineRule="auto"/>
              <w:rPr>
                <w:rFonts w:cs="Calibri"/>
              </w:rPr>
            </w:pPr>
          </w:p>
        </w:tc>
      </w:tr>
    </w:tbl>
    <w:p w14:paraId="4B20E93D"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p>
    <w:p w14:paraId="48A0A59F"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p>
    <w:p w14:paraId="55FEA425"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p>
    <w:p w14:paraId="24EC020D" w14:textId="77777777" w:rsidR="00DE7561"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3"/>
          <w:szCs w:val="23"/>
        </w:rPr>
      </w:pPr>
    </w:p>
    <w:tbl>
      <w:tblPr>
        <w:tblW w:w="9980" w:type="dxa"/>
        <w:tblBorders>
          <w:bottom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483"/>
        <w:gridCol w:w="3118"/>
        <w:gridCol w:w="425"/>
        <w:gridCol w:w="1276"/>
        <w:gridCol w:w="567"/>
        <w:gridCol w:w="1276"/>
        <w:gridCol w:w="1276"/>
        <w:gridCol w:w="992"/>
        <w:gridCol w:w="142"/>
        <w:gridCol w:w="425"/>
      </w:tblGrid>
      <w:tr w:rsidR="00DE7561" w14:paraId="0ED51CE1" w14:textId="77777777" w:rsidTr="005E0721">
        <w:trPr>
          <w:tblHeader/>
        </w:trPr>
        <w:tc>
          <w:tcPr>
            <w:tcW w:w="483" w:type="dxa"/>
            <w:tcBorders>
              <w:bottom w:val="single" w:sz="4" w:space="0" w:color="auto"/>
            </w:tcBorders>
            <w:shd w:val="clear" w:color="auto" w:fill="auto"/>
            <w:vAlign w:val="bottom"/>
          </w:tcPr>
          <w:p w14:paraId="0D1761B3" w14:textId="77777777" w:rsidR="00DE7561" w:rsidRPr="00C5357C" w:rsidRDefault="00DE7561" w:rsidP="005E0721">
            <w:pPr>
              <w:spacing w:line="240" w:lineRule="auto"/>
              <w:rPr>
                <w:b/>
                <w:sz w:val="16"/>
                <w:szCs w:val="16"/>
              </w:rPr>
            </w:pPr>
            <w:r w:rsidRPr="00C5357C">
              <w:rPr>
                <w:b/>
                <w:sz w:val="16"/>
                <w:szCs w:val="16"/>
              </w:rPr>
              <w:t>Pol.</w:t>
            </w:r>
          </w:p>
        </w:tc>
        <w:tc>
          <w:tcPr>
            <w:tcW w:w="3118" w:type="dxa"/>
            <w:tcBorders>
              <w:bottom w:val="single" w:sz="4" w:space="0" w:color="auto"/>
            </w:tcBorders>
            <w:shd w:val="clear" w:color="auto" w:fill="auto"/>
            <w:vAlign w:val="bottom"/>
          </w:tcPr>
          <w:p w14:paraId="550BD39D" w14:textId="77777777" w:rsidR="00DE7561" w:rsidRPr="00C5357C" w:rsidRDefault="00DE7561" w:rsidP="005E0721">
            <w:pPr>
              <w:spacing w:line="240" w:lineRule="auto"/>
              <w:rPr>
                <w:b/>
                <w:sz w:val="16"/>
                <w:szCs w:val="16"/>
              </w:rPr>
            </w:pPr>
            <w:proofErr w:type="spellStart"/>
            <w:proofErr w:type="gramStart"/>
            <w:r w:rsidRPr="00C5357C">
              <w:rPr>
                <w:b/>
                <w:sz w:val="16"/>
                <w:szCs w:val="16"/>
              </w:rPr>
              <w:t>Kat</w:t>
            </w:r>
            <w:proofErr w:type="gramEnd"/>
            <w:r w:rsidRPr="00C5357C">
              <w:rPr>
                <w:b/>
                <w:sz w:val="16"/>
                <w:szCs w:val="16"/>
              </w:rPr>
              <w:t>.</w:t>
            </w:r>
            <w:proofErr w:type="gramStart"/>
            <w:r w:rsidRPr="00C5357C">
              <w:rPr>
                <w:b/>
                <w:sz w:val="16"/>
                <w:szCs w:val="16"/>
              </w:rPr>
              <w:t>č</w:t>
            </w:r>
            <w:proofErr w:type="spellEnd"/>
            <w:r w:rsidRPr="00C5357C">
              <w:rPr>
                <w:b/>
                <w:sz w:val="16"/>
                <w:szCs w:val="16"/>
              </w:rPr>
              <w:t>.</w:t>
            </w:r>
            <w:proofErr w:type="gramEnd"/>
            <w:r w:rsidRPr="00C5357C">
              <w:rPr>
                <w:b/>
                <w:sz w:val="16"/>
                <w:szCs w:val="16"/>
              </w:rPr>
              <w:t xml:space="preserve"> / Popis</w:t>
            </w:r>
          </w:p>
        </w:tc>
        <w:tc>
          <w:tcPr>
            <w:tcW w:w="425" w:type="dxa"/>
            <w:tcBorders>
              <w:bottom w:val="single" w:sz="4" w:space="0" w:color="auto"/>
            </w:tcBorders>
            <w:shd w:val="clear" w:color="auto" w:fill="auto"/>
            <w:vAlign w:val="bottom"/>
          </w:tcPr>
          <w:p w14:paraId="41C201BB" w14:textId="77777777" w:rsidR="00DE7561" w:rsidRPr="00C5357C" w:rsidRDefault="00DE7561" w:rsidP="005E0721">
            <w:pPr>
              <w:spacing w:line="240" w:lineRule="auto"/>
              <w:jc w:val="center"/>
              <w:rPr>
                <w:b/>
                <w:sz w:val="16"/>
                <w:szCs w:val="16"/>
              </w:rPr>
            </w:pPr>
            <w:r w:rsidRPr="00C5357C">
              <w:rPr>
                <w:b/>
                <w:sz w:val="16"/>
                <w:szCs w:val="16"/>
              </w:rPr>
              <w:t>Ks</w:t>
            </w:r>
            <w:r w:rsidRPr="00C5357C">
              <w:rPr>
                <w:b/>
                <w:sz w:val="16"/>
                <w:szCs w:val="16"/>
              </w:rPr>
              <w:br/>
              <w:t>[-]</w:t>
            </w:r>
          </w:p>
        </w:tc>
        <w:tc>
          <w:tcPr>
            <w:tcW w:w="1276" w:type="dxa"/>
            <w:tcBorders>
              <w:bottom w:val="single" w:sz="4" w:space="0" w:color="auto"/>
            </w:tcBorders>
            <w:shd w:val="clear" w:color="auto" w:fill="auto"/>
            <w:vAlign w:val="bottom"/>
          </w:tcPr>
          <w:p w14:paraId="4AC938A7" w14:textId="77777777" w:rsidR="00DE7561" w:rsidRPr="00C5357C" w:rsidRDefault="00DE7561" w:rsidP="005E0721">
            <w:pPr>
              <w:spacing w:line="240" w:lineRule="auto"/>
              <w:jc w:val="center"/>
              <w:rPr>
                <w:b/>
                <w:sz w:val="16"/>
                <w:szCs w:val="16"/>
              </w:rPr>
            </w:pPr>
            <w:r w:rsidRPr="00C5357C">
              <w:rPr>
                <w:b/>
                <w:sz w:val="16"/>
                <w:szCs w:val="16"/>
              </w:rPr>
              <w:t>Cena/kus</w:t>
            </w:r>
            <w:r w:rsidRPr="00C5357C">
              <w:rPr>
                <w:b/>
                <w:sz w:val="16"/>
                <w:szCs w:val="16"/>
              </w:rPr>
              <w:br/>
              <w:t>[Kč]</w:t>
            </w:r>
          </w:p>
        </w:tc>
        <w:tc>
          <w:tcPr>
            <w:tcW w:w="567" w:type="dxa"/>
            <w:tcBorders>
              <w:bottom w:val="single" w:sz="4" w:space="0" w:color="auto"/>
            </w:tcBorders>
            <w:shd w:val="clear" w:color="auto" w:fill="auto"/>
            <w:vAlign w:val="bottom"/>
          </w:tcPr>
          <w:p w14:paraId="248F30B7" w14:textId="77777777" w:rsidR="00DE7561" w:rsidRPr="00C5357C" w:rsidRDefault="00DE7561" w:rsidP="005E0721">
            <w:pPr>
              <w:spacing w:line="240" w:lineRule="auto"/>
              <w:jc w:val="center"/>
              <w:rPr>
                <w:b/>
                <w:sz w:val="16"/>
                <w:szCs w:val="16"/>
              </w:rPr>
            </w:pPr>
            <w:r w:rsidRPr="00C5357C">
              <w:rPr>
                <w:b/>
                <w:sz w:val="16"/>
                <w:szCs w:val="16"/>
              </w:rPr>
              <w:t>Sleva</w:t>
            </w:r>
            <w:r w:rsidRPr="00C5357C">
              <w:rPr>
                <w:b/>
                <w:sz w:val="16"/>
                <w:szCs w:val="16"/>
              </w:rPr>
              <w:br/>
              <w:t>%</w:t>
            </w:r>
          </w:p>
        </w:tc>
        <w:tc>
          <w:tcPr>
            <w:tcW w:w="1276" w:type="dxa"/>
            <w:tcBorders>
              <w:bottom w:val="single" w:sz="4" w:space="0" w:color="auto"/>
            </w:tcBorders>
            <w:shd w:val="clear" w:color="auto" w:fill="auto"/>
            <w:vAlign w:val="bottom"/>
          </w:tcPr>
          <w:p w14:paraId="244CB25A" w14:textId="77777777" w:rsidR="00DE7561" w:rsidRPr="00C5357C" w:rsidRDefault="00DE7561" w:rsidP="005E0721">
            <w:pPr>
              <w:spacing w:line="240" w:lineRule="auto"/>
              <w:jc w:val="center"/>
              <w:rPr>
                <w:b/>
                <w:sz w:val="16"/>
                <w:szCs w:val="16"/>
              </w:rPr>
            </w:pPr>
            <w:r w:rsidRPr="00C5357C">
              <w:rPr>
                <w:b/>
                <w:sz w:val="16"/>
                <w:szCs w:val="16"/>
              </w:rPr>
              <w:t>Cena po slevě bez DPH</w:t>
            </w:r>
            <w:r w:rsidRPr="00C5357C">
              <w:rPr>
                <w:b/>
                <w:sz w:val="16"/>
                <w:szCs w:val="16"/>
              </w:rPr>
              <w:br/>
              <w:t>[Kč]</w:t>
            </w:r>
          </w:p>
        </w:tc>
        <w:tc>
          <w:tcPr>
            <w:tcW w:w="1276" w:type="dxa"/>
            <w:tcBorders>
              <w:bottom w:val="single" w:sz="4" w:space="0" w:color="auto"/>
            </w:tcBorders>
            <w:shd w:val="clear" w:color="auto" w:fill="auto"/>
            <w:vAlign w:val="bottom"/>
          </w:tcPr>
          <w:p w14:paraId="2D62E051" w14:textId="77777777" w:rsidR="00DE7561" w:rsidRPr="00C5357C" w:rsidRDefault="00DE7561" w:rsidP="005E0721">
            <w:pPr>
              <w:spacing w:line="240" w:lineRule="auto"/>
              <w:jc w:val="center"/>
              <w:rPr>
                <w:b/>
                <w:sz w:val="16"/>
                <w:szCs w:val="16"/>
              </w:rPr>
            </w:pPr>
            <w:r w:rsidRPr="00C5357C">
              <w:rPr>
                <w:b/>
                <w:sz w:val="16"/>
                <w:szCs w:val="16"/>
              </w:rPr>
              <w:t>Cena po slevě s DPH</w:t>
            </w:r>
            <w:r w:rsidRPr="00C5357C">
              <w:rPr>
                <w:b/>
                <w:sz w:val="16"/>
                <w:szCs w:val="16"/>
              </w:rPr>
              <w:br/>
              <w:t>[Kč]</w:t>
            </w:r>
          </w:p>
        </w:tc>
        <w:tc>
          <w:tcPr>
            <w:tcW w:w="992" w:type="dxa"/>
            <w:tcBorders>
              <w:bottom w:val="single" w:sz="4" w:space="0" w:color="auto"/>
            </w:tcBorders>
            <w:shd w:val="clear" w:color="auto" w:fill="auto"/>
            <w:vAlign w:val="bottom"/>
          </w:tcPr>
          <w:p w14:paraId="4544510D" w14:textId="77777777" w:rsidR="00DE7561" w:rsidRPr="00C5357C" w:rsidRDefault="00DE7561" w:rsidP="005E0721">
            <w:pPr>
              <w:spacing w:line="240" w:lineRule="auto"/>
              <w:jc w:val="center"/>
              <w:rPr>
                <w:b/>
                <w:sz w:val="16"/>
                <w:szCs w:val="16"/>
              </w:rPr>
            </w:pPr>
            <w:r w:rsidRPr="00C5357C">
              <w:rPr>
                <w:b/>
                <w:sz w:val="16"/>
                <w:szCs w:val="16"/>
              </w:rPr>
              <w:t>DPH</w:t>
            </w:r>
          </w:p>
          <w:p w14:paraId="68E64074" w14:textId="77777777" w:rsidR="00DE7561" w:rsidRPr="00C5357C" w:rsidRDefault="00DE7561" w:rsidP="005E0721">
            <w:pPr>
              <w:spacing w:line="240" w:lineRule="auto"/>
              <w:jc w:val="center"/>
              <w:rPr>
                <w:b/>
                <w:sz w:val="16"/>
                <w:szCs w:val="16"/>
              </w:rPr>
            </w:pPr>
            <w:r w:rsidRPr="00C5357C">
              <w:rPr>
                <w:b/>
                <w:sz w:val="16"/>
                <w:szCs w:val="16"/>
              </w:rPr>
              <w:t>[Kč]</w:t>
            </w:r>
          </w:p>
        </w:tc>
        <w:tc>
          <w:tcPr>
            <w:tcW w:w="567" w:type="dxa"/>
            <w:gridSpan w:val="2"/>
            <w:tcBorders>
              <w:bottom w:val="single" w:sz="4" w:space="0" w:color="auto"/>
            </w:tcBorders>
            <w:shd w:val="clear" w:color="auto" w:fill="auto"/>
            <w:vAlign w:val="bottom"/>
          </w:tcPr>
          <w:p w14:paraId="64438F16" w14:textId="77777777" w:rsidR="00DE7561" w:rsidRPr="00C5357C" w:rsidRDefault="00DE7561" w:rsidP="005E0721">
            <w:pPr>
              <w:spacing w:line="240" w:lineRule="auto"/>
              <w:jc w:val="center"/>
              <w:rPr>
                <w:b/>
                <w:sz w:val="16"/>
                <w:szCs w:val="16"/>
              </w:rPr>
            </w:pPr>
            <w:r w:rsidRPr="00C5357C">
              <w:rPr>
                <w:b/>
                <w:sz w:val="16"/>
                <w:szCs w:val="16"/>
              </w:rPr>
              <w:t>DPH</w:t>
            </w:r>
            <w:r w:rsidRPr="00C5357C">
              <w:rPr>
                <w:b/>
                <w:sz w:val="16"/>
                <w:szCs w:val="16"/>
              </w:rPr>
              <w:br/>
              <w:t>[%]</w:t>
            </w:r>
          </w:p>
        </w:tc>
      </w:tr>
      <w:tr w:rsidR="00DE7561" w14:paraId="7EE96F87" w14:textId="77777777" w:rsidTr="005E0721">
        <w:tblPrEx>
          <w:tblBorders>
            <w:bottom w:val="none" w:sz="0" w:space="0" w:color="auto"/>
          </w:tblBorders>
          <w:tblCellMar>
            <w:top w:w="28" w:type="dxa"/>
            <w:bottom w:w="28" w:type="dxa"/>
          </w:tblCellMar>
        </w:tblPrEx>
        <w:trPr>
          <w:cantSplit/>
        </w:trPr>
        <w:tc>
          <w:tcPr>
            <w:tcW w:w="483" w:type="dxa"/>
            <w:shd w:val="clear" w:color="auto" w:fill="auto"/>
            <w:vAlign w:val="center"/>
          </w:tcPr>
          <w:p w14:paraId="20C1AE12" w14:textId="77777777" w:rsidR="00DE7561" w:rsidRDefault="00DE7561" w:rsidP="005E0721">
            <w:pPr>
              <w:keepNext/>
              <w:spacing w:line="240" w:lineRule="auto"/>
              <w:jc w:val="center"/>
            </w:pPr>
            <w:r>
              <w:t xml:space="preserve"> 1</w:t>
            </w:r>
          </w:p>
        </w:tc>
        <w:tc>
          <w:tcPr>
            <w:tcW w:w="3118" w:type="dxa"/>
            <w:shd w:val="clear" w:color="auto" w:fill="auto"/>
            <w:vAlign w:val="center"/>
          </w:tcPr>
          <w:p w14:paraId="413FA335" w14:textId="77777777" w:rsidR="00DE7561" w:rsidRPr="00C5357C" w:rsidRDefault="00DE7561" w:rsidP="005E0721">
            <w:pPr>
              <w:keepNext/>
              <w:spacing w:line="240" w:lineRule="auto"/>
              <w:rPr>
                <w:b/>
              </w:rPr>
            </w:pPr>
            <w:r w:rsidRPr="00C5357C">
              <w:rPr>
                <w:b/>
              </w:rPr>
              <w:t>USP-P015NSA/WR</w:t>
            </w:r>
          </w:p>
        </w:tc>
        <w:tc>
          <w:tcPr>
            <w:tcW w:w="425" w:type="dxa"/>
            <w:shd w:val="clear" w:color="auto" w:fill="auto"/>
            <w:vAlign w:val="center"/>
          </w:tcPr>
          <w:p w14:paraId="41650AB6" w14:textId="77777777" w:rsidR="00DE7561" w:rsidRPr="00C5357C" w:rsidRDefault="00DE7561" w:rsidP="005E0721">
            <w:pPr>
              <w:keepNext/>
              <w:spacing w:line="240" w:lineRule="auto"/>
              <w:jc w:val="right"/>
              <w:rPr>
                <w:sz w:val="16"/>
              </w:rPr>
            </w:pPr>
            <w:r w:rsidRPr="00C5357C">
              <w:rPr>
                <w:sz w:val="16"/>
              </w:rPr>
              <w:t>1</w:t>
            </w:r>
          </w:p>
        </w:tc>
        <w:tc>
          <w:tcPr>
            <w:tcW w:w="1276" w:type="dxa"/>
            <w:shd w:val="clear" w:color="auto" w:fill="auto"/>
            <w:vAlign w:val="center"/>
          </w:tcPr>
          <w:p w14:paraId="5C58B584" w14:textId="77777777" w:rsidR="00DE7561" w:rsidRPr="00C5357C" w:rsidRDefault="00DE7561" w:rsidP="005E0721">
            <w:pPr>
              <w:keepNext/>
              <w:spacing w:line="240" w:lineRule="auto"/>
              <w:jc w:val="right"/>
              <w:rPr>
                <w:sz w:val="16"/>
              </w:rPr>
            </w:pPr>
            <w:r w:rsidRPr="00C5357C">
              <w:rPr>
                <w:sz w:val="16"/>
              </w:rPr>
              <w:t xml:space="preserve"> 195 545,55</w:t>
            </w:r>
          </w:p>
        </w:tc>
        <w:tc>
          <w:tcPr>
            <w:tcW w:w="567" w:type="dxa"/>
            <w:shd w:val="clear" w:color="auto" w:fill="auto"/>
            <w:vAlign w:val="center"/>
          </w:tcPr>
          <w:p w14:paraId="52387B25" w14:textId="77777777" w:rsidR="00DE7561" w:rsidRPr="00C5357C" w:rsidRDefault="00DE7561" w:rsidP="005E0721">
            <w:pPr>
              <w:keepNext/>
              <w:spacing w:line="240" w:lineRule="auto"/>
              <w:jc w:val="right"/>
              <w:rPr>
                <w:sz w:val="16"/>
              </w:rPr>
            </w:pPr>
          </w:p>
        </w:tc>
        <w:tc>
          <w:tcPr>
            <w:tcW w:w="1276" w:type="dxa"/>
            <w:shd w:val="clear" w:color="auto" w:fill="auto"/>
            <w:vAlign w:val="center"/>
          </w:tcPr>
          <w:p w14:paraId="5BD90D63" w14:textId="77777777" w:rsidR="00DE7561" w:rsidRPr="00C5357C" w:rsidRDefault="00DE7561" w:rsidP="005E0721">
            <w:pPr>
              <w:keepNext/>
              <w:spacing w:line="240" w:lineRule="auto"/>
              <w:jc w:val="right"/>
              <w:rPr>
                <w:sz w:val="16"/>
              </w:rPr>
            </w:pPr>
            <w:r w:rsidRPr="00C5357C">
              <w:rPr>
                <w:sz w:val="16"/>
              </w:rPr>
              <w:t xml:space="preserve"> 195 545,55</w:t>
            </w:r>
          </w:p>
        </w:tc>
        <w:tc>
          <w:tcPr>
            <w:tcW w:w="1276" w:type="dxa"/>
            <w:shd w:val="clear" w:color="auto" w:fill="auto"/>
            <w:vAlign w:val="center"/>
          </w:tcPr>
          <w:p w14:paraId="30E36BBA" w14:textId="77777777" w:rsidR="00DE7561" w:rsidRPr="00C5357C" w:rsidRDefault="00DE7561" w:rsidP="005E0721">
            <w:pPr>
              <w:keepNext/>
              <w:spacing w:line="240" w:lineRule="auto"/>
              <w:jc w:val="right"/>
              <w:rPr>
                <w:sz w:val="16"/>
              </w:rPr>
            </w:pPr>
            <w:r w:rsidRPr="00C5357C">
              <w:rPr>
                <w:sz w:val="16"/>
              </w:rPr>
              <w:t>236 610,12</w:t>
            </w:r>
          </w:p>
        </w:tc>
        <w:tc>
          <w:tcPr>
            <w:tcW w:w="1134" w:type="dxa"/>
            <w:gridSpan w:val="2"/>
            <w:shd w:val="clear" w:color="auto" w:fill="auto"/>
            <w:vAlign w:val="center"/>
          </w:tcPr>
          <w:p w14:paraId="1FA89377" w14:textId="77777777" w:rsidR="00DE7561" w:rsidRPr="00C5357C" w:rsidRDefault="00DE7561" w:rsidP="005E0721">
            <w:pPr>
              <w:keepNext/>
              <w:spacing w:line="240" w:lineRule="auto"/>
              <w:jc w:val="right"/>
              <w:rPr>
                <w:sz w:val="16"/>
              </w:rPr>
            </w:pPr>
            <w:r w:rsidRPr="00C5357C">
              <w:rPr>
                <w:sz w:val="16"/>
              </w:rPr>
              <w:t>41 064,57</w:t>
            </w:r>
          </w:p>
        </w:tc>
        <w:tc>
          <w:tcPr>
            <w:tcW w:w="425" w:type="dxa"/>
            <w:shd w:val="clear" w:color="auto" w:fill="auto"/>
            <w:vAlign w:val="center"/>
          </w:tcPr>
          <w:p w14:paraId="212E0E5B" w14:textId="77777777" w:rsidR="00DE7561" w:rsidRPr="00C5357C" w:rsidRDefault="00DE7561" w:rsidP="005E0721">
            <w:pPr>
              <w:keepNext/>
              <w:spacing w:line="240" w:lineRule="auto"/>
              <w:jc w:val="right"/>
              <w:rPr>
                <w:sz w:val="16"/>
              </w:rPr>
            </w:pPr>
            <w:r w:rsidRPr="00C5357C">
              <w:rPr>
                <w:sz w:val="16"/>
              </w:rPr>
              <w:t>21</w:t>
            </w:r>
          </w:p>
        </w:tc>
      </w:tr>
      <w:tr w:rsidR="00DE7561" w14:paraId="2BDB2080" w14:textId="77777777" w:rsidTr="005E0721">
        <w:tblPrEx>
          <w:tblBorders>
            <w:bottom w:val="none" w:sz="0" w:space="0" w:color="auto"/>
          </w:tblBorders>
          <w:tblCellMar>
            <w:top w:w="28" w:type="dxa"/>
            <w:bottom w:w="28" w:type="dxa"/>
          </w:tblCellMar>
        </w:tblPrEx>
        <w:trPr>
          <w:cantSplit/>
        </w:trPr>
        <w:tc>
          <w:tcPr>
            <w:tcW w:w="483" w:type="dxa"/>
            <w:shd w:val="clear" w:color="auto" w:fill="auto"/>
            <w:vAlign w:val="center"/>
          </w:tcPr>
          <w:p w14:paraId="5C689044" w14:textId="77777777" w:rsidR="00DE7561" w:rsidRDefault="00DE7561" w:rsidP="005E0721">
            <w:pPr>
              <w:spacing w:line="240" w:lineRule="auto"/>
              <w:jc w:val="center"/>
            </w:pPr>
          </w:p>
        </w:tc>
        <w:tc>
          <w:tcPr>
            <w:tcW w:w="9072" w:type="dxa"/>
            <w:gridSpan w:val="8"/>
            <w:shd w:val="clear" w:color="auto" w:fill="auto"/>
            <w:vAlign w:val="center"/>
          </w:tcPr>
          <w:p w14:paraId="32737538" w14:textId="77777777" w:rsidR="00DE7561" w:rsidRPr="00C5357C" w:rsidRDefault="00DE7561" w:rsidP="005E0721">
            <w:pPr>
              <w:spacing w:line="240" w:lineRule="auto"/>
              <w:rPr>
                <w:sz w:val="16"/>
                <w:szCs w:val="16"/>
              </w:rPr>
            </w:pPr>
            <w:r w:rsidRPr="00C5357C">
              <w:rPr>
                <w:sz w:val="16"/>
                <w:szCs w:val="16"/>
              </w:rPr>
              <w:t xml:space="preserve">SAMSUNG MEDISON 1-5 MHz širokopásmová kardiologická sonda (PA1-5A) </w:t>
            </w:r>
          </w:p>
          <w:p w14:paraId="1264AA22" w14:textId="77777777" w:rsidR="00DE7561" w:rsidRDefault="00DE7561" w:rsidP="005E0721">
            <w:pPr>
              <w:spacing w:line="240" w:lineRule="auto"/>
            </w:pPr>
            <w:r w:rsidRPr="00C5357C">
              <w:rPr>
                <w:sz w:val="16"/>
                <w:szCs w:val="16"/>
              </w:rPr>
              <w:t>vč. SW pro kardiologická měření</w:t>
            </w:r>
            <w:r>
              <w:rPr>
                <w:sz w:val="16"/>
                <w:szCs w:val="16"/>
              </w:rPr>
              <w:t xml:space="preserve">, kompatibilní s ultrazvukovým přístrojem Samsung </w:t>
            </w:r>
            <w:proofErr w:type="spellStart"/>
            <w:r>
              <w:rPr>
                <w:sz w:val="16"/>
                <w:szCs w:val="16"/>
              </w:rPr>
              <w:t>Medison</w:t>
            </w:r>
            <w:proofErr w:type="spellEnd"/>
            <w:r>
              <w:rPr>
                <w:sz w:val="16"/>
                <w:szCs w:val="16"/>
              </w:rPr>
              <w:t xml:space="preserve"> UGEO HM70A</w:t>
            </w:r>
          </w:p>
        </w:tc>
        <w:tc>
          <w:tcPr>
            <w:tcW w:w="425" w:type="dxa"/>
            <w:shd w:val="clear" w:color="auto" w:fill="auto"/>
            <w:vAlign w:val="center"/>
          </w:tcPr>
          <w:p w14:paraId="3ADF8416" w14:textId="77777777" w:rsidR="00DE7561" w:rsidRDefault="00DE7561" w:rsidP="005E0721">
            <w:pPr>
              <w:spacing w:line="240" w:lineRule="auto"/>
              <w:jc w:val="right"/>
            </w:pPr>
          </w:p>
        </w:tc>
      </w:tr>
    </w:tbl>
    <w:p w14:paraId="107AA68B" w14:textId="77777777" w:rsidR="00DE7561" w:rsidRDefault="00DE7561" w:rsidP="00DE7561"/>
    <w:tbl>
      <w:tblPr>
        <w:tblW w:w="6946" w:type="dxa"/>
        <w:tblInd w:w="3034" w:type="dxa"/>
        <w:tblBorders>
          <w:bottom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1418"/>
        <w:gridCol w:w="2126"/>
      </w:tblGrid>
      <w:tr w:rsidR="00DE7561" w14:paraId="6B156BCB" w14:textId="77777777" w:rsidTr="005E0721">
        <w:trPr>
          <w:cantSplit/>
        </w:trPr>
        <w:tc>
          <w:tcPr>
            <w:tcW w:w="1701" w:type="dxa"/>
            <w:tcBorders>
              <w:bottom w:val="single" w:sz="4" w:space="0" w:color="auto"/>
            </w:tcBorders>
            <w:shd w:val="clear" w:color="auto" w:fill="auto"/>
            <w:vAlign w:val="center"/>
          </w:tcPr>
          <w:p w14:paraId="4C53E661" w14:textId="77777777" w:rsidR="00DE7561" w:rsidRDefault="00DE7561" w:rsidP="005E0721">
            <w:pPr>
              <w:keepNext/>
              <w:spacing w:line="240" w:lineRule="auto"/>
              <w:jc w:val="right"/>
            </w:pPr>
            <w:r>
              <w:t>Rozpis DPH</w:t>
            </w:r>
          </w:p>
        </w:tc>
        <w:tc>
          <w:tcPr>
            <w:tcW w:w="1701" w:type="dxa"/>
            <w:tcBorders>
              <w:bottom w:val="single" w:sz="4" w:space="0" w:color="auto"/>
            </w:tcBorders>
            <w:shd w:val="clear" w:color="auto" w:fill="auto"/>
            <w:vAlign w:val="center"/>
          </w:tcPr>
          <w:p w14:paraId="49BA06CE" w14:textId="77777777" w:rsidR="00DE7561" w:rsidRDefault="00DE7561" w:rsidP="005E0721">
            <w:pPr>
              <w:keepNext/>
              <w:spacing w:line="240" w:lineRule="auto"/>
              <w:jc w:val="right"/>
            </w:pPr>
            <w:r>
              <w:t>Cena bez DPH</w:t>
            </w:r>
          </w:p>
        </w:tc>
        <w:tc>
          <w:tcPr>
            <w:tcW w:w="1418" w:type="dxa"/>
            <w:tcBorders>
              <w:bottom w:val="single" w:sz="4" w:space="0" w:color="auto"/>
            </w:tcBorders>
            <w:shd w:val="clear" w:color="auto" w:fill="auto"/>
            <w:vAlign w:val="center"/>
          </w:tcPr>
          <w:p w14:paraId="00A3F870" w14:textId="77777777" w:rsidR="00DE7561" w:rsidRDefault="00DE7561" w:rsidP="005E0721">
            <w:pPr>
              <w:keepNext/>
              <w:spacing w:line="240" w:lineRule="auto"/>
              <w:jc w:val="right"/>
            </w:pPr>
            <w:r>
              <w:t>DPH</w:t>
            </w:r>
          </w:p>
        </w:tc>
        <w:tc>
          <w:tcPr>
            <w:tcW w:w="2126" w:type="dxa"/>
            <w:tcBorders>
              <w:bottom w:val="single" w:sz="4" w:space="0" w:color="auto"/>
            </w:tcBorders>
            <w:shd w:val="clear" w:color="auto" w:fill="auto"/>
            <w:vAlign w:val="center"/>
          </w:tcPr>
          <w:p w14:paraId="2D7E8DDF" w14:textId="77777777" w:rsidR="00DE7561" w:rsidRDefault="00DE7561" w:rsidP="005E0721">
            <w:pPr>
              <w:keepNext/>
              <w:spacing w:line="240" w:lineRule="auto"/>
              <w:jc w:val="right"/>
            </w:pPr>
            <w:r>
              <w:t>Celkem s DPH</w:t>
            </w:r>
          </w:p>
        </w:tc>
      </w:tr>
      <w:tr w:rsidR="00DE7561" w14:paraId="42F82ED1" w14:textId="77777777" w:rsidTr="005E0721">
        <w:tblPrEx>
          <w:tblBorders>
            <w:bottom w:val="none" w:sz="0" w:space="0" w:color="auto"/>
          </w:tblBorders>
        </w:tblPrEx>
        <w:trPr>
          <w:cantSplit/>
        </w:trPr>
        <w:tc>
          <w:tcPr>
            <w:tcW w:w="1701" w:type="dxa"/>
            <w:shd w:val="clear" w:color="auto" w:fill="auto"/>
            <w:vAlign w:val="center"/>
          </w:tcPr>
          <w:p w14:paraId="2FD5308A" w14:textId="77777777" w:rsidR="00DE7561" w:rsidRDefault="00DE7561" w:rsidP="005E0721">
            <w:pPr>
              <w:keepNext/>
              <w:spacing w:line="240" w:lineRule="auto"/>
              <w:jc w:val="right"/>
            </w:pPr>
            <w:r>
              <w:t>21%</w:t>
            </w:r>
          </w:p>
        </w:tc>
        <w:tc>
          <w:tcPr>
            <w:tcW w:w="1701" w:type="dxa"/>
            <w:shd w:val="clear" w:color="auto" w:fill="auto"/>
            <w:vAlign w:val="center"/>
          </w:tcPr>
          <w:p w14:paraId="20B3DBA7" w14:textId="77777777" w:rsidR="00DE7561" w:rsidRDefault="00DE7561" w:rsidP="005E0721">
            <w:pPr>
              <w:keepNext/>
              <w:spacing w:line="240" w:lineRule="auto"/>
              <w:jc w:val="right"/>
            </w:pPr>
            <w:r>
              <w:t xml:space="preserve"> 195 545,55</w:t>
            </w:r>
          </w:p>
        </w:tc>
        <w:tc>
          <w:tcPr>
            <w:tcW w:w="1418" w:type="dxa"/>
            <w:shd w:val="clear" w:color="auto" w:fill="auto"/>
            <w:vAlign w:val="center"/>
          </w:tcPr>
          <w:p w14:paraId="2EFE4E04" w14:textId="77777777" w:rsidR="00DE7561" w:rsidRDefault="00DE7561" w:rsidP="005E0721">
            <w:pPr>
              <w:keepNext/>
              <w:spacing w:line="240" w:lineRule="auto"/>
              <w:jc w:val="right"/>
            </w:pPr>
            <w:r>
              <w:t xml:space="preserve"> 41 064,57</w:t>
            </w:r>
          </w:p>
        </w:tc>
        <w:tc>
          <w:tcPr>
            <w:tcW w:w="2126" w:type="dxa"/>
            <w:shd w:val="clear" w:color="auto" w:fill="auto"/>
            <w:vAlign w:val="center"/>
          </w:tcPr>
          <w:p w14:paraId="6D03B9B4" w14:textId="77777777" w:rsidR="00DE7561" w:rsidRDefault="00DE7561" w:rsidP="005E0721">
            <w:pPr>
              <w:keepNext/>
              <w:spacing w:line="240" w:lineRule="auto"/>
              <w:jc w:val="right"/>
            </w:pPr>
            <w:r>
              <w:t xml:space="preserve"> 236 610,12 Kč</w:t>
            </w:r>
          </w:p>
        </w:tc>
      </w:tr>
      <w:tr w:rsidR="00DE7561" w14:paraId="491B2F2E" w14:textId="77777777" w:rsidTr="005E0721">
        <w:tblPrEx>
          <w:tblBorders>
            <w:top w:val="single" w:sz="4" w:space="0" w:color="auto"/>
          </w:tblBorders>
        </w:tblPrEx>
        <w:trPr>
          <w:cantSplit/>
        </w:trPr>
        <w:tc>
          <w:tcPr>
            <w:tcW w:w="1701" w:type="dxa"/>
            <w:tcBorders>
              <w:top w:val="single" w:sz="4" w:space="0" w:color="auto"/>
              <w:bottom w:val="single" w:sz="4" w:space="0" w:color="auto"/>
            </w:tcBorders>
            <w:shd w:val="clear" w:color="auto" w:fill="auto"/>
            <w:vAlign w:val="center"/>
          </w:tcPr>
          <w:p w14:paraId="4628EEA7" w14:textId="77777777" w:rsidR="00DE7561" w:rsidRPr="00C5357C" w:rsidRDefault="00DE7561" w:rsidP="005E0721">
            <w:pPr>
              <w:keepNext/>
              <w:spacing w:line="240" w:lineRule="auto"/>
              <w:jc w:val="right"/>
              <w:rPr>
                <w:b/>
              </w:rPr>
            </w:pPr>
            <w:r w:rsidRPr="00C5357C">
              <w:rPr>
                <w:b/>
              </w:rPr>
              <w:t>Celkem</w:t>
            </w:r>
          </w:p>
        </w:tc>
        <w:tc>
          <w:tcPr>
            <w:tcW w:w="1701" w:type="dxa"/>
            <w:tcBorders>
              <w:top w:val="single" w:sz="4" w:space="0" w:color="auto"/>
              <w:bottom w:val="single" w:sz="4" w:space="0" w:color="auto"/>
            </w:tcBorders>
            <w:shd w:val="clear" w:color="auto" w:fill="auto"/>
            <w:vAlign w:val="center"/>
          </w:tcPr>
          <w:p w14:paraId="2B5857A2" w14:textId="77777777" w:rsidR="00DE7561" w:rsidRDefault="00DE7561" w:rsidP="005E0721">
            <w:pPr>
              <w:keepNext/>
              <w:spacing w:line="240" w:lineRule="auto"/>
              <w:jc w:val="right"/>
            </w:pPr>
            <w:r>
              <w:t xml:space="preserve"> 195 545,55</w:t>
            </w:r>
          </w:p>
        </w:tc>
        <w:tc>
          <w:tcPr>
            <w:tcW w:w="1418" w:type="dxa"/>
            <w:tcBorders>
              <w:top w:val="single" w:sz="4" w:space="0" w:color="auto"/>
              <w:bottom w:val="single" w:sz="4" w:space="0" w:color="auto"/>
            </w:tcBorders>
            <w:shd w:val="clear" w:color="auto" w:fill="auto"/>
            <w:vAlign w:val="center"/>
          </w:tcPr>
          <w:p w14:paraId="7726A8F5" w14:textId="77777777" w:rsidR="00DE7561" w:rsidRDefault="00DE7561" w:rsidP="005E0721">
            <w:pPr>
              <w:keepNext/>
              <w:spacing w:line="240" w:lineRule="auto"/>
              <w:jc w:val="right"/>
            </w:pPr>
            <w:r>
              <w:t xml:space="preserve"> 41 064,57</w:t>
            </w:r>
          </w:p>
        </w:tc>
        <w:tc>
          <w:tcPr>
            <w:tcW w:w="2126" w:type="dxa"/>
            <w:tcBorders>
              <w:top w:val="single" w:sz="4" w:space="0" w:color="auto"/>
              <w:bottom w:val="single" w:sz="4" w:space="0" w:color="auto"/>
            </w:tcBorders>
            <w:shd w:val="clear" w:color="auto" w:fill="auto"/>
            <w:vAlign w:val="center"/>
          </w:tcPr>
          <w:p w14:paraId="212CA74E" w14:textId="77777777" w:rsidR="00DE7561" w:rsidRPr="00C5357C" w:rsidRDefault="00DE7561" w:rsidP="005E0721">
            <w:pPr>
              <w:keepNext/>
              <w:spacing w:line="240" w:lineRule="auto"/>
              <w:jc w:val="right"/>
              <w:rPr>
                <w:b/>
              </w:rPr>
            </w:pPr>
            <w:r w:rsidRPr="00C5357C">
              <w:rPr>
                <w:b/>
              </w:rPr>
              <w:t xml:space="preserve"> 236 610,12 Kč</w:t>
            </w:r>
          </w:p>
        </w:tc>
      </w:tr>
    </w:tbl>
    <w:p w14:paraId="32EDDB5E" w14:textId="77777777" w:rsidR="00DE7561" w:rsidRPr="0016732B" w:rsidRDefault="00DE7561" w:rsidP="00DE756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b/>
          <w:sz w:val="23"/>
          <w:szCs w:val="23"/>
        </w:rPr>
      </w:pPr>
    </w:p>
    <w:p w14:paraId="652F20A5" w14:textId="198533DE" w:rsidR="00094B12" w:rsidRDefault="00094B12" w:rsidP="00094B12">
      <w:pPr>
        <w:ind w:left="284" w:hanging="5"/>
      </w:pPr>
    </w:p>
    <w:p w14:paraId="3F806710" w14:textId="77777777" w:rsidR="00A05D45" w:rsidRDefault="00A05D45" w:rsidP="00094B12">
      <w:pPr>
        <w:ind w:left="284" w:hanging="5"/>
      </w:pPr>
    </w:p>
    <w:p w14:paraId="139CD13C" w14:textId="5C357741" w:rsidR="00A05D45" w:rsidRPr="00DE7561" w:rsidRDefault="00A05D45" w:rsidP="00DE7561">
      <w:pPr>
        <w:spacing w:line="240" w:lineRule="auto"/>
        <w:jc w:val="left"/>
      </w:pPr>
    </w:p>
    <w:sectPr w:rsidR="00A05D45" w:rsidRPr="00DE7561"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FF90" w14:textId="77777777" w:rsidR="005F2F05" w:rsidRDefault="005F2F05" w:rsidP="00FF18EB">
      <w:pPr>
        <w:spacing w:line="240" w:lineRule="auto"/>
      </w:pPr>
      <w:r>
        <w:separator/>
      </w:r>
    </w:p>
    <w:p w14:paraId="0B9AEC4A" w14:textId="77777777" w:rsidR="005F2F05" w:rsidRDefault="005F2F05"/>
  </w:endnote>
  <w:endnote w:type="continuationSeparator" w:id="0">
    <w:p w14:paraId="0E044D4B" w14:textId="77777777" w:rsidR="005F2F05" w:rsidRDefault="005F2F05" w:rsidP="00FF18EB">
      <w:pPr>
        <w:spacing w:line="240" w:lineRule="auto"/>
      </w:pPr>
      <w:r>
        <w:continuationSeparator/>
      </w:r>
    </w:p>
    <w:p w14:paraId="5615E59A" w14:textId="77777777" w:rsidR="005F2F05" w:rsidRDefault="005F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09531D66"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C26CEB" w:rsidRPr="00C26CEB">
          <w:rPr>
            <w:rFonts w:ascii="Arial" w:hAnsi="Arial"/>
            <w:noProof/>
            <w:sz w:val="20"/>
            <w:lang w:val="cs-CZ"/>
          </w:rPr>
          <w:t>1</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9CFCD" w14:textId="77777777" w:rsidR="005F2F05" w:rsidRDefault="005F2F05" w:rsidP="00FF18EB">
      <w:pPr>
        <w:spacing w:line="240" w:lineRule="auto"/>
      </w:pPr>
      <w:r>
        <w:separator/>
      </w:r>
    </w:p>
    <w:p w14:paraId="7555A264" w14:textId="77777777" w:rsidR="005F2F05" w:rsidRDefault="005F2F05"/>
  </w:footnote>
  <w:footnote w:type="continuationSeparator" w:id="0">
    <w:p w14:paraId="535BC7A3" w14:textId="77777777" w:rsidR="005F2F05" w:rsidRDefault="005F2F05" w:rsidP="00FF18EB">
      <w:pPr>
        <w:spacing w:line="240" w:lineRule="auto"/>
      </w:pPr>
      <w:r>
        <w:continuationSeparator/>
      </w:r>
    </w:p>
    <w:p w14:paraId="030697C1" w14:textId="77777777" w:rsidR="005F2F05" w:rsidRDefault="005F2F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6"/>
  </w:num>
  <w:num w:numId="5">
    <w:abstractNumId w:val="1"/>
  </w:num>
  <w:num w:numId="6">
    <w:abstractNumId w:val="4"/>
  </w:num>
  <w:num w:numId="7">
    <w:abstractNumId w:val="10"/>
  </w:num>
  <w:num w:numId="8">
    <w:abstractNumId w:val="3"/>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B580F"/>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71FDF"/>
    <w:rsid w:val="00277C16"/>
    <w:rsid w:val="002812F7"/>
    <w:rsid w:val="002834BC"/>
    <w:rsid w:val="00283E98"/>
    <w:rsid w:val="00290EF9"/>
    <w:rsid w:val="002943FF"/>
    <w:rsid w:val="0029524D"/>
    <w:rsid w:val="00296488"/>
    <w:rsid w:val="00297406"/>
    <w:rsid w:val="00297EE2"/>
    <w:rsid w:val="002A29DA"/>
    <w:rsid w:val="002A7916"/>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5214"/>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C711E"/>
    <w:rsid w:val="004D237F"/>
    <w:rsid w:val="004E74F7"/>
    <w:rsid w:val="004F3A6F"/>
    <w:rsid w:val="005013EF"/>
    <w:rsid w:val="00503008"/>
    <w:rsid w:val="005153A4"/>
    <w:rsid w:val="0051540C"/>
    <w:rsid w:val="005203B5"/>
    <w:rsid w:val="00521953"/>
    <w:rsid w:val="0052512F"/>
    <w:rsid w:val="005371E9"/>
    <w:rsid w:val="00546C21"/>
    <w:rsid w:val="005515B0"/>
    <w:rsid w:val="00560C16"/>
    <w:rsid w:val="00563528"/>
    <w:rsid w:val="00571D58"/>
    <w:rsid w:val="0057752F"/>
    <w:rsid w:val="0058691F"/>
    <w:rsid w:val="00586BB3"/>
    <w:rsid w:val="005A31F8"/>
    <w:rsid w:val="005A3B45"/>
    <w:rsid w:val="005A6D97"/>
    <w:rsid w:val="005D0FD1"/>
    <w:rsid w:val="005D1964"/>
    <w:rsid w:val="005D1F37"/>
    <w:rsid w:val="005D29BD"/>
    <w:rsid w:val="005D319C"/>
    <w:rsid w:val="005E39A9"/>
    <w:rsid w:val="005F2F05"/>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2306C"/>
    <w:rsid w:val="00735D41"/>
    <w:rsid w:val="0073763C"/>
    <w:rsid w:val="00743435"/>
    <w:rsid w:val="00744E5D"/>
    <w:rsid w:val="0075205D"/>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57DB1"/>
    <w:rsid w:val="008645D8"/>
    <w:rsid w:val="00865A8C"/>
    <w:rsid w:val="00871625"/>
    <w:rsid w:val="008877B1"/>
    <w:rsid w:val="008903ED"/>
    <w:rsid w:val="008A4B00"/>
    <w:rsid w:val="008C0647"/>
    <w:rsid w:val="008D0213"/>
    <w:rsid w:val="008D17FE"/>
    <w:rsid w:val="008D45BA"/>
    <w:rsid w:val="008D70B8"/>
    <w:rsid w:val="008E5700"/>
    <w:rsid w:val="008F5230"/>
    <w:rsid w:val="008F6BCC"/>
    <w:rsid w:val="00901F83"/>
    <w:rsid w:val="00916EE4"/>
    <w:rsid w:val="009206F6"/>
    <w:rsid w:val="0092292F"/>
    <w:rsid w:val="00924699"/>
    <w:rsid w:val="009262A8"/>
    <w:rsid w:val="00931C39"/>
    <w:rsid w:val="00932EBD"/>
    <w:rsid w:val="0093482D"/>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D5631"/>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268BD"/>
    <w:rsid w:val="00C26CEB"/>
    <w:rsid w:val="00C2727E"/>
    <w:rsid w:val="00C27F0F"/>
    <w:rsid w:val="00C342FE"/>
    <w:rsid w:val="00C40168"/>
    <w:rsid w:val="00C61AD5"/>
    <w:rsid w:val="00C61C6C"/>
    <w:rsid w:val="00C65D56"/>
    <w:rsid w:val="00C7138F"/>
    <w:rsid w:val="00C71D12"/>
    <w:rsid w:val="00C73746"/>
    <w:rsid w:val="00C90967"/>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96156"/>
    <w:rsid w:val="00DA1353"/>
    <w:rsid w:val="00DA5A63"/>
    <w:rsid w:val="00DA7CB9"/>
    <w:rsid w:val="00DD3E47"/>
    <w:rsid w:val="00DE3A3F"/>
    <w:rsid w:val="00DE4489"/>
    <w:rsid w:val="00DE7561"/>
    <w:rsid w:val="00DF71F9"/>
    <w:rsid w:val="00E053D1"/>
    <w:rsid w:val="00E13BA0"/>
    <w:rsid w:val="00E32B69"/>
    <w:rsid w:val="00E3667B"/>
    <w:rsid w:val="00E3686F"/>
    <w:rsid w:val="00E41462"/>
    <w:rsid w:val="00E428CD"/>
    <w:rsid w:val="00E47637"/>
    <w:rsid w:val="00E53E14"/>
    <w:rsid w:val="00E54D56"/>
    <w:rsid w:val="00E569E2"/>
    <w:rsid w:val="00E571BC"/>
    <w:rsid w:val="00E57C99"/>
    <w:rsid w:val="00E57DE7"/>
    <w:rsid w:val="00E62375"/>
    <w:rsid w:val="00E710A0"/>
    <w:rsid w:val="00E80D56"/>
    <w:rsid w:val="00E826DA"/>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55A47"/>
    <w:rsid w:val="00F7334F"/>
    <w:rsid w:val="00F74782"/>
    <w:rsid w:val="00F8343D"/>
    <w:rsid w:val="00F86F9D"/>
    <w:rsid w:val="00F91A23"/>
    <w:rsid w:val="00F958D2"/>
    <w:rsid w:val="00F96C73"/>
    <w:rsid w:val="00F97FE0"/>
    <w:rsid w:val="00FB373A"/>
    <w:rsid w:val="00FB43BE"/>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90CD9-D3C8-4FFF-A302-0304767D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5644</Words>
  <Characters>33303</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38870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Stravová Michaela</cp:lastModifiedBy>
  <cp:revision>38</cp:revision>
  <cp:lastPrinted>2019-03-11T09:28:00Z</cp:lastPrinted>
  <dcterms:created xsi:type="dcterms:W3CDTF">2022-02-16T08:30:00Z</dcterms:created>
  <dcterms:modified xsi:type="dcterms:W3CDTF">2022-03-18T08:44:00Z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