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511811023622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1.511811023622"/>
        <w:tblGridChange w:id="0">
          <w:tblGrid>
            <w:gridCol w:w="9071.51181102362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532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Základní škola Sušice, Lerchova ul. 1112, okres Klatovy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32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61750000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32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Lerchova 1112, Sušice II, 342 01 Sušice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32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Mgr. Čestmírem Křížem, statutárním zástupcem školy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left"/>
        <w:tblInd w:w="2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20"/>
        <w:gridCol w:w="105"/>
        <w:tblGridChange w:id="0">
          <w:tblGrid>
            <w:gridCol w:w="8820"/>
            <w:gridCol w:w="1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dě Smlouvy o administraci projektu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CZ.02.3.68/0.0/0.0/18_063/0014209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Šablony 2019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schválené v Ope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račním programu Výzkum, vývoj a vzdělávání  (dále jen „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Projektová smlouva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Projektové smlouvy na Postupníka. Postupník tato práva a povinnosti přijímá a zavazuje se Projektovou smlouvu dodržovat. Postoupená strana s tímto převodem práv a povinností souhlasí.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Projektové smlouvy i proti Postupníkovi.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Projektové smlouvy.</w:t>
      </w:r>
    </w:p>
    <w:p w:rsidR="00000000" w:rsidDel="00000000" w:rsidP="00000000" w:rsidRDefault="00000000" w:rsidRPr="00000000" w14:paraId="00000025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B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V Praze dne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EFwGWr1BWU4/GVr1oA52NRjiIQ==">AMUW2mXJqatmxY9yzejRcSq98wkwWTNyKWGKMfVkVHX/mjZhHT8XIEBrRNnfIj1jjpIzAW+6+Vz45qu9iyT67qtfo78HPFKEAZkTEEJLlIVx9mnrnZZ7uGo=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