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7828" w14:textId="77777777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2019</w:t>
      </w:r>
    </w:p>
    <w:p w14:paraId="7BEC65CD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370A706B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268797F5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3ADD58B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58A2101E" w14:textId="77777777" w:rsidR="0050389E" w:rsidRDefault="0067350D" w:rsidP="0050389E">
      <w:pPr>
        <w:autoSpaceDE w:val="0"/>
        <w:autoSpaceDN w:val="0"/>
        <w:adjustRightInd w:val="0"/>
        <w:ind w:left="1418" w:hanging="105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Ing. Václav Taubr,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Valentýn </w:t>
      </w:r>
      <w:proofErr w:type="spellStart"/>
      <w:r w:rsidR="0050389E" w:rsidRPr="0050389E">
        <w:rPr>
          <w:rFonts w:ascii="Arial" w:hAnsi="Arial" w:cs="Arial"/>
          <w:sz w:val="20"/>
        </w:rPr>
        <w:t>Avramov</w:t>
      </w:r>
      <w:proofErr w:type="spellEnd"/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Vladimír Kučera, člen představenstva</w:t>
      </w:r>
    </w:p>
    <w:p w14:paraId="5C513759" w14:textId="77777777" w:rsidR="0067350D" w:rsidRDefault="0050389E" w:rsidP="0050389E">
      <w:pPr>
        <w:autoSpaceDE w:val="0"/>
        <w:autoSpaceDN w:val="0"/>
        <w:adjustRightInd w:val="0"/>
        <w:ind w:left="1418" w:firstLine="0"/>
        <w:jc w:val="left"/>
      </w:pPr>
      <w:r>
        <w:rPr>
          <w:rFonts w:ascii="Arial" w:hAnsi="Arial" w:cs="Arial"/>
          <w:sz w:val="20"/>
        </w:rPr>
        <w:t>S</w:t>
      </w:r>
      <w:r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="0067350D" w:rsidRPr="003219A7">
        <w:rPr>
          <w:rFonts w:ascii="Arial" w:hAnsi="Arial" w:cs="Arial"/>
          <w:sz w:val="20"/>
        </w:rPr>
        <w:t>.</w:t>
      </w:r>
    </w:p>
    <w:p w14:paraId="32C5331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5246BAF2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7E7EC6D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609EA8F3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41C46EE2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27DEB091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252863B3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19858646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>Ing. Jiří Příhoda</w:t>
      </w:r>
    </w:p>
    <w:p w14:paraId="327CE068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7BB9B95D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1F091ED8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BF11A4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B89555B" w14:textId="77777777" w:rsidR="00637853" w:rsidRPr="007153CF" w:rsidRDefault="00637853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96F4C">
        <w:rPr>
          <w:rFonts w:ascii="Arial" w:hAnsi="Arial" w:cs="Arial"/>
          <w:b/>
          <w:sz w:val="20"/>
        </w:rPr>
        <w:t>Mateřská škola města Mnichova Hradiště, Mladá Boleslav, Mírová 683, Mnichovo Hradiště</w:t>
      </w:r>
    </w:p>
    <w:p w14:paraId="4E9C55CE" w14:textId="77777777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E94A031" w14:textId="77777777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pí. </w:t>
      </w:r>
      <w:r w:rsidRPr="00A41C0F">
        <w:rPr>
          <w:rFonts w:ascii="Arial" w:hAnsi="Arial" w:cs="Arial"/>
          <w:sz w:val="20"/>
        </w:rPr>
        <w:t>Alen</w:t>
      </w:r>
      <w:r>
        <w:rPr>
          <w:rFonts w:ascii="Arial" w:hAnsi="Arial" w:cs="Arial"/>
          <w:sz w:val="20"/>
        </w:rPr>
        <w:t>ou</w:t>
      </w:r>
      <w:r w:rsidRPr="00A41C0F">
        <w:rPr>
          <w:rFonts w:ascii="Arial" w:hAnsi="Arial" w:cs="Arial"/>
          <w:sz w:val="20"/>
        </w:rPr>
        <w:t xml:space="preserve"> Volfov</w:t>
      </w:r>
      <w:r>
        <w:rPr>
          <w:rFonts w:ascii="Arial" w:hAnsi="Arial" w:cs="Arial"/>
          <w:sz w:val="20"/>
        </w:rPr>
        <w:t>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06D26846" w14:textId="77777777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41C0F">
        <w:rPr>
          <w:rFonts w:ascii="Arial" w:hAnsi="Arial" w:cs="Arial"/>
          <w:sz w:val="20"/>
        </w:rPr>
        <w:t>70989001</w:t>
      </w:r>
    </w:p>
    <w:p w14:paraId="50F6EB31" w14:textId="77777777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2BA9A59F" w14:textId="77777777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 xml:space="preserve">e-mail: </w:t>
      </w:r>
      <w:hyperlink r:id="rId8" w:history="1">
        <w:r w:rsidRPr="00637853">
          <w:rPr>
            <w:rFonts w:ascii="Arial" w:hAnsi="Arial" w:cs="Arial"/>
            <w:sz w:val="20"/>
          </w:rPr>
          <w:t>ms1mh@comfeel.cz</w:t>
        </w:r>
      </w:hyperlink>
    </w:p>
    <w:p w14:paraId="2643910A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09200307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2C20E794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0560EFE9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72E07AA2" w14:textId="77777777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28CD9383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71A0C966" w14:textId="77777777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201</w:t>
      </w:r>
      <w:r w:rsidR="008642A6">
        <w:rPr>
          <w:rFonts w:ascii="Arial" w:hAnsi="Arial" w:cs="Arial"/>
          <w:b/>
          <w:sz w:val="20"/>
        </w:rPr>
        <w:t>9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201</w:t>
      </w:r>
      <w:r w:rsidR="008642A6">
        <w:rPr>
          <w:rFonts w:ascii="Arial" w:hAnsi="Arial" w:cs="Arial"/>
          <w:b/>
          <w:sz w:val="20"/>
        </w:rPr>
        <w:t>9</w:t>
      </w:r>
    </w:p>
    <w:p w14:paraId="405B52D4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0A8563C3" w14:textId="77777777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0389E" w:rsidRPr="001A5FD9">
        <w:rPr>
          <w:b/>
        </w:rPr>
        <w:t>400</w:t>
      </w:r>
      <w:r w:rsidR="0060728B" w:rsidRPr="001A5FD9">
        <w:rPr>
          <w:b/>
        </w:rPr>
        <w:t xml:space="preserve"> Kč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3A50F406" w14:textId="77777777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201</w:t>
      </w:r>
      <w:r w:rsidR="00253EB8">
        <w:rPr>
          <w:rFonts w:ascii="Arial" w:hAnsi="Arial" w:cs="Arial"/>
          <w:sz w:val="20"/>
        </w:rPr>
        <w:t>9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EAE6F42" w14:textId="77777777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201</w:t>
      </w:r>
      <w:r w:rsidR="00253EB8">
        <w:rPr>
          <w:rFonts w:ascii="Arial" w:hAnsi="Arial" w:cs="Arial"/>
          <w:sz w:val="20"/>
        </w:rPr>
        <w:t>9</w:t>
      </w:r>
      <w:r w:rsidRPr="00627FB2">
        <w:rPr>
          <w:rFonts w:ascii="Arial" w:hAnsi="Arial" w:cs="Arial"/>
          <w:sz w:val="20"/>
        </w:rPr>
        <w:t>:</w:t>
      </w:r>
    </w:p>
    <w:p w14:paraId="14EF1218" w14:textId="77777777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9212A8" w:rsidRPr="009212A8">
        <w:rPr>
          <w:b/>
        </w:rPr>
        <w:t>9 591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3295D166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388F161D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EF14C5" w:rsidRPr="00EF14C5">
        <w:rPr>
          <w:rFonts w:ascii="Arial" w:hAnsi="Arial" w:cs="Arial"/>
          <w:sz w:val="20"/>
        </w:rPr>
        <w:t>2 724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4502B21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2 952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2936D99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67350D" w:rsidRPr="0067350D">
        <w:rPr>
          <w:rFonts w:ascii="Arial" w:hAnsi="Arial" w:cs="Arial"/>
          <w:sz w:val="20"/>
        </w:rPr>
        <w:t>3</w:t>
      </w:r>
      <w:r w:rsidR="0050389E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GJ</w:t>
      </w:r>
    </w:p>
    <w:p w14:paraId="1CE073E8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263D7C" w:rsidRPr="00263D7C">
        <w:rPr>
          <w:rFonts w:ascii="Arial" w:hAnsi="Arial" w:cs="Arial"/>
          <w:sz w:val="20"/>
        </w:rPr>
        <w:t>498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9CB3F5B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1 363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354A691D" w14:textId="7777777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>1 743</w:t>
      </w:r>
      <w:r>
        <w:rPr>
          <w:rFonts w:ascii="Arial" w:hAnsi="Arial" w:cs="Arial"/>
          <w:sz w:val="20"/>
        </w:rPr>
        <w:t xml:space="preserve"> GJ</w:t>
      </w:r>
    </w:p>
    <w:p w14:paraId="02AF5C53" w14:textId="77777777"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14:paraId="1C758704" w14:textId="77777777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201</w:t>
      </w:r>
      <w:r w:rsidR="00253EB8">
        <w:rPr>
          <w:rFonts w:ascii="Arial" w:hAnsi="Arial" w:cs="Arial"/>
          <w:sz w:val="20"/>
        </w:rPr>
        <w:t>9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63C95408" w14:textId="77777777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</w:t>
      </w:r>
      <w:proofErr w:type="gramStart"/>
      <w:r w:rsidRPr="00B31798">
        <w:rPr>
          <w:rFonts w:ascii="Arial" w:hAnsi="Arial" w:cs="Arial"/>
          <w:sz w:val="20"/>
        </w:rPr>
        <w:t>energie</w:t>
      </w:r>
      <w:proofErr w:type="gramEnd"/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201</w:t>
      </w:r>
      <w:r w:rsidR="00253EB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3DA9B4DC" w14:textId="77777777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20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328C42BA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49E89523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1B4D0538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AE4910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35D37E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AFF32CF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2D168DC9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4CDFCE6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D6BEF4E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0C83E9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29E2A1D7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A2AD0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962C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52E3CE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8A7A9C1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729E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51C7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E42183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20717B1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83EA9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A24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27733B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92479FA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4CDF3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A57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0C0A27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6976288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5D1E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F92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E0A276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9230FF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BBE65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EB0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44B55B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FAA170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2897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EDD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BE01C4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FA440B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40B6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3F7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8C383C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029403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8B62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1A9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9A497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D92939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E8C5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917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4E2D85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371F425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3F538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3537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EB6BCB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4ACCDB1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01678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CA1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906CB2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B050AC6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45BEB6D" w14:textId="77777777" w:rsidR="0067350D" w:rsidRPr="00EA3256" w:rsidRDefault="0067350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5636C32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623A8B7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0B7B5720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15CA3095" w14:textId="77777777" w:rsidR="00660AB9" w:rsidRPr="00794C0E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08B68253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5CB2547C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0600AF0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3F9076A0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03A50806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9F02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E320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FC7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26A1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21F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FB7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F20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ED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E9E5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7CB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4D6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5F8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8669D1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592615CC" w14:textId="77777777" w:rsidTr="00637853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D31760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D8A4FC0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E2244CD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3B65452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4CDC48C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4FA2B3E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C59B114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7EB3804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5D0AC93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17942F1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409F297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CAC58EE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ADC86A4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</w:tbl>
    <w:p w14:paraId="251F133F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34320D16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7F2CDD7B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689D6D35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A560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A511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55A2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A8E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41A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125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2E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722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9A71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5A5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B98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CFF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E2672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678CA9F8" w14:textId="77777777" w:rsidTr="00637853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A73831C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C79C8D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71B1A74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5D2A403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EAF90F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D61727E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E720E8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8A4718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A497D1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0612137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944113A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355942B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5221501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</w:tbl>
    <w:p w14:paraId="1A616A6F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263CE7E9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0999A958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7024452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5D03F63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C08D86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7A627AAC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2F090C8D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09333EA4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0DF6BCA6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4DAFE01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6F344CCF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44739078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 w:rsidRPr="001C7C03">
        <w:rPr>
          <w:rFonts w:ascii="Arial" w:hAnsi="Arial" w:cs="Arial"/>
          <w:sz w:val="20"/>
        </w:rPr>
        <w:t>Alena Volfová</w:t>
      </w:r>
    </w:p>
    <w:p w14:paraId="207A1B65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0779B65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635476AD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A59B399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1E4BCBE0" w14:textId="77777777" w:rsidR="00491C06" w:rsidRPr="005D2404" w:rsidRDefault="00491C06" w:rsidP="00491C06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</w:p>
    <w:p w14:paraId="5CD91B4D" w14:textId="77777777" w:rsidR="00660AB9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60AB9" w:rsidSect="005936A3"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6B8B" w14:textId="77777777" w:rsidR="0079124B" w:rsidRDefault="0079124B">
      <w:r>
        <w:separator/>
      </w:r>
    </w:p>
  </w:endnote>
  <w:endnote w:type="continuationSeparator" w:id="0">
    <w:p w14:paraId="0D183139" w14:textId="77777777" w:rsidR="0079124B" w:rsidRDefault="007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A6ED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7D85A03F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4B64" w14:textId="77777777" w:rsidR="0079124B" w:rsidRDefault="0079124B">
      <w:r>
        <w:separator/>
      </w:r>
    </w:p>
  </w:footnote>
  <w:footnote w:type="continuationSeparator" w:id="0">
    <w:p w14:paraId="1E68AE54" w14:textId="77777777" w:rsidR="0079124B" w:rsidRDefault="0079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"/>
  </w:num>
  <w:num w:numId="5">
    <w:abstractNumId w:val="17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8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827F2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600E2E"/>
    <w:rsid w:val="006030FA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5D7"/>
    <w:rsid w:val="00B94CE4"/>
    <w:rsid w:val="00BA1F91"/>
    <w:rsid w:val="00BA2305"/>
    <w:rsid w:val="00BC34EA"/>
    <w:rsid w:val="00BC6534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13763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CD3DB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mh@comfe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5E64-B585-4491-829B-DAD135A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2</cp:revision>
  <cp:lastPrinted>2019-03-01T14:01:00Z</cp:lastPrinted>
  <dcterms:created xsi:type="dcterms:W3CDTF">2022-03-16T09:48:00Z</dcterms:created>
  <dcterms:modified xsi:type="dcterms:W3CDTF">2022-03-16T09:48:00Z</dcterms:modified>
</cp:coreProperties>
</file>