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40"/>
        <w:gridCol w:w="1500"/>
        <w:gridCol w:w="1780"/>
      </w:tblGrid>
      <w:tr w:rsidR="00C20ADC" w:rsidRPr="00C20ADC" w:rsidTr="00C20ADC">
        <w:trPr>
          <w:trHeight w:val="4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B1:E35"/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OTIDEA </w:t>
            </w:r>
            <w:proofErr w:type="spellStart"/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avz</w:t>
            </w:r>
            <w:proofErr w:type="spellEnd"/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s.r.o.</w:t>
            </w:r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3 Kalkulace nabídkové ceny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12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Realizace celého zadávacího řízení nebo postupu* / poptávané činnosti ***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Jazyk zadávacího řízení / poptávané činnosti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Předpokládané množství za dobu plnění**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v Kč bez DPH 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Zjednodušené podlimitní řízení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Zjednodušené podlimitní řízení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bez uveřejnění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bez uveřejnění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s uveřejněním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s uveřejněním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6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889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9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I. fáze - Zavedení DNS dle § 139 ZZVZ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13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fáze – Posouzení, zda nabídka uchazeče splňuje podmínky pro zařazení do DNS dle § 140 ZZVZ (cena vždy za 1 žádost)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10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III. fáze - Zadávání veřejné zakázky v DNS (jednotlivé </w:t>
            </w:r>
            <w:proofErr w:type="gramStart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cykly)  dle</w:t>
            </w:r>
            <w:proofErr w:type="gramEnd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§ 141 ZZVZ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61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6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11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Odborné poradenství a konzultace k veřejným zakázkám (</w:t>
            </w:r>
            <w:proofErr w:type="gramStart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Poradenství) (hodinová</w:t>
            </w:r>
            <w:proofErr w:type="gramEnd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18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Zajištění vzdělávání pracovníků zadavatele v oboru veřejných zakázek (</w:t>
            </w:r>
            <w:proofErr w:type="gramStart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Školení) (hodinová</w:t>
            </w:r>
            <w:proofErr w:type="gramEnd"/>
            <w:r w:rsidRPr="00C20A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 v případě vzdělávací akce pro max. 15 osob zadavatele)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20ADC" w:rsidRPr="00C20ADC" w:rsidTr="00C20ADC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0ADC" w:rsidRPr="00C20ADC" w:rsidTr="00C20ADC">
        <w:trPr>
          <w:trHeight w:val="30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* Včetně všech souvisejících činností a nákladů na kopírování, cestovné, poštovné apod.</w:t>
            </w:r>
          </w:p>
        </w:tc>
      </w:tr>
      <w:tr w:rsidR="00C20ADC" w:rsidRPr="00C20ADC" w:rsidTr="00C20ADC">
        <w:trPr>
          <w:trHeight w:val="615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** Počty jednotlivých druhů zadávacích řízení/ postupů/ činností se mohou v rámci reálného plnění veřejné zakázky lišit podle aktuálních potřeb zadavatele.</w:t>
            </w:r>
          </w:p>
        </w:tc>
      </w:tr>
      <w:tr w:rsidR="00C20ADC" w:rsidRPr="00C20ADC" w:rsidTr="00C20ADC">
        <w:trPr>
          <w:trHeight w:val="120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ADC" w:rsidRPr="00C20ADC" w:rsidRDefault="00C20ADC" w:rsidP="00C20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0ADC">
              <w:rPr>
                <w:rFonts w:ascii="Calibri" w:eastAsia="Times New Roman" w:hAnsi="Calibri" w:cs="Calibri"/>
                <w:color w:val="000000"/>
                <w:lang w:eastAsia="cs-CZ"/>
              </w:rPr>
              <w:t>*** jednotková nabídková cena (hodinová sazba) za zajištění vzdělávání pracovníků zadavatele v oboru veřejných zakázek formou proškolení musí zahrnovat rovněž náklady na pronájem školících prostor a školící techniky, poskytnutí didaktických pomůcek a materiálů účastníkům a zajištění občerstvení (káva, čaj, voda, pečivo)</w:t>
            </w:r>
          </w:p>
        </w:tc>
      </w:tr>
    </w:tbl>
    <w:p w:rsidR="00B345A4" w:rsidRDefault="00B345A4">
      <w:bookmarkStart w:id="1" w:name="_GoBack"/>
      <w:bookmarkEnd w:id="1"/>
    </w:p>
    <w:sectPr w:rsidR="00B3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DC"/>
    <w:rsid w:val="00B345A4"/>
    <w:rsid w:val="00C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54C6-4964-4B4C-84A8-58EA094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2022-03-15T14:11:00Z</dcterms:created>
  <dcterms:modified xsi:type="dcterms:W3CDTF">2022-03-15T14:12:00Z</dcterms:modified>
</cp:coreProperties>
</file>