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3C" w:rsidRDefault="00F518D5">
      <w:pPr>
        <w:pStyle w:val="Titulektabulky0"/>
        <w:shd w:val="clear" w:color="auto" w:fill="auto"/>
        <w:spacing w:after="10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Smlouva o spolupráci v oblasti poradenství</w:t>
      </w:r>
    </w:p>
    <w:p w:rsidR="00BD033C" w:rsidRDefault="00F518D5">
      <w:pPr>
        <w:pStyle w:val="Titulektabulky0"/>
        <w:shd w:val="clear" w:color="auto" w:fill="auto"/>
        <w:spacing w:after="0"/>
      </w:pPr>
      <w:r>
        <w:t>podle ustanovení § 1746 odst. 2, zákona č. 89/2012 Sb., občanský zákoník, v platném znění (dále jen „Smlouva“)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568"/>
        <w:gridCol w:w="1386"/>
        <w:gridCol w:w="3071"/>
      </w:tblGrid>
      <w:tr w:rsidR="00BD033C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Poradce:</w:t>
            </w: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Zemědělský svaz České republiky</w:t>
            </w:r>
          </w:p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Hybernská 1613/38, 110 00 Praha 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Výzkumný </w:t>
            </w:r>
            <w:r>
              <w:rPr>
                <w:b/>
                <w:bCs/>
                <w:sz w:val="26"/>
                <w:szCs w:val="26"/>
              </w:rPr>
              <w:t>ústav rostlinné výroby, v. v. i.</w:t>
            </w:r>
          </w:p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Dmovská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507/73. 161 00 Praha 6</w:t>
            </w: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Martin Pýcha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F518D5">
            <w:pPr>
              <w:pStyle w:val="Jin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 Mikuláš Madaras,</w:t>
            </w:r>
          </w:p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Ph.D., ředitel</w:t>
            </w: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26550521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00027006</w:t>
            </w: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 26550521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CZ00027006</w:t>
            </w: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BD033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C" w:rsidRDefault="00BD033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BD033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BD033C">
            <w:pPr>
              <w:rPr>
                <w:sz w:val="10"/>
                <w:szCs w:val="10"/>
              </w:rPr>
            </w:pPr>
          </w:p>
        </w:tc>
      </w:tr>
      <w:tr w:rsidR="00BD033C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33C" w:rsidRDefault="00BD033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33C" w:rsidRDefault="00F518D5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33C" w:rsidRDefault="00BD033C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BD033C" w:rsidRDefault="00BD033C">
      <w:pPr>
        <w:spacing w:after="986" w:line="14" w:lineRule="exact"/>
      </w:pP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0"/>
      </w:pPr>
      <w:bookmarkStart w:id="0" w:name="bookmark0"/>
      <w:r>
        <w:t>Č1.I.</w:t>
      </w:r>
      <w:bookmarkEnd w:id="0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0"/>
      </w:pPr>
      <w:bookmarkStart w:id="1" w:name="bookmark1"/>
      <w:r>
        <w:t>Preambule</w:t>
      </w:r>
      <w:bookmarkEnd w:id="1"/>
    </w:p>
    <w:p w:rsidR="00BD033C" w:rsidRDefault="00F518D5">
      <w:pPr>
        <w:pStyle w:val="Zkladntext1"/>
        <w:numPr>
          <w:ilvl w:val="0"/>
          <w:numId w:val="1"/>
        </w:numPr>
        <w:shd w:val="clear" w:color="auto" w:fill="auto"/>
        <w:tabs>
          <w:tab w:val="left" w:pos="842"/>
        </w:tabs>
        <w:ind w:left="840" w:hanging="340"/>
      </w:pPr>
      <w:r>
        <w:t>Výzkumný ústav rostlinné výroby, v. v. i. jakožto Poradce prohlašuje, že má zkušenosti</w:t>
      </w:r>
      <w:r>
        <w:t xml:space="preserve"> s poradenstvím pro zemědělské podnikatele. Dále prohlašuje, že má přehled o aktuální situaci v zemědělství ČR a zná příslušnou legislativu týkající se podnikání v zemědělství v ČR i EU a má příslušné kvalifikace a oprávnění a odpovídající personální kapac</w:t>
      </w:r>
      <w:r>
        <w:t>ity specialistů k poskytování služeb definovaných touto smlouvou.</w:t>
      </w:r>
    </w:p>
    <w:p w:rsidR="00BD033C" w:rsidRDefault="00F518D5">
      <w:pPr>
        <w:pStyle w:val="Zkladntext1"/>
        <w:numPr>
          <w:ilvl w:val="0"/>
          <w:numId w:val="1"/>
        </w:numPr>
        <w:shd w:val="clear" w:color="auto" w:fill="auto"/>
        <w:tabs>
          <w:tab w:val="left" w:pos="842"/>
        </w:tabs>
        <w:spacing w:after="540"/>
        <w:ind w:left="840" w:hanging="340"/>
      </w:pPr>
      <w:r>
        <w:t>Zemědělský svaz České republiky jakožto Objednatel prohlašuje, že</w:t>
      </w:r>
      <w:r w:rsidR="00E91756">
        <w:t xml:space="preserve"> bude zajišťovat zájemce z řad č</w:t>
      </w:r>
      <w:r>
        <w:t xml:space="preserve">lenů/nečlenů Zemědělského svazu /dále jen Zájemce / na služby, které bude poskytovat Poradce </w:t>
      </w:r>
      <w:r>
        <w:t>dle této smlouvy. Zemědělský svaz České republiky bude zároveň fungovat jako supervizor poradenských služeb.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0"/>
      </w:pPr>
      <w:bookmarkStart w:id="2" w:name="bookmark2"/>
      <w:r>
        <w:t>ČI. II.</w:t>
      </w:r>
      <w:bookmarkEnd w:id="2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0"/>
      </w:pPr>
      <w:bookmarkStart w:id="3" w:name="bookmark3"/>
      <w:r>
        <w:t>Předmět smlouvy</w:t>
      </w:r>
      <w:bookmarkEnd w:id="3"/>
    </w:p>
    <w:p w:rsidR="00BD033C" w:rsidRDefault="00F518D5">
      <w:pPr>
        <w:pStyle w:val="Zkladntext1"/>
        <w:numPr>
          <w:ilvl w:val="0"/>
          <w:numId w:val="2"/>
        </w:numPr>
        <w:shd w:val="clear" w:color="auto" w:fill="auto"/>
        <w:tabs>
          <w:tab w:val="left" w:pos="842"/>
        </w:tabs>
        <w:spacing w:after="400"/>
        <w:ind w:left="840" w:hanging="340"/>
      </w:pPr>
      <w:r>
        <w:t xml:space="preserve">Předmětem smlouvy je závazek Poradce uskutečňovat odborné poradenství a poskytovat konzultace v oblastech specifikovaných </w:t>
      </w:r>
      <w:r>
        <w:t xml:space="preserve">touto smlouvou třetím osobám, v souladu s touto smlouvou a podle písemných požadavků Objednatele předaných Poradci; dohled Objednatele nad průběhem poskytování služeb, kontrola výstupů </w:t>
      </w:r>
      <w:proofErr w:type="gramStart"/>
      <w:r>
        <w:t>dle</w:t>
      </w:r>
      <w:proofErr w:type="gramEnd"/>
    </w:p>
    <w:p w:rsidR="00BD033C" w:rsidRDefault="00F518D5">
      <w:pPr>
        <w:pStyle w:val="Zkladntext1"/>
        <w:shd w:val="clear" w:color="auto" w:fill="auto"/>
        <w:spacing w:line="233" w:lineRule="auto"/>
        <w:ind w:left="820" w:firstLine="20"/>
      </w:pPr>
      <w:r>
        <w:t xml:space="preserve">čl. III. odst. 6 z poskytnutých služeb Poradce za podmínek </w:t>
      </w:r>
      <w:r>
        <w:t>stanovených touto smlouvou.</w:t>
      </w:r>
    </w:p>
    <w:p w:rsidR="00BD033C" w:rsidRDefault="00F518D5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0"/>
        <w:ind w:left="820" w:hanging="340"/>
      </w:pPr>
      <w:r>
        <w:lastRenderedPageBreak/>
        <w:t>Poradce poskytne služby zajištěným zájemcům v následujících oblastech:</w:t>
      </w:r>
    </w:p>
    <w:p w:rsidR="00BD033C" w:rsidRDefault="00F518D5">
      <w:pPr>
        <w:pStyle w:val="Zkladntext1"/>
        <w:shd w:val="clear" w:color="auto" w:fill="auto"/>
        <w:spacing w:after="0"/>
        <w:ind w:left="820" w:firstLine="20"/>
        <w:jc w:val="left"/>
      </w:pPr>
      <w:r>
        <w:t>Rostlinná výroba v zemědělství</w:t>
      </w:r>
    </w:p>
    <w:p w:rsidR="00BD033C" w:rsidRDefault="00F518D5">
      <w:pPr>
        <w:pStyle w:val="Zkladntext1"/>
        <w:shd w:val="clear" w:color="auto" w:fill="auto"/>
        <w:spacing w:after="0"/>
        <w:ind w:left="820" w:firstLine="20"/>
        <w:jc w:val="left"/>
      </w:pPr>
      <w:r>
        <w:t xml:space="preserve">Ekologické zemědělství </w:t>
      </w:r>
      <w:proofErr w:type="spellStart"/>
      <w:r>
        <w:t>Zemědělství</w:t>
      </w:r>
      <w:proofErr w:type="spellEnd"/>
      <w:r>
        <w:t xml:space="preserve"> a ochrana přírody a krajiny Energetické využití agrárních produktů Péče o půdu</w:t>
      </w:r>
    </w:p>
    <w:p w:rsidR="00BD033C" w:rsidRDefault="00F518D5">
      <w:pPr>
        <w:pStyle w:val="Zkladntext1"/>
        <w:shd w:val="clear" w:color="auto" w:fill="auto"/>
        <w:ind w:left="820" w:firstLine="20"/>
        <w:jc w:val="left"/>
      </w:pPr>
      <w:r>
        <w:t>Rostlinoléka</w:t>
      </w:r>
      <w:r>
        <w:t>řství v zemědělství Zemědělské stavby, technologie výroby a mechanizace Legislativní a dotační poradenství v zemědělství a rostlinolékařství Ekonomické poradenství v zemědělství a rostlinolékařství</w:t>
      </w:r>
    </w:p>
    <w:p w:rsidR="00BD033C" w:rsidRDefault="00F518D5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ind w:left="820" w:hanging="340"/>
      </w:pPr>
      <w:r>
        <w:t xml:space="preserve">Jménem Poradce budou poskytovat odborné poradenství a </w:t>
      </w:r>
      <w:r>
        <w:t>konzultace zajištěným zájemcům specialisté - odborníci na jednotlivé oblasti výše uvedené (dále jen Specialisté), kteří jsou zaměstnanci poradce.</w:t>
      </w:r>
    </w:p>
    <w:p w:rsidR="00BD033C" w:rsidRDefault="00F518D5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540"/>
        <w:ind w:left="820" w:hanging="340"/>
      </w:pPr>
      <w:r>
        <w:t>Objednatel se zavazuje za poskytnuté plnění zaplatit Poradci odměnu definovanou v článku VII. této smlouvy.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0"/>
      </w:pPr>
      <w:bookmarkStart w:id="4" w:name="bookmark4"/>
      <w:r>
        <w:t>Čl</w:t>
      </w:r>
      <w:r>
        <w:t>. III.</w:t>
      </w:r>
      <w:bookmarkEnd w:id="4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0"/>
      </w:pPr>
      <w:bookmarkStart w:id="5" w:name="bookmark5"/>
      <w:r>
        <w:t>Povinnosti Poradce</w:t>
      </w:r>
      <w:bookmarkEnd w:id="5"/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35"/>
        </w:tabs>
        <w:ind w:left="820" w:hanging="340"/>
      </w:pPr>
      <w:r>
        <w:t>Poradce je povinen postupovat s náležitou odbornou péčí v souladu s platnými právními předpisy, chránit práva a oprávněné zájmy Objednatele a to jak z hlediska optimalizace nákladů vynaložených na konzultované projekty, tak na jej</w:t>
      </w:r>
      <w:r>
        <w:t>ich technické řešení. K plnění předmětu smlouvy je Poradce povinen důsledně využívat všechny zákonné prostředky a uplatňovat vše, co podle svého odborného přesvědčení a požadavků Objednatele pokládá za prospěšné. Je přitom vázán pouze zákony a dalšími práv</w:t>
      </w:r>
      <w:r>
        <w:t>ními předpisy České republiky a v jejich mezích také požadavky Objednatele.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35"/>
        </w:tabs>
        <w:ind w:left="820" w:hanging="340"/>
      </w:pPr>
      <w:r>
        <w:t>Poradce se zavazuje, že neposkytne v době 3 let od zprostředkování kontaktu se Zájemcem dle této smlouvy své poradenské a konzultační služby dle této smlouvy zájemci bez předchozíh</w:t>
      </w:r>
      <w:r>
        <w:t xml:space="preserve">o písemného souhlasu Objednatele. V případě porušení této povinnosti uhradí Poradce Objednateli smluvní pokutu ve výši 10000,- Kč /slovy </w:t>
      </w:r>
      <w:proofErr w:type="spellStart"/>
      <w:r>
        <w:t>desettisíckorun</w:t>
      </w:r>
      <w:proofErr w:type="spellEnd"/>
      <w:r>
        <w:t xml:space="preserve"> českých/ za každé porušení. Toto ujednání se nevztahuje na konzultace v rámci dotačního </w:t>
      </w:r>
      <w:proofErr w:type="gramStart"/>
      <w:r>
        <w:t>titulu 9.F, dál</w:t>
      </w:r>
      <w:r>
        <w:t>e</w:t>
      </w:r>
      <w:proofErr w:type="gramEnd"/>
      <w:r>
        <w:t xml:space="preserve"> na poradenství v rámci výzkumných úkolů a další nekomerční poradenství.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35"/>
        </w:tabs>
        <w:ind w:left="820" w:hanging="340"/>
      </w:pPr>
      <w:r>
        <w:t>Poradce je povinen všechny poradenské a konzultační služby zajištěné Objednatelem poskytovat prostřednictvím svých Specialistů (tj. nikoli prostřednictvím subdodavatelů) dle specifik</w:t>
      </w:r>
      <w:r>
        <w:t>ace v objednávce.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35"/>
        </w:tabs>
        <w:ind w:left="820" w:hanging="340"/>
      </w:pPr>
      <w:r>
        <w:t>Poradce je povinen oznámit Objednateli všechny okolnosti, které zjistil při plnění předmětu smlouvy, které mohou mít vliv na změnu pokynů Objednatele. Zjistí-li Poradce, že požadavky Objednatele jsou nevhodné či neúčelné pro plnění předmě</w:t>
      </w:r>
      <w:r>
        <w:t>tu smlouvy, je povinen na to Objednatele neprodleně písemně upozornit.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72"/>
        </w:tabs>
        <w:ind w:left="840" w:hanging="320"/>
      </w:pPr>
      <w:r>
        <w:t>Poradce je povinen veškeré výstupy plnění podle této smlouvy vkládat do databáze poradenských služeb Objednatele a to bez zbytečného prodlení. Přihlašovací údaje do databáze poradenskýc</w:t>
      </w:r>
      <w:r>
        <w:t>h služeb obdrží Specialista před zahájením první poradenské služby od Objednatele. Jakékoli výstupy plnění Poradce dle této smlouvy s výjimkou Závěrečné zprávy je třeba považovat za předběžné. Toto pravidlo je dohodnuto s ohledem na maximální právní jistot</w:t>
      </w:r>
      <w:r>
        <w:t>u obou účastníků smlouvy.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72"/>
        </w:tabs>
        <w:ind w:left="840" w:hanging="320"/>
      </w:pPr>
      <w:r>
        <w:lastRenderedPageBreak/>
        <w:t>Poradce je povinen z každé konzultace nebo realizace služeb vyplnit záznam do databáze poradenských služeb. Záznam bude obsahovat datum, čas, místo poskytování služby, způsob konzultace (např. osobně, telefonicky), počet hodin kon</w:t>
      </w:r>
      <w:r>
        <w:t xml:space="preserve">zultace, stručný popis obsahu poskytovaných služeb během dané konzultace, vyčíslení cestovních nákladů, vyčíslení dalších souvisejících nákladů jako například nákladů na rozbory za podmínek, které budou specifikovány v objednávce nebo si je smluvní strany </w:t>
      </w:r>
      <w:r>
        <w:t xml:space="preserve">odsouhlasí v průběhu realizace plnění (viz čl. VII </w:t>
      </w:r>
      <w:proofErr w:type="gramStart"/>
      <w:r>
        <w:t>odst.2), domluvený</w:t>
      </w:r>
      <w:proofErr w:type="gramEnd"/>
      <w:r>
        <w:t xml:space="preserve"> další termín (-y) poskytování služeb a případně další informace. Objednatel do 5 dnů od vytvoření záznamu jej odsouhlasí. V případě nejasností pošle Objednatel do 5 dnů od vytvoření zázn</w:t>
      </w:r>
      <w:r>
        <w:t>amu své připomínky Poradci, který záznam opraví. Záznam potvrzený Objednavatelem bude sloužit jako podklad pro fakturaci a vyúčtování poskytnutých služeb Objednateli.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72"/>
        </w:tabs>
        <w:ind w:left="840" w:hanging="320"/>
      </w:pPr>
      <w:r>
        <w:t>Po ukončení poradenské služby je Poradce povinen bez zbytečného odkladu vrátit Objednatel</w:t>
      </w:r>
      <w:r>
        <w:t>i veškeré vypůjčené podklady, které mu Objednatel předal v rámci plnění této smlouvy. Poradce je oprávněn pořizovat si z podkladů předaných mu Objednatelem kopie pro dokumentaci své činnosti.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72"/>
        </w:tabs>
        <w:ind w:left="840" w:hanging="320"/>
      </w:pPr>
      <w:r>
        <w:t>Po ukončení poradenské služby je Poradce povinen do 15 dnů vloži</w:t>
      </w:r>
      <w:r>
        <w:t>t Závěrečnou zprávu podepsanou zájemcem do databáze poradenských služeb. Pro tvorbu Závěrečné zprávy využije Poradce normovaný dokument, který je k dispozici v databázi poradenských služeb.</w:t>
      </w:r>
    </w:p>
    <w:p w:rsidR="00BD033C" w:rsidRDefault="00F518D5">
      <w:pPr>
        <w:pStyle w:val="Zkladntext1"/>
        <w:numPr>
          <w:ilvl w:val="0"/>
          <w:numId w:val="3"/>
        </w:numPr>
        <w:shd w:val="clear" w:color="auto" w:fill="auto"/>
        <w:tabs>
          <w:tab w:val="left" w:pos="872"/>
        </w:tabs>
        <w:spacing w:after="540"/>
        <w:ind w:left="840" w:hanging="320"/>
      </w:pPr>
      <w:r>
        <w:t xml:space="preserve">Při zjištění podstatných doporučení ve vztahu k výzkumu v </w:t>
      </w:r>
      <w:r>
        <w:t>souvislosti s realizovanou objednávkou Poradce tato doporučení uvede v databázi poradenských služeb. Jedná se o náměty, které by Ministerstvo zemědělství mohlo, využít při zadávání výzkumných úkolů apod.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140"/>
      </w:pPr>
      <w:bookmarkStart w:id="6" w:name="bookmark6"/>
      <w:r>
        <w:t>ČI. IV.</w:t>
      </w:r>
      <w:bookmarkEnd w:id="6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120"/>
      </w:pPr>
      <w:bookmarkStart w:id="7" w:name="bookmark7"/>
      <w:r>
        <w:t>Povinnosti objednatele</w:t>
      </w:r>
      <w:bookmarkEnd w:id="7"/>
    </w:p>
    <w:p w:rsidR="00BD033C" w:rsidRDefault="00F518D5">
      <w:pPr>
        <w:pStyle w:val="Zkladntext1"/>
        <w:numPr>
          <w:ilvl w:val="0"/>
          <w:numId w:val="4"/>
        </w:numPr>
        <w:shd w:val="clear" w:color="auto" w:fill="auto"/>
        <w:tabs>
          <w:tab w:val="left" w:pos="872"/>
        </w:tabs>
        <w:ind w:left="840" w:hanging="320"/>
      </w:pPr>
      <w:r>
        <w:t>Objednatel se zavazuj</w:t>
      </w:r>
      <w:r>
        <w:t>e poskytnout Poradci veškeré informace o jednáních, která učiní v době platnosti této smlouvy, jež by mohla mít vliv na plnění předmětu této smlouvy či na jiná ujednání této smlouvy bez nutnosti písemného vyžádání Poradce o součinnost.</w:t>
      </w:r>
    </w:p>
    <w:p w:rsidR="00BD033C" w:rsidRDefault="00F518D5">
      <w:pPr>
        <w:pStyle w:val="Zkladntext1"/>
        <w:numPr>
          <w:ilvl w:val="0"/>
          <w:numId w:val="4"/>
        </w:numPr>
        <w:shd w:val="clear" w:color="auto" w:fill="auto"/>
        <w:tabs>
          <w:tab w:val="left" w:pos="872"/>
        </w:tabs>
        <w:spacing w:after="540"/>
        <w:ind w:left="840" w:hanging="320"/>
      </w:pPr>
      <w:r>
        <w:t>Objednatel je povine</w:t>
      </w:r>
      <w:r>
        <w:t>n udělit Poradci včas písemnou plnou moc, pokud to bude nezbytné pro splnění závazku Poradce.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140"/>
      </w:pPr>
      <w:bookmarkStart w:id="8" w:name="bookmark8"/>
      <w:r>
        <w:t>Č1.V.</w:t>
      </w:r>
      <w:bookmarkEnd w:id="8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140"/>
      </w:pPr>
      <w:bookmarkStart w:id="9" w:name="bookmark9"/>
      <w:r>
        <w:t>Objednávka poradenské služby</w:t>
      </w:r>
      <w:bookmarkEnd w:id="9"/>
    </w:p>
    <w:p w:rsidR="00BD033C" w:rsidRDefault="00F518D5">
      <w:pPr>
        <w:pStyle w:val="Zkladntext1"/>
        <w:numPr>
          <w:ilvl w:val="0"/>
          <w:numId w:val="5"/>
        </w:numPr>
        <w:shd w:val="clear" w:color="auto" w:fill="auto"/>
        <w:tabs>
          <w:tab w:val="left" w:pos="849"/>
        </w:tabs>
        <w:ind w:left="840" w:hanging="340"/>
      </w:pPr>
      <w:r>
        <w:t>Objednatel zašle Poradci přes databázi poradenských služeb poptávku zájemce, která bude obsahovat jméno nebo název zájemce včet</w:t>
      </w:r>
      <w:r>
        <w:t>ně kontaktních údajů, oblast poptávané poradenské služby, místo realizace, popis a cíle poradenské služby, předpokládaný termín zahájení a případně další relevantní informace. Poradce do osmi dnů od obdržení poptávky Zájemce zašle Objednateli vyjádření pře</w:t>
      </w:r>
      <w:r>
        <w:t>s databázi poradenských služeb, zda bude danou poradenskou službu realizovat.</w:t>
      </w:r>
    </w:p>
    <w:p w:rsidR="00BD033C" w:rsidRDefault="00F518D5">
      <w:pPr>
        <w:pStyle w:val="Zkladntext1"/>
        <w:numPr>
          <w:ilvl w:val="0"/>
          <w:numId w:val="5"/>
        </w:numPr>
        <w:shd w:val="clear" w:color="auto" w:fill="auto"/>
        <w:tabs>
          <w:tab w:val="left" w:pos="849"/>
        </w:tabs>
        <w:spacing w:after="440"/>
        <w:ind w:left="840" w:hanging="340"/>
      </w:pPr>
      <w:r>
        <w:t xml:space="preserve">V případě, že Poradce sdělí Objednateli, že bude danou poradenskou službu realizovat, kontaktuje Specialista zájemce s cílem vytvořit objednávku, tj. </w:t>
      </w:r>
      <w:proofErr w:type="spellStart"/>
      <w:r>
        <w:t>vykomunikuje</w:t>
      </w:r>
      <w:proofErr w:type="spellEnd"/>
      <w:r>
        <w:t xml:space="preserve"> se </w:t>
      </w:r>
      <w:r>
        <w:lastRenderedPageBreak/>
        <w:t xml:space="preserve">zájemcem </w:t>
      </w:r>
      <w:r>
        <w:t xml:space="preserve">podrobně obsah poradenské služby, časový harmonogram, cenová ujednání a další důležité náležitosti. Specialista se zájemcem na základě tohoto jednání vytvoří objednávku poradenské služby, pro </w:t>
      </w:r>
      <w:proofErr w:type="gramStart"/>
      <w:r>
        <w:t>níž</w:t>
      </w:r>
      <w:proofErr w:type="gramEnd"/>
      <w:r>
        <w:t xml:space="preserve"> využijí normovaný dokument, který je k dispozici v databázi </w:t>
      </w:r>
      <w:r>
        <w:t>poradenských služeb. Objednávku podepsanou zájemcem vloží Poradce do databáze poradenských služeb a originál zašle poštou Objednateli. Lhůta pro vytvoření objednávky od odsouhlasení poradenské služby činí 15 dnů.</w:t>
      </w:r>
    </w:p>
    <w:p w:rsidR="00BD033C" w:rsidRDefault="00F518D5">
      <w:pPr>
        <w:pStyle w:val="Zkladntext1"/>
        <w:numPr>
          <w:ilvl w:val="0"/>
          <w:numId w:val="5"/>
        </w:numPr>
        <w:shd w:val="clear" w:color="auto" w:fill="auto"/>
        <w:tabs>
          <w:tab w:val="left" w:pos="849"/>
        </w:tabs>
        <w:ind w:left="840" w:hanging="340"/>
      </w:pPr>
      <w:r>
        <w:t>V případě, že po první návštěvě Specialisty</w:t>
      </w:r>
      <w:r>
        <w:t xml:space="preserve"> u zájemce nedojde k vytvoření a podpisu objednávky nebo na základě podepsané objednávky k podpisu smlouvy, má Poradce nárok na úhradu prokazatelně vynaložených nákladů (např. hodiny odpracované u zájemce, cestovné).</w:t>
      </w:r>
    </w:p>
    <w:p w:rsidR="00BD033C" w:rsidRDefault="00F518D5">
      <w:pPr>
        <w:pStyle w:val="Zkladntext1"/>
        <w:numPr>
          <w:ilvl w:val="0"/>
          <w:numId w:val="5"/>
        </w:numPr>
        <w:shd w:val="clear" w:color="auto" w:fill="auto"/>
        <w:tabs>
          <w:tab w:val="left" w:pos="849"/>
        </w:tabs>
        <w:ind w:left="840" w:hanging="340"/>
      </w:pPr>
      <w:r>
        <w:t>Na základě zaslané objednávky vytvoří O</w:t>
      </w:r>
      <w:r>
        <w:t>bjednatel smlouvu se zájemcem. Podepsanou smlouvu vloží bez zbytečného odkladu do databáze poradenských služeb a Poradce a Specialista dostane automatický mail, že smlouva byla podepsána a začne se samotnou realizací poradenské služby.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</w:pPr>
      <w:bookmarkStart w:id="10" w:name="bookmark10"/>
      <w:r>
        <w:t>ČI. VI.</w:t>
      </w:r>
      <w:bookmarkEnd w:id="10"/>
    </w:p>
    <w:p w:rsidR="00BD033C" w:rsidRDefault="00F518D5">
      <w:pPr>
        <w:pStyle w:val="Nadpis10"/>
        <w:keepNext/>
        <w:keepLines/>
        <w:shd w:val="clear" w:color="auto" w:fill="auto"/>
        <w:spacing w:after="260"/>
      </w:pPr>
      <w:bookmarkStart w:id="11" w:name="bookmark11"/>
      <w:r>
        <w:t>Trvání a zán</w:t>
      </w:r>
      <w:r>
        <w:t>ik smlouvy</w:t>
      </w:r>
      <w:bookmarkEnd w:id="11"/>
    </w:p>
    <w:p w:rsidR="00BD033C" w:rsidRDefault="00F518D5">
      <w:pPr>
        <w:pStyle w:val="Zkladntext1"/>
        <w:numPr>
          <w:ilvl w:val="0"/>
          <w:numId w:val="6"/>
        </w:numPr>
        <w:shd w:val="clear" w:color="auto" w:fill="auto"/>
        <w:tabs>
          <w:tab w:val="left" w:pos="849"/>
        </w:tabs>
        <w:ind w:left="840" w:hanging="340"/>
      </w:pPr>
      <w:r>
        <w:t>Tato smlouva se uzavírá na dobu neurčitou.</w:t>
      </w:r>
    </w:p>
    <w:p w:rsidR="00BD033C" w:rsidRDefault="00F518D5">
      <w:pPr>
        <w:pStyle w:val="Zkladntext1"/>
        <w:numPr>
          <w:ilvl w:val="0"/>
          <w:numId w:val="6"/>
        </w:numPr>
        <w:shd w:val="clear" w:color="auto" w:fill="auto"/>
        <w:tabs>
          <w:tab w:val="left" w:pos="849"/>
        </w:tabs>
        <w:spacing w:after="540" w:line="233" w:lineRule="auto"/>
        <w:ind w:left="840" w:hanging="340"/>
      </w:pPr>
      <w:r>
        <w:t>Každá ze smluvních stran má právo tuto smlouvu písemně vypovědět bez udání důvodu s výpovědní lhůtou jednoho měsíce, která počíná běžet prvním dnem kalendářního měsíce následujícího po kalendářním měsíc</w:t>
      </w:r>
      <w:r>
        <w:t>i, v němž byla výpověď doručena druhé smluvní straně.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</w:pPr>
      <w:bookmarkStart w:id="12" w:name="bookmark12"/>
      <w:r>
        <w:t>ČI. VII.</w:t>
      </w:r>
      <w:bookmarkEnd w:id="12"/>
    </w:p>
    <w:p w:rsidR="00BD033C" w:rsidRDefault="00F518D5">
      <w:pPr>
        <w:pStyle w:val="Nadpis10"/>
        <w:keepNext/>
        <w:keepLines/>
        <w:shd w:val="clear" w:color="auto" w:fill="auto"/>
        <w:spacing w:after="260"/>
      </w:pPr>
      <w:bookmarkStart w:id="13" w:name="bookmark13"/>
      <w:r>
        <w:t>Odměna a platební podmínky</w:t>
      </w:r>
      <w:bookmarkEnd w:id="13"/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849"/>
        </w:tabs>
        <w:ind w:left="840" w:hanging="340"/>
      </w:pPr>
      <w:r>
        <w:t xml:space="preserve">Účastníci této smlouvy se dohodli, že za výše uvedené činnosti, které jsou předmětem této smlouvy, náleží Poradci smluvní odměna za činnost v rámci poradenské služby </w:t>
      </w:r>
      <w:r>
        <w:t>ve výši 1100,- Kč za hodinu bez DPH (slovy: jeden tisíc sto korun českých). DPH bude stanovena a odvedena dle platných právních předpisů.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849"/>
        </w:tabs>
        <w:ind w:left="840" w:hanging="340"/>
      </w:pPr>
      <w:r>
        <w:t xml:space="preserve">Pokud dojde v průběhu poskytování činnosti dle této smlouvy ke změnám požadavků uvedených v objednávce, poskytovatel </w:t>
      </w:r>
      <w:r>
        <w:t>dodá objednateli dodatek k původní objednávce podepsaný zájemcem a objednatel a zájemce upraví svoji smlouvu.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>Poradce má nárok na úhradu cestovních výdajů v dnech, kdy poskytoval služby zájemci, ve výši a rozsahu dle zákoníku práce č. 262/2006 Sb., ve zněn</w:t>
      </w:r>
      <w:r>
        <w:t>í pozdějších předpisů.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>Poradce má nárok na úhradu dalších souvisejících nákladů jako například nákladů na rozbory za podmínek, které budou specifikovány v objednávce nebo si je smluvní strany odsouhlasí v průběhu realizace plnění.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>Počet hodin práce pro Obj</w:t>
      </w:r>
      <w:r>
        <w:t>ednatele bude Poradcem řádně prokázán na základě evidence dle Cl. III. odst. 6.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spacing w:after="460"/>
        <w:ind w:left="780" w:hanging="340"/>
      </w:pPr>
      <w:r>
        <w:lastRenderedPageBreak/>
        <w:t>Odměna bude uhrazena na základě faktury - daňového dokladu vystaveného Poradcem. Součástí faktury bude evidence počtu hodin za fakturované období odpracovaných Poradcem pro Obj</w:t>
      </w:r>
      <w:r>
        <w:t>ednatele, záznamy z konzultací, originál zájemcem podepsané Závěrečné zprávy a doklady opravňující nároky na úhradu dalších souvisejících nákladů.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>Poradce bude fakturovat za každou poradenskou službu ukončenou podepsanou Závěrečnou zprávou zvlášť.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 xml:space="preserve">Faktury </w:t>
      </w:r>
      <w:r>
        <w:t>mají splatnost 30 dní ode dne vystavení.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791"/>
        </w:tabs>
        <w:ind w:left="780" w:hanging="340"/>
      </w:pPr>
      <w:r>
        <w:t>Daňový doklad - faktura musí obsahovat veškeré náležitosti daňového dokladu stanovené zákonem č. 235/2004 Sb., o dani z přidané hodnoty, ve znění pozdějších předpisů. Objednatel je oprávněn před uplynutím lhůty spla</w:t>
      </w:r>
      <w:r>
        <w:t>tnosti vrátit daňový doklad - fakturu, pokud tento neobsahuje požadované náležitosti nebo obsahuje nesprávné cenové údaje. Oprávněným vrácením daňového dokladu - faktury, přestává běžet původní lhůta splatnosti. Opravený nebo přepracovaný daňový doklad - f</w:t>
      </w:r>
      <w:r>
        <w:t>aktura bude opatřen novou lhůtou splatnosti.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843"/>
        </w:tabs>
        <w:ind w:left="780" w:hanging="340"/>
      </w:pPr>
      <w:r>
        <w:t>Faktury budou hrazeny bezhotovostním převodem na bankovní účet Poradce uvedený na faktuře.</w:t>
      </w:r>
    </w:p>
    <w:p w:rsidR="00BD033C" w:rsidRDefault="00F518D5">
      <w:pPr>
        <w:pStyle w:val="Zkladntext1"/>
        <w:numPr>
          <w:ilvl w:val="0"/>
          <w:numId w:val="7"/>
        </w:numPr>
        <w:shd w:val="clear" w:color="auto" w:fill="auto"/>
        <w:tabs>
          <w:tab w:val="left" w:pos="843"/>
        </w:tabs>
        <w:spacing w:after="540"/>
        <w:ind w:left="780" w:hanging="340"/>
      </w:pPr>
      <w:r>
        <w:t xml:space="preserve">Smluvní strany sjednávají pro případ nedodržení sjednaného termínu provedení služby smluvní pokutu ve výši 200,- Kč </w:t>
      </w:r>
      <w:r>
        <w:t xml:space="preserve">(slovy: </w:t>
      </w:r>
      <w:proofErr w:type="spellStart"/>
      <w:r>
        <w:t>dvěstě</w:t>
      </w:r>
      <w:proofErr w:type="spellEnd"/>
      <w:r>
        <w:t xml:space="preserve"> korun českých) bez DPH za každý den prodlení. Současně sjednávají smluvní pokutu ve stejné výši pro případ neproplacení faktury v termínu uvedeném v odstavci 6. tohoto článku, a to za každý den prodlení.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0"/>
      </w:pPr>
      <w:bookmarkStart w:id="14" w:name="bookmark14"/>
      <w:r>
        <w:t>ČI. VIII.</w:t>
      </w:r>
      <w:bookmarkEnd w:id="14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0"/>
      </w:pPr>
      <w:bookmarkStart w:id="15" w:name="bookmark15"/>
      <w:r>
        <w:t>Odpovědnost za škodu</w:t>
      </w:r>
      <w:bookmarkEnd w:id="15"/>
    </w:p>
    <w:p w:rsidR="00BD033C" w:rsidRDefault="00F518D5">
      <w:pPr>
        <w:pStyle w:val="Zkladntext1"/>
        <w:numPr>
          <w:ilvl w:val="0"/>
          <w:numId w:val="8"/>
        </w:numPr>
        <w:shd w:val="clear" w:color="auto" w:fill="auto"/>
        <w:tabs>
          <w:tab w:val="left" w:pos="791"/>
        </w:tabs>
        <w:ind w:left="780" w:hanging="340"/>
      </w:pPr>
      <w:r>
        <w:t>Poradce odpovídá Objednateli za škodu na věcech převzatých od Objednatele, ledaže tuto škodu nemohl odvrátit ani při vynaložení veškeré odborné péče.</w:t>
      </w:r>
    </w:p>
    <w:p w:rsidR="00BD033C" w:rsidRDefault="00F518D5">
      <w:pPr>
        <w:pStyle w:val="Zkladntext1"/>
        <w:numPr>
          <w:ilvl w:val="0"/>
          <w:numId w:val="8"/>
        </w:numPr>
        <w:shd w:val="clear" w:color="auto" w:fill="auto"/>
        <w:tabs>
          <w:tab w:val="left" w:pos="791"/>
        </w:tabs>
        <w:ind w:left="780" w:hanging="340"/>
      </w:pPr>
      <w:r>
        <w:t>Veškerá porušení práv duševního vlastnictví jakýchkoli třetích osob vzniklá v souvislosti s plněním dle té</w:t>
      </w:r>
      <w:r>
        <w:t>to smlouvy se řídí příslušnými právními předpisy.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80"/>
      </w:pPr>
      <w:bookmarkStart w:id="16" w:name="bookmark16"/>
      <w:r>
        <w:t>ČI. IX.</w:t>
      </w:r>
      <w:bookmarkEnd w:id="16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80"/>
      </w:pPr>
      <w:bookmarkStart w:id="17" w:name="bookmark17"/>
      <w:r>
        <w:t>Povinnost mlčenlivosti</w:t>
      </w:r>
      <w:bookmarkEnd w:id="17"/>
    </w:p>
    <w:p w:rsidR="00BD033C" w:rsidRDefault="00F518D5">
      <w:pPr>
        <w:pStyle w:val="Zkladntext1"/>
        <w:numPr>
          <w:ilvl w:val="0"/>
          <w:numId w:val="9"/>
        </w:numPr>
        <w:shd w:val="clear" w:color="auto" w:fill="auto"/>
        <w:tabs>
          <w:tab w:val="left" w:pos="826"/>
        </w:tabs>
        <w:ind w:left="820" w:hanging="300"/>
      </w:pPr>
      <w:r>
        <w:t>Poradce i Objednatel jsou povinni zachovávat mlčenlivost o všech skutečnostech, o kterých se při plnění této smlouvy dozvědí. Povinnosti mlčenlivosti může Poradce zprostit jen</w:t>
      </w:r>
      <w:r>
        <w:t xml:space="preserve"> Objednatel svým písemným prohlášením či zmocněním. Povinnosti mlčenlivosti může Objednatele zprostit jen Poradce svým písemným prohlášením či zmocněním. Povinnost mlčenlivosti trvá i po skončení platnosti této smlouvy.</w:t>
      </w:r>
    </w:p>
    <w:p w:rsidR="00BD033C" w:rsidRDefault="00F518D5">
      <w:pPr>
        <w:pStyle w:val="Zkladntext1"/>
        <w:numPr>
          <w:ilvl w:val="0"/>
          <w:numId w:val="9"/>
        </w:numPr>
        <w:shd w:val="clear" w:color="auto" w:fill="auto"/>
        <w:tabs>
          <w:tab w:val="left" w:pos="826"/>
        </w:tabs>
        <w:spacing w:after="300"/>
        <w:ind w:left="820" w:hanging="300"/>
      </w:pPr>
      <w:r>
        <w:t>Povinnost mlčenlivosti se vztahuje v</w:t>
      </w:r>
      <w:r>
        <w:t>e stejném rozsahu i na pracovníky Poradce i Objednatele.</w:t>
      </w:r>
    </w:p>
    <w:p w:rsidR="00BD033C" w:rsidRDefault="00F518D5">
      <w:pPr>
        <w:pStyle w:val="Zkladntext1"/>
        <w:numPr>
          <w:ilvl w:val="0"/>
          <w:numId w:val="9"/>
        </w:numPr>
        <w:shd w:val="clear" w:color="auto" w:fill="auto"/>
        <w:tabs>
          <w:tab w:val="left" w:pos="826"/>
        </w:tabs>
        <w:spacing w:after="560"/>
        <w:ind w:left="820" w:hanging="300"/>
      </w:pPr>
      <w:r>
        <w:t xml:space="preserve">Poradce i Objednatel jsou zproštěni povinnosti mlčenlivosti v případech stanovených právními předpisy nebo jsou-li podle smluvních podmínek pojišťovny, u níž uplatňují </w:t>
      </w:r>
      <w:r>
        <w:lastRenderedPageBreak/>
        <w:t>nárok na pojistné plnění z poji</w:t>
      </w:r>
      <w:r>
        <w:t>štění odpovědnosti za škodu, která vznikla v souvislosti s výkonem činností dle této smlouvy, povinni pojišťovně sdělit okolnosti škodné události, či poskytovat jinou součinnost.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80"/>
      </w:pPr>
      <w:bookmarkStart w:id="18" w:name="bookmark18"/>
      <w:r>
        <w:t>Č1.X.</w:t>
      </w:r>
      <w:bookmarkEnd w:id="18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80"/>
      </w:pPr>
      <w:bookmarkStart w:id="19" w:name="bookmark19"/>
      <w:r>
        <w:t>Osobní údaje</w:t>
      </w:r>
      <w:bookmarkEnd w:id="19"/>
    </w:p>
    <w:p w:rsidR="00BD033C" w:rsidRDefault="00F518D5">
      <w:pPr>
        <w:pStyle w:val="Zkladntext1"/>
        <w:numPr>
          <w:ilvl w:val="0"/>
          <w:numId w:val="10"/>
        </w:numPr>
        <w:shd w:val="clear" w:color="auto" w:fill="auto"/>
        <w:tabs>
          <w:tab w:val="left" w:pos="826"/>
        </w:tabs>
        <w:spacing w:after="240"/>
        <w:ind w:left="820" w:hanging="300"/>
      </w:pPr>
      <w:r>
        <w:t xml:space="preserve">Objednatel postupuje při zpracování osobních údajů v </w:t>
      </w:r>
      <w:r>
        <w:t xml:space="preserve">souladu s nařízením Evropského parlamentu a Rady (EU) č. 2016/679 o ochraně fyzických osob v souvislosti se zpracováním osobních údajů a o volném pohybu těchto údajů (obecné nařízení o ochraně osobních údajů, dále jen „nařízení“), zákonem č. 110/2019 Sb., </w:t>
      </w:r>
      <w:r>
        <w:t>o zpracování osobních údajů, zákonem č. 111/2019 Sb., kterým se mění některé zákony s přijetím zákona o zpracování osobních údajů, zákonem č. 480/2004 Sb., o některých službách informační společnosti, zákonem č. 127/2005 Sb., o elektronických komunikacích,</w:t>
      </w:r>
      <w:r>
        <w:t xml:space="preserve"> a dalšími právními předpisy upravující ochranu osobních údajů.</w:t>
      </w:r>
    </w:p>
    <w:p w:rsidR="00BD033C" w:rsidRDefault="00F518D5">
      <w:pPr>
        <w:pStyle w:val="Zkladntext1"/>
        <w:numPr>
          <w:ilvl w:val="0"/>
          <w:numId w:val="10"/>
        </w:numPr>
        <w:shd w:val="clear" w:color="auto" w:fill="auto"/>
        <w:tabs>
          <w:tab w:val="left" w:pos="826"/>
        </w:tabs>
        <w:spacing w:after="240"/>
        <w:ind w:left="820" w:hanging="300"/>
      </w:pPr>
      <w:r>
        <w:t>Pro řádné poskytování služby, která je předmětem této Smlouvy, je Objednatel oprávněn zpracovávat osobní údaje poskytnuté či zadané Poradcem při užívám služby (zejména adresné, popisné a faktu</w:t>
      </w:r>
      <w:r>
        <w:t xml:space="preserve">rační údaje), a to </w:t>
      </w:r>
      <w:r>
        <w:rPr>
          <w:sz w:val="22"/>
          <w:szCs w:val="22"/>
        </w:rPr>
        <w:t xml:space="preserve">pro </w:t>
      </w:r>
      <w:r>
        <w:t xml:space="preserve">účely řádné identifikace </w:t>
      </w:r>
      <w:r>
        <w:rPr>
          <w:sz w:val="22"/>
          <w:szCs w:val="22"/>
        </w:rPr>
        <w:t xml:space="preserve">stran, </w:t>
      </w:r>
      <w:r>
        <w:t>plnění Smlouvy a fakturace. Takové zpracování osobních údajů je zákonné, jelikož je nezbytné pro plnění Smlouvy, jejíž smluvní stranou je zpracovatel, jako subjekt osobních údajů.</w:t>
      </w:r>
    </w:p>
    <w:p w:rsidR="00BD033C" w:rsidRDefault="00F518D5">
      <w:pPr>
        <w:pStyle w:val="Zkladntext1"/>
        <w:numPr>
          <w:ilvl w:val="0"/>
          <w:numId w:val="10"/>
        </w:numPr>
        <w:shd w:val="clear" w:color="auto" w:fill="auto"/>
        <w:tabs>
          <w:tab w:val="left" w:pos="826"/>
        </w:tabs>
        <w:spacing w:after="0"/>
        <w:ind w:left="820" w:hanging="300"/>
      </w:pPr>
      <w:r>
        <w:t>V rámci samotného pos</w:t>
      </w:r>
      <w:r>
        <w:t>kytování předmětu této Smlouvy také dochází ke zpracování osobních údajů ve smyslu výše uvedených právních předpisů, přičemž strany sjednávají následující:</w:t>
      </w:r>
    </w:p>
    <w:p w:rsidR="00BD033C" w:rsidRDefault="00F518D5">
      <w:pPr>
        <w:pStyle w:val="Zkladntext1"/>
        <w:numPr>
          <w:ilvl w:val="0"/>
          <w:numId w:val="11"/>
        </w:numPr>
        <w:shd w:val="clear" w:color="auto" w:fill="auto"/>
        <w:tabs>
          <w:tab w:val="left" w:pos="826"/>
        </w:tabs>
        <w:spacing w:after="120"/>
        <w:ind w:left="740" w:hanging="220"/>
      </w:pPr>
      <w:r>
        <w:t>strany tímto prohlašují, že přijaly všechna potřebná opatření k dosažení souladu zpracování osobních</w:t>
      </w:r>
      <w:r>
        <w:t xml:space="preserve"> údajů s platnými a účinnými právními předpisy týkajícími se ochrany osobních údajů a dále přijaly vhodná organizační a technická opatření relevantní pro vhodné provádění zpracování;</w:t>
      </w:r>
    </w:p>
    <w:p w:rsidR="00BD033C" w:rsidRDefault="00F518D5">
      <w:pPr>
        <w:pStyle w:val="Zkladntext1"/>
        <w:numPr>
          <w:ilvl w:val="0"/>
          <w:numId w:val="11"/>
        </w:numPr>
        <w:shd w:val="clear" w:color="auto" w:fill="auto"/>
        <w:tabs>
          <w:tab w:val="left" w:pos="851"/>
        </w:tabs>
        <w:spacing w:after="120"/>
        <w:ind w:left="740" w:hanging="220"/>
      </w:pPr>
      <w:r>
        <w:t>pokud v případě spolupráce bude docházet ke zpracování osobních údajů, ka</w:t>
      </w:r>
      <w:r>
        <w:t>ždá ze stran shromažďující osobní údaje přímo od subjektů údajů nebo z jiných zdrojů zajistí:</w:t>
      </w:r>
    </w:p>
    <w:p w:rsidR="00BD033C" w:rsidRDefault="00F518D5">
      <w:pPr>
        <w:pStyle w:val="Zkladntext1"/>
        <w:shd w:val="clear" w:color="auto" w:fill="auto"/>
        <w:spacing w:line="226" w:lineRule="auto"/>
        <w:ind w:left="1060" w:hanging="280"/>
        <w:jc w:val="left"/>
      </w:pPr>
      <w:r>
        <w:t>• transparentní informace, sdělení a postupy pro výkon práv subjektu údajů dle článku 12 nařízení;</w:t>
      </w:r>
    </w:p>
    <w:p w:rsidR="00BD033C" w:rsidRDefault="00F518D5">
      <w:pPr>
        <w:pStyle w:val="Zkladntext1"/>
        <w:numPr>
          <w:ilvl w:val="0"/>
          <w:numId w:val="12"/>
        </w:numPr>
        <w:shd w:val="clear" w:color="auto" w:fill="auto"/>
        <w:tabs>
          <w:tab w:val="left" w:pos="930"/>
        </w:tabs>
        <w:spacing w:after="140"/>
        <w:ind w:left="960" w:hanging="280"/>
      </w:pPr>
      <w:r>
        <w:t>výkon informační povinnosti vůči subjektům údajů v souladu s po</w:t>
      </w:r>
      <w:r>
        <w:t>žadavky článků 13 a 14 nařízení, přičemž sdělí rozsah zpracovávání, pro který existuje společné správcovství a rozsah zpracovávání, který se týká samostatného správcovství druhé ze stran;</w:t>
      </w:r>
    </w:p>
    <w:p w:rsidR="00BD033C" w:rsidRDefault="00F518D5">
      <w:pPr>
        <w:pStyle w:val="Zkladntext1"/>
        <w:numPr>
          <w:ilvl w:val="0"/>
          <w:numId w:val="12"/>
        </w:numPr>
        <w:shd w:val="clear" w:color="auto" w:fill="auto"/>
        <w:tabs>
          <w:tab w:val="left" w:pos="930"/>
        </w:tabs>
        <w:spacing w:after="120"/>
        <w:ind w:left="960" w:hanging="280"/>
      </w:pPr>
      <w:r>
        <w:t xml:space="preserve">případné získání souhlasu subjektu údajů v souladu s ustanoveními </w:t>
      </w:r>
      <w:r>
        <w:t>nařízení a zpřístupní druhé straně veškerou dokumentaci potvrzující poskytnutí informací a získání případného souhlasu.</w:t>
      </w:r>
    </w:p>
    <w:p w:rsidR="00BD033C" w:rsidRDefault="00F518D5">
      <w:pPr>
        <w:pStyle w:val="Zkladntext1"/>
        <w:numPr>
          <w:ilvl w:val="0"/>
          <w:numId w:val="11"/>
        </w:numPr>
        <w:shd w:val="clear" w:color="auto" w:fill="auto"/>
        <w:tabs>
          <w:tab w:val="left" w:pos="709"/>
        </w:tabs>
        <w:spacing w:after="380"/>
        <w:ind w:left="680" w:hanging="300"/>
      </w:pPr>
      <w:r>
        <w:t>Každá ze stran zajistí a umožní účinné využívání práv vyplývajících z nařízení dle článků 15 (právo na přístup), 16 (právo na opravu), 1</w:t>
      </w:r>
      <w:r>
        <w:t>7 (právo na výmaz), 18 (právo na omezení zpracování), 19 (oznamovací povinnost ohledně opravy nebo výmazu osobních údajů nebo omezení zpracování), 20 (přenositelnost údajů) a 21 (právo vznést námitku) nařízení, bez ohledu na to, vůči které straně bude toto</w:t>
      </w:r>
      <w:r>
        <w:t xml:space="preserve"> právo uplatněno subjektem údajů.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  <w:ind w:right="0"/>
      </w:pPr>
      <w:bookmarkStart w:id="20" w:name="bookmark20"/>
      <w:r>
        <w:lastRenderedPageBreak/>
        <w:t>ČI. XI.</w:t>
      </w:r>
      <w:bookmarkEnd w:id="20"/>
    </w:p>
    <w:p w:rsidR="00BD033C" w:rsidRDefault="00F518D5">
      <w:pPr>
        <w:pStyle w:val="Nadpis10"/>
        <w:keepNext/>
        <w:keepLines/>
        <w:shd w:val="clear" w:color="auto" w:fill="auto"/>
        <w:spacing w:after="260"/>
        <w:ind w:right="0"/>
      </w:pPr>
      <w:bookmarkStart w:id="21" w:name="bookmark21"/>
      <w:r>
        <w:t>Společná ustanovení</w:t>
      </w:r>
      <w:bookmarkEnd w:id="21"/>
    </w:p>
    <w:p w:rsidR="00BD033C" w:rsidRDefault="00F518D5">
      <w:pPr>
        <w:pStyle w:val="Zkladntext1"/>
        <w:numPr>
          <w:ilvl w:val="0"/>
          <w:numId w:val="13"/>
        </w:numPr>
        <w:shd w:val="clear" w:color="auto" w:fill="auto"/>
        <w:tabs>
          <w:tab w:val="left" w:pos="874"/>
        </w:tabs>
        <w:ind w:left="820" w:hanging="320"/>
      </w:pPr>
      <w:r>
        <w:t>Poradce souhlasí s tím, že zájemce sdělí Objednateli své hodnocení Specialisty.</w:t>
      </w:r>
    </w:p>
    <w:p w:rsidR="00BD033C" w:rsidRDefault="00F518D5">
      <w:pPr>
        <w:pStyle w:val="Zkladntext1"/>
        <w:numPr>
          <w:ilvl w:val="0"/>
          <w:numId w:val="13"/>
        </w:numPr>
        <w:shd w:val="clear" w:color="auto" w:fill="auto"/>
        <w:tabs>
          <w:tab w:val="left" w:pos="874"/>
        </w:tabs>
        <w:ind w:left="820" w:hanging="320"/>
      </w:pPr>
      <w:r>
        <w:t>Nastanou-li skutečnosti, které jedné nebo oběma smluvním stranám částečně nebo úplně znemožní plnění jejich povinn</w:t>
      </w:r>
      <w:r>
        <w:t>ostí podle této smlouvy, jsou smluvní strany povinny se o tom bez zbytečného odkladu písemně informovat. Zároveň jsou obě smluvní strany zavázány společně podniknout veškeré kroky k překonání překážek plnění této smlouvy.</w:t>
      </w:r>
    </w:p>
    <w:p w:rsidR="00BD033C" w:rsidRDefault="00F518D5">
      <w:pPr>
        <w:pStyle w:val="Zkladntext1"/>
        <w:numPr>
          <w:ilvl w:val="0"/>
          <w:numId w:val="13"/>
        </w:numPr>
        <w:shd w:val="clear" w:color="auto" w:fill="auto"/>
        <w:tabs>
          <w:tab w:val="left" w:pos="874"/>
        </w:tabs>
        <w:spacing w:after="520"/>
        <w:ind w:left="820" w:hanging="320"/>
      </w:pPr>
      <w:r>
        <w:t>Je-li nebo stane-li se některé ust</w:t>
      </w:r>
      <w:r>
        <w:t>anovení této smlouvy neplatné či neúčinné, nedotýká se to ostatních ustanovení této smlouvy, která zůstávají platná a účinná. Smluvní strany se v tomto případě zavazují dohodou nahradit ustanovení neplatné či neúčinné novým ustanovením, které nejlépe odpov</w:t>
      </w:r>
      <w:r>
        <w:t>ídá původně zamýšlenému účelu ustanovení neplatného či neúčinného. Do té doby platí odpovídající úprava dle zákonů a dalších právních předpisů České republiky.</w:t>
      </w:r>
    </w:p>
    <w:p w:rsidR="00BD033C" w:rsidRDefault="00F518D5">
      <w:pPr>
        <w:pStyle w:val="Zkladntext1"/>
        <w:numPr>
          <w:ilvl w:val="0"/>
          <w:numId w:val="13"/>
        </w:numPr>
        <w:shd w:val="clear" w:color="auto" w:fill="auto"/>
        <w:tabs>
          <w:tab w:val="left" w:pos="874"/>
        </w:tabs>
        <w:ind w:left="820" w:hanging="320"/>
      </w:pPr>
      <w:r>
        <w:t>Kontaktními osobami jsou:</w:t>
      </w:r>
    </w:p>
    <w:p w:rsidR="00033ECD" w:rsidRDefault="00F518D5">
      <w:pPr>
        <w:pStyle w:val="Zkladntext1"/>
        <w:shd w:val="clear" w:color="auto" w:fill="auto"/>
        <w:spacing w:after="540"/>
        <w:ind w:left="820" w:firstLine="20"/>
        <w:jc w:val="left"/>
      </w:pPr>
      <w:r>
        <w:t xml:space="preserve">Objednatel: </w:t>
      </w:r>
    </w:p>
    <w:p w:rsidR="00BD033C" w:rsidRDefault="00033ECD">
      <w:pPr>
        <w:pStyle w:val="Zkladntext1"/>
        <w:shd w:val="clear" w:color="auto" w:fill="auto"/>
        <w:spacing w:after="540"/>
        <w:ind w:left="820" w:firstLine="20"/>
        <w:jc w:val="left"/>
      </w:pPr>
      <w:r>
        <w:t xml:space="preserve"> Poradce: </w:t>
      </w:r>
    </w:p>
    <w:p w:rsidR="00BD033C" w:rsidRDefault="00F518D5">
      <w:pPr>
        <w:pStyle w:val="Nadpis10"/>
        <w:keepNext/>
        <w:keepLines/>
        <w:shd w:val="clear" w:color="auto" w:fill="auto"/>
        <w:spacing w:after="0"/>
      </w:pPr>
      <w:bookmarkStart w:id="22" w:name="bookmark22"/>
      <w:r>
        <w:t>ČI. XII.</w:t>
      </w:r>
      <w:bookmarkEnd w:id="22"/>
    </w:p>
    <w:p w:rsidR="00BD033C" w:rsidRDefault="00F518D5">
      <w:pPr>
        <w:pStyle w:val="Nadpis10"/>
        <w:keepNext/>
        <w:keepLines/>
        <w:shd w:val="clear" w:color="auto" w:fill="auto"/>
        <w:spacing w:after="260" w:line="233" w:lineRule="auto"/>
      </w:pPr>
      <w:bookmarkStart w:id="23" w:name="bookmark23"/>
      <w:r>
        <w:t>Závěrečná ustanovení</w:t>
      </w:r>
      <w:bookmarkEnd w:id="23"/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874"/>
        </w:tabs>
        <w:ind w:left="820" w:hanging="320"/>
      </w:pPr>
      <w:r>
        <w:t>Tato smlouva nabývá platnosti dnem jejího podpisu oběma smluvními stranami.</w:t>
      </w:r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874"/>
        </w:tabs>
        <w:spacing w:line="233" w:lineRule="auto"/>
        <w:ind w:left="820" w:hanging="320"/>
      </w:pPr>
      <w:r>
        <w:t xml:space="preserve">Tato smlouva nabyde účinnosti dnem jejího uveřejnění v registru smluv, které </w:t>
      </w:r>
      <w:r>
        <w:t>zajistí bez zbytečného odkladu Poradce.</w:t>
      </w:r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874"/>
        </w:tabs>
        <w:ind w:left="820" w:hanging="320"/>
      </w:pPr>
      <w:r>
        <w:t>Změny a doplňky této smlouvy mohou být provedeny pouze písemnou formou vzestupně číslovaných dodatků podepsaných oběma smluvními stranami.</w:t>
      </w:r>
      <w:r>
        <w:br w:type="page"/>
      </w:r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616"/>
        </w:tabs>
        <w:ind w:left="600" w:right="320" w:hanging="340"/>
      </w:pPr>
      <w:r>
        <w:lastRenderedPageBreak/>
        <w:t>Právní vztahy touto smlouvou neupravené nebo ze smlouvy nevyplývající se říd</w:t>
      </w:r>
      <w:r>
        <w:t xml:space="preserve">í právními předpisy České republiky, zejména občanským zákoníkem č. 89/2012 </w:t>
      </w:r>
      <w:proofErr w:type="gramStart"/>
      <w:r>
        <w:t>Sb..</w:t>
      </w:r>
      <w:proofErr w:type="gramEnd"/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616"/>
        </w:tabs>
        <w:ind w:left="600" w:right="320" w:hanging="340"/>
      </w:pPr>
      <w:r>
        <w:t>Tato smlouva je vyhotovena ve třech stejnopisech, z nichž Objednatel obdrží jedno a Poradce dvě vyhotovení.</w:t>
      </w:r>
    </w:p>
    <w:p w:rsidR="00BD033C" w:rsidRDefault="00F518D5">
      <w:pPr>
        <w:pStyle w:val="Zkladntext1"/>
        <w:numPr>
          <w:ilvl w:val="0"/>
          <w:numId w:val="14"/>
        </w:numPr>
        <w:shd w:val="clear" w:color="auto" w:fill="auto"/>
        <w:tabs>
          <w:tab w:val="left" w:pos="616"/>
        </w:tabs>
        <w:spacing w:after="0"/>
        <w:ind w:left="600" w:right="320" w:hanging="340"/>
        <w:sectPr w:rsidR="00BD033C">
          <w:footerReference w:type="default" r:id="rId8"/>
          <w:pgSz w:w="11900" w:h="16840"/>
          <w:pgMar w:top="1518" w:right="1227" w:bottom="1359" w:left="1356" w:header="1090" w:footer="3" w:gutter="0"/>
          <w:pgNumType w:start="1"/>
          <w:cols w:space="720"/>
          <w:noEndnote/>
          <w:docGrid w:linePitch="360"/>
        </w:sectPr>
      </w:pPr>
      <w:r>
        <w:t xml:space="preserve">Smluvní strany prohlašují, že tato smlouva byla uzavřena na základě jejich pravé, svobodné a vážné vůle, nikoli v tísni za nápadně nevýhodných podmínek. Účastníci této smlouvy dále </w:t>
      </w:r>
      <w:r>
        <w:t>prohlašují, že se s obsahem této smlouvy seznámili, obsahu porozuměli, souhlasí s ním a na důkaz toho připojují své vlastnoruční podpisy.</w:t>
      </w:r>
    </w:p>
    <w:p w:rsidR="00BD033C" w:rsidRDefault="00BD033C">
      <w:pPr>
        <w:spacing w:line="86" w:lineRule="exact"/>
        <w:rPr>
          <w:sz w:val="7"/>
          <w:szCs w:val="7"/>
        </w:rPr>
      </w:pPr>
    </w:p>
    <w:p w:rsidR="00BD033C" w:rsidRDefault="00BD033C">
      <w:pPr>
        <w:spacing w:line="14" w:lineRule="exact"/>
        <w:sectPr w:rsidR="00BD033C">
          <w:type w:val="continuous"/>
          <w:pgSz w:w="11900" w:h="16840"/>
          <w:pgMar w:top="1484" w:right="0" w:bottom="823" w:left="0" w:header="0" w:footer="3" w:gutter="0"/>
          <w:cols w:space="720"/>
          <w:noEndnote/>
          <w:docGrid w:linePitch="360"/>
        </w:sectPr>
      </w:pPr>
    </w:p>
    <w:p w:rsidR="00BD033C" w:rsidRDefault="00BD033C">
      <w:pPr>
        <w:spacing w:line="360" w:lineRule="exact"/>
      </w:pPr>
      <w:bookmarkStart w:id="24" w:name="_GoBack"/>
      <w:bookmarkEnd w:id="24"/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line="360" w:lineRule="exact"/>
      </w:pPr>
    </w:p>
    <w:p w:rsidR="00BD033C" w:rsidRDefault="00BD033C">
      <w:pPr>
        <w:spacing w:after="357" w:line="14" w:lineRule="exact"/>
      </w:pPr>
    </w:p>
    <w:p w:rsidR="00BD033C" w:rsidRDefault="00BD033C">
      <w:pPr>
        <w:spacing w:line="14" w:lineRule="exact"/>
      </w:pPr>
    </w:p>
    <w:sectPr w:rsidR="00BD033C">
      <w:type w:val="continuous"/>
      <w:pgSz w:w="11900" w:h="16840"/>
      <w:pgMar w:top="1484" w:right="1083" w:bottom="823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D5" w:rsidRDefault="00F518D5">
      <w:r>
        <w:separator/>
      </w:r>
    </w:p>
  </w:endnote>
  <w:endnote w:type="continuationSeparator" w:id="0">
    <w:p w:rsidR="00F518D5" w:rsidRDefault="00F5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3C" w:rsidRDefault="00F518D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10135235</wp:posOffset>
              </wp:positionV>
              <wp:extent cx="72009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33C" w:rsidRDefault="00F518D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33ECD" w:rsidRPr="00033ECD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5pt;margin-top:798.05pt;width:56.7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" filled="f" stroked="f">
              <v:textbox style="mso-fit-shape-to-text:t" inset="0,0,0,0">
                <w:txbxContent>
                  <w:p w:rsidR="00BD033C" w:rsidRDefault="00F518D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33ECD" w:rsidRPr="00033ECD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D5" w:rsidRDefault="00F518D5"/>
  </w:footnote>
  <w:footnote w:type="continuationSeparator" w:id="0">
    <w:p w:rsidR="00F518D5" w:rsidRDefault="00F51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E2F"/>
    <w:multiLevelType w:val="multilevel"/>
    <w:tmpl w:val="8E943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82C47"/>
    <w:multiLevelType w:val="multilevel"/>
    <w:tmpl w:val="91A2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5439C"/>
    <w:multiLevelType w:val="multilevel"/>
    <w:tmpl w:val="D6368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4B04"/>
    <w:multiLevelType w:val="multilevel"/>
    <w:tmpl w:val="5CDCF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73D3D"/>
    <w:multiLevelType w:val="multilevel"/>
    <w:tmpl w:val="3F9E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0044F"/>
    <w:multiLevelType w:val="multilevel"/>
    <w:tmpl w:val="0960F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76594"/>
    <w:multiLevelType w:val="multilevel"/>
    <w:tmpl w:val="61205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76579"/>
    <w:multiLevelType w:val="multilevel"/>
    <w:tmpl w:val="21FC4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E050B"/>
    <w:multiLevelType w:val="multilevel"/>
    <w:tmpl w:val="613E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2C4A92"/>
    <w:multiLevelType w:val="multilevel"/>
    <w:tmpl w:val="10CE2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31CA0"/>
    <w:multiLevelType w:val="multilevel"/>
    <w:tmpl w:val="A43E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42DC1"/>
    <w:multiLevelType w:val="multilevel"/>
    <w:tmpl w:val="FE52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47443"/>
    <w:multiLevelType w:val="multilevel"/>
    <w:tmpl w:val="EDF098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C73C89"/>
    <w:multiLevelType w:val="multilevel"/>
    <w:tmpl w:val="3BBC1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033C"/>
    <w:rsid w:val="00033ECD"/>
    <w:rsid w:val="009E5D20"/>
    <w:rsid w:val="00BD033C"/>
    <w:rsid w:val="00E91756"/>
    <w:rsid w:val="00F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 w:line="36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ind w:right="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 w:line="36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30"/>
      <w:ind w:right="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2441</Words>
  <Characters>14402</Characters>
  <Application>Microsoft Office Word</Application>
  <DocSecurity>0</DocSecurity>
  <Lines>120</Lines>
  <Paragraphs>33</Paragraphs>
  <ScaleCrop>false</ScaleCrop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2022-03-15T15:23:00Z</dcterms:created>
  <dcterms:modified xsi:type="dcterms:W3CDTF">2022-03-15T15:29:00Z</dcterms:modified>
</cp:coreProperties>
</file>