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D38D" w14:textId="77777777" w:rsidR="000601AE" w:rsidRDefault="00C57E93">
      <w:pPr>
        <w:spacing w:line="1" w:lineRule="exact"/>
      </w:pPr>
      <w:r>
        <w:rPr>
          <w:noProof/>
        </w:rPr>
        <mc:AlternateContent>
          <mc:Choice Requires="wps">
            <w:drawing>
              <wp:anchor distT="0" distB="0" distL="114300" distR="114300" simplePos="0" relativeHeight="125829378" behindDoc="0" locked="0" layoutInCell="1" allowOverlap="1" wp14:anchorId="1D488924" wp14:editId="02C1E593">
                <wp:simplePos x="0" y="0"/>
                <wp:positionH relativeFrom="page">
                  <wp:posOffset>673735</wp:posOffset>
                </wp:positionH>
                <wp:positionV relativeFrom="paragraph">
                  <wp:posOffset>1009015</wp:posOffset>
                </wp:positionV>
                <wp:extent cx="887095" cy="975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87095" cy="975360"/>
                        </a:xfrm>
                        <a:prstGeom prst="rect">
                          <a:avLst/>
                        </a:prstGeom>
                        <a:noFill/>
                      </wps:spPr>
                      <wps:txbx>
                        <w:txbxContent>
                          <w:p w14:paraId="5D9E4811" w14:textId="77777777" w:rsidR="000601AE" w:rsidRDefault="00C57E93">
                            <w:pPr>
                              <w:pStyle w:val="Zkladntext20"/>
                            </w:pPr>
                            <w:r>
                              <w:t>A. Aukce</w:t>
                            </w:r>
                          </w:p>
                          <w:p w14:paraId="1C3FA638" w14:textId="77777777" w:rsidR="000601AE" w:rsidRDefault="00C57E93">
                            <w:pPr>
                              <w:pStyle w:val="Zkladntext1"/>
                            </w:pPr>
                            <w:r>
                              <w:rPr>
                                <w:b/>
                                <w:bCs/>
                              </w:rPr>
                              <w:t>Datum konání</w:t>
                            </w:r>
                          </w:p>
                          <w:p w14:paraId="50D8775A" w14:textId="77777777" w:rsidR="000601AE" w:rsidRDefault="00C57E93">
                            <w:pPr>
                              <w:pStyle w:val="Zkladntext1"/>
                            </w:pPr>
                            <w:r>
                              <w:rPr>
                                <w:b/>
                                <w:bCs/>
                              </w:rPr>
                              <w:t>Začátek aukce</w:t>
                            </w:r>
                          </w:p>
                          <w:p w14:paraId="1B679CB4" w14:textId="77777777" w:rsidR="000601AE" w:rsidRDefault="00C57E93">
                            <w:pPr>
                              <w:pStyle w:val="Zkladntext1"/>
                            </w:pPr>
                            <w:r>
                              <w:rPr>
                                <w:b/>
                                <w:bCs/>
                              </w:rPr>
                              <w:t>Konec aukce</w:t>
                            </w:r>
                          </w:p>
                          <w:p w14:paraId="70F3532B" w14:textId="77777777" w:rsidR="000601AE" w:rsidRDefault="00C57E93">
                            <w:pPr>
                              <w:pStyle w:val="Zkladntext1"/>
                            </w:pPr>
                            <w:r>
                              <w:rPr>
                                <w:b/>
                                <w:bCs/>
                              </w:rPr>
                              <w:t>Označení</w:t>
                            </w:r>
                          </w:p>
                        </w:txbxContent>
                      </wps:txbx>
                      <wps:bodyPr lIns="0" tIns="0" rIns="0" bIns="0"/>
                    </wps:wsp>
                  </a:graphicData>
                </a:graphic>
              </wp:anchor>
            </w:drawing>
          </mc:Choice>
          <mc:Fallback>
            <w:pict>
              <v:shapetype w14:anchorId="1D488924" id="_x0000_t202" coordsize="21600,21600" o:spt="202" path="m,l,21600r21600,l21600,xe">
                <v:stroke joinstyle="miter"/>
                <v:path gradientshapeok="t" o:connecttype="rect"/>
              </v:shapetype>
              <v:shape id="Shape 1" o:spid="_x0000_s1026" type="#_x0000_t202" style="position:absolute;margin-left:53.05pt;margin-top:79.45pt;width:69.85pt;height:76.8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" filled="f" stroked="f">
                <v:textbox inset="0,0,0,0">
                  <w:txbxContent>
                    <w:p w14:paraId="5D9E4811" w14:textId="77777777" w:rsidR="000601AE" w:rsidRDefault="00C57E93">
                      <w:pPr>
                        <w:pStyle w:val="Zkladntext20"/>
                      </w:pPr>
                      <w:r>
                        <w:t>A. Aukce</w:t>
                      </w:r>
                    </w:p>
                    <w:p w14:paraId="1C3FA638" w14:textId="77777777" w:rsidR="000601AE" w:rsidRDefault="00C57E93">
                      <w:pPr>
                        <w:pStyle w:val="Zkladntext1"/>
                      </w:pPr>
                      <w:r>
                        <w:rPr>
                          <w:b/>
                          <w:bCs/>
                        </w:rPr>
                        <w:t>Datum konání</w:t>
                      </w:r>
                    </w:p>
                    <w:p w14:paraId="50D8775A" w14:textId="77777777" w:rsidR="000601AE" w:rsidRDefault="00C57E93">
                      <w:pPr>
                        <w:pStyle w:val="Zkladntext1"/>
                      </w:pPr>
                      <w:r>
                        <w:rPr>
                          <w:b/>
                          <w:bCs/>
                        </w:rPr>
                        <w:t>Začátek aukce</w:t>
                      </w:r>
                    </w:p>
                    <w:p w14:paraId="1B679CB4" w14:textId="77777777" w:rsidR="000601AE" w:rsidRDefault="00C57E93">
                      <w:pPr>
                        <w:pStyle w:val="Zkladntext1"/>
                      </w:pPr>
                      <w:r>
                        <w:rPr>
                          <w:b/>
                          <w:bCs/>
                        </w:rPr>
                        <w:t>Konec aukce</w:t>
                      </w:r>
                    </w:p>
                    <w:p w14:paraId="70F3532B" w14:textId="77777777" w:rsidR="000601AE" w:rsidRDefault="00C57E93">
                      <w:pPr>
                        <w:pStyle w:val="Zkladntext1"/>
                      </w:pPr>
                      <w:r>
                        <w:rPr>
                          <w:b/>
                          <w:bCs/>
                        </w:rPr>
                        <w:t>Označení</w:t>
                      </w:r>
                    </w:p>
                  </w:txbxContent>
                </v:textbox>
                <w10:wrap type="square" side="right" anchorx="page"/>
              </v:shape>
            </w:pict>
          </mc:Fallback>
        </mc:AlternateContent>
      </w:r>
    </w:p>
    <w:p w14:paraId="4822BDB6" w14:textId="77777777" w:rsidR="000601AE" w:rsidRDefault="00C57E93">
      <w:pPr>
        <w:pStyle w:val="Nadpis10"/>
        <w:keepNext/>
        <w:keepLines/>
        <w:spacing w:after="0" w:line="276" w:lineRule="auto"/>
      </w:pPr>
      <w:bookmarkStart w:id="0" w:name="bookmark0"/>
      <w:bookmarkStart w:id="1" w:name="bookmark1"/>
      <w:bookmarkStart w:id="2" w:name="bookmark2"/>
      <w:r>
        <w:t>ZÁVĚRKOVÝ LIST</w:t>
      </w:r>
      <w:bookmarkEnd w:id="0"/>
      <w:bookmarkEnd w:id="1"/>
      <w:bookmarkEnd w:id="2"/>
    </w:p>
    <w:p w14:paraId="77D4C1C3" w14:textId="77777777" w:rsidR="000601AE" w:rsidRDefault="00C57E93">
      <w:pPr>
        <w:pStyle w:val="Zkladntext1"/>
        <w:spacing w:after="820" w:line="317" w:lineRule="auto"/>
      </w:pPr>
      <w:r>
        <w:rPr>
          <w:i/>
          <w:iCs/>
        </w:rPr>
        <w:t>(POTVRZENÍ O UZAVŘENÍ BURZOVNÍHO OBCHODU NA TRHU PXE PRO KONEČNĚ ZÁKAZNÍKY) Tento závěrkový list se vydává stranám burzovního obchodu uzavřeného na trhu POWER EXCHANGE CENTRAL EUROPE, a.s. („PXE") podle § 30 odst. 1 zák. č. 229/1992 Sb., o komoditních burzách</w:t>
      </w:r>
    </w:p>
    <w:p w14:paraId="381A3D18" w14:textId="77777777" w:rsidR="000601AE" w:rsidRDefault="00C57E93">
      <w:pPr>
        <w:pStyle w:val="Zkladntext1"/>
        <w:ind w:left="1640"/>
      </w:pPr>
      <w:r>
        <w:t>15.04.2021</w:t>
      </w:r>
    </w:p>
    <w:p w14:paraId="61A680E2" w14:textId="77777777" w:rsidR="000601AE" w:rsidRDefault="00C57E93">
      <w:pPr>
        <w:pStyle w:val="Zkladntext1"/>
        <w:ind w:left="1640"/>
      </w:pPr>
      <w:r>
        <w:t>14:00:00</w:t>
      </w:r>
    </w:p>
    <w:p w14:paraId="4BAB3CA9" w14:textId="77777777" w:rsidR="000601AE" w:rsidRDefault="00C57E93">
      <w:pPr>
        <w:pStyle w:val="Zkladntext1"/>
        <w:ind w:left="1640"/>
      </w:pPr>
      <w:r>
        <w:t>14:11:40</w:t>
      </w:r>
    </w:p>
    <w:p w14:paraId="03430214" w14:textId="77777777" w:rsidR="000601AE" w:rsidRDefault="00C57E93">
      <w:pPr>
        <w:pStyle w:val="Zkladntext1"/>
        <w:spacing w:after="520"/>
        <w:ind w:left="1640"/>
      </w:pPr>
      <w:r>
        <w:t>976 Správa železnic, státní organizace</w:t>
      </w:r>
    </w:p>
    <w:p w14:paraId="3CB37535" w14:textId="77777777" w:rsidR="000601AE" w:rsidRDefault="00C57E93">
      <w:pPr>
        <w:pStyle w:val="Nadpis10"/>
        <w:keepNext/>
        <w:keepLines/>
        <w:spacing w:after="0"/>
        <w:sectPr w:rsidR="000601AE">
          <w:headerReference w:type="default" r:id="rId7"/>
          <w:footerReference w:type="default" r:id="rId8"/>
          <w:headerReference w:type="first" r:id="rId9"/>
          <w:footerReference w:type="first" r:id="rId10"/>
          <w:pgSz w:w="11900" w:h="16840"/>
          <w:pgMar w:top="1951" w:right="1272" w:bottom="1712" w:left="1056" w:header="0" w:footer="3" w:gutter="0"/>
          <w:pgNumType w:start="1"/>
          <w:cols w:space="720"/>
          <w:noEndnote/>
          <w:titlePg/>
          <w:docGrid w:linePitch="360"/>
        </w:sectPr>
      </w:pPr>
      <w:bookmarkStart w:id="3" w:name="bookmark3"/>
      <w:bookmarkStart w:id="4" w:name="bookmark4"/>
      <w:bookmarkStart w:id="5" w:name="bookmark5"/>
      <w:r>
        <w:t>B. Dohodnuté podmínky obchodu</w:t>
      </w:r>
      <w:bookmarkEnd w:id="3"/>
      <w:bookmarkEnd w:id="4"/>
      <w:bookmarkEnd w:id="5"/>
    </w:p>
    <w:p w14:paraId="4BA45815" w14:textId="77777777" w:rsidR="000601AE" w:rsidRDefault="000601AE">
      <w:pPr>
        <w:spacing w:line="1" w:lineRule="exact"/>
        <w:rPr>
          <w:sz w:val="2"/>
          <w:szCs w:val="2"/>
        </w:rPr>
      </w:pPr>
    </w:p>
    <w:p w14:paraId="7AD408B3" w14:textId="77777777" w:rsidR="000601AE" w:rsidRDefault="000601AE">
      <w:pPr>
        <w:spacing w:line="1" w:lineRule="exact"/>
        <w:sectPr w:rsidR="000601AE">
          <w:type w:val="continuous"/>
          <w:pgSz w:w="11900" w:h="16840"/>
          <w:pgMar w:top="1951" w:right="0" w:bottom="1712" w:left="0" w:header="0" w:footer="3" w:gutter="0"/>
          <w:cols w:space="720"/>
          <w:noEndnote/>
          <w:docGrid w:linePitch="360"/>
        </w:sectPr>
      </w:pPr>
    </w:p>
    <w:p w14:paraId="335EAA86" w14:textId="77777777" w:rsidR="000601AE" w:rsidRDefault="00C57E93">
      <w:pPr>
        <w:pStyle w:val="Zkladntext1"/>
        <w:spacing w:after="0" w:line="322" w:lineRule="auto"/>
      </w:pPr>
      <w:r>
        <w:rPr>
          <w:b/>
          <w:bCs/>
        </w:rPr>
        <w:t xml:space="preserve">Předmět </w:t>
      </w:r>
      <w:proofErr w:type="gramStart"/>
      <w:r>
        <w:rPr>
          <w:b/>
          <w:bCs/>
        </w:rPr>
        <w:t>obchodu - komodita</w:t>
      </w:r>
      <w:proofErr w:type="gramEnd"/>
    </w:p>
    <w:p w14:paraId="51C094F2" w14:textId="77777777" w:rsidR="000601AE" w:rsidRDefault="00C57E93">
      <w:pPr>
        <w:pStyle w:val="Zkladntext1"/>
        <w:spacing w:after="0" w:line="322" w:lineRule="auto"/>
      </w:pPr>
      <w:r>
        <w:rPr>
          <w:b/>
          <w:bCs/>
        </w:rPr>
        <w:t>Cena</w:t>
      </w:r>
    </w:p>
    <w:p w14:paraId="641EDF94" w14:textId="77777777" w:rsidR="000601AE" w:rsidRDefault="00C57E93">
      <w:pPr>
        <w:pStyle w:val="Zkladntext1"/>
        <w:spacing w:after="0" w:line="322" w:lineRule="auto"/>
      </w:pPr>
      <w:r>
        <w:rPr>
          <w:b/>
          <w:bCs/>
        </w:rPr>
        <w:t>Měna</w:t>
      </w:r>
    </w:p>
    <w:p w14:paraId="0F741E8A" w14:textId="77777777" w:rsidR="000601AE" w:rsidRDefault="00C57E93">
      <w:pPr>
        <w:pStyle w:val="Zkladntext1"/>
        <w:spacing w:after="0" w:line="322" w:lineRule="auto"/>
      </w:pPr>
      <w:r>
        <w:rPr>
          <w:b/>
          <w:bCs/>
        </w:rPr>
        <w:t>Termín dodávky komodity</w:t>
      </w:r>
    </w:p>
    <w:p w14:paraId="74C44B94" w14:textId="77777777" w:rsidR="000601AE" w:rsidRDefault="00C57E93">
      <w:pPr>
        <w:pStyle w:val="Zkladntext1"/>
        <w:spacing w:after="0" w:line="322" w:lineRule="auto"/>
      </w:pPr>
      <w:r>
        <w:rPr>
          <w:b/>
          <w:bCs/>
        </w:rPr>
        <w:t>Celkový předpokládaný odběr aukce*</w:t>
      </w:r>
    </w:p>
    <w:p w14:paraId="2994567E" w14:textId="77777777" w:rsidR="000601AE" w:rsidRDefault="00C57E93">
      <w:pPr>
        <w:pStyle w:val="Zkladntext1"/>
        <w:spacing w:after="0" w:line="322" w:lineRule="auto"/>
      </w:pPr>
      <w:r>
        <w:rPr>
          <w:b/>
          <w:bCs/>
        </w:rPr>
        <w:t>Celkový předpokládaný odběr odběratele*</w:t>
      </w:r>
    </w:p>
    <w:p w14:paraId="3AC6DEA4" w14:textId="77777777" w:rsidR="000601AE" w:rsidRDefault="00C57E93">
      <w:pPr>
        <w:pStyle w:val="Zkladntext1"/>
        <w:spacing w:after="80"/>
      </w:pPr>
      <w:r>
        <w:t>Zemní plyn</w:t>
      </w:r>
    </w:p>
    <w:p w14:paraId="7A57FC43" w14:textId="77777777" w:rsidR="000601AE" w:rsidRDefault="00C57E93">
      <w:pPr>
        <w:pStyle w:val="Zkladntext1"/>
        <w:spacing w:after="80"/>
      </w:pPr>
      <w:r>
        <w:t xml:space="preserve">Násobící koeficient: </w:t>
      </w:r>
      <w:r>
        <w:rPr>
          <w:b/>
          <w:bCs/>
        </w:rPr>
        <w:t>1,09</w:t>
      </w:r>
    </w:p>
    <w:p w14:paraId="1C758982" w14:textId="77777777" w:rsidR="000601AE" w:rsidRDefault="00C57E93">
      <w:pPr>
        <w:pStyle w:val="Zkladntext1"/>
        <w:spacing w:after="80"/>
      </w:pPr>
      <w:r>
        <w:t>CZK</w:t>
      </w:r>
    </w:p>
    <w:p w14:paraId="6428FABE" w14:textId="77777777" w:rsidR="000601AE" w:rsidRDefault="00C57E93">
      <w:pPr>
        <w:pStyle w:val="Zkladntext1"/>
        <w:spacing w:after="80"/>
      </w:pPr>
      <w:r>
        <w:t xml:space="preserve">od: </w:t>
      </w:r>
      <w:r>
        <w:rPr>
          <w:b/>
          <w:bCs/>
        </w:rPr>
        <w:t xml:space="preserve">01.01.2022 </w:t>
      </w:r>
      <w:r>
        <w:t xml:space="preserve">do: </w:t>
      </w:r>
      <w:r>
        <w:rPr>
          <w:b/>
          <w:bCs/>
        </w:rPr>
        <w:t>01.01.2023</w:t>
      </w:r>
    </w:p>
    <w:p w14:paraId="132845E9" w14:textId="77777777" w:rsidR="000601AE" w:rsidRDefault="00C57E93">
      <w:pPr>
        <w:pStyle w:val="Zkladntext1"/>
        <w:spacing w:after="360"/>
      </w:pPr>
      <w:r>
        <w:rPr>
          <w:b/>
          <w:bCs/>
        </w:rPr>
        <w:t xml:space="preserve">86.925,113 </w:t>
      </w:r>
      <w:proofErr w:type="spellStart"/>
      <w:r>
        <w:rPr>
          <w:b/>
          <w:bCs/>
        </w:rPr>
        <w:t>MWh</w:t>
      </w:r>
      <w:proofErr w:type="spellEnd"/>
    </w:p>
    <w:p w14:paraId="0B0EAAEE" w14:textId="77777777" w:rsidR="000601AE" w:rsidRDefault="00C57E93">
      <w:pPr>
        <w:pStyle w:val="Nadpis20"/>
        <w:keepNext/>
        <w:keepLines/>
        <w:spacing w:after="0"/>
        <w:sectPr w:rsidR="000601AE">
          <w:type w:val="continuous"/>
          <w:pgSz w:w="11900" w:h="16840"/>
          <w:pgMar w:top="1951" w:right="4973" w:bottom="1712" w:left="1095" w:header="0" w:footer="3" w:gutter="0"/>
          <w:cols w:num="2" w:space="371"/>
          <w:noEndnote/>
          <w:docGrid w:linePitch="360"/>
        </w:sectPr>
      </w:pPr>
      <w:bookmarkStart w:id="6" w:name="bookmark6"/>
      <w:bookmarkStart w:id="7" w:name="bookmark7"/>
      <w:bookmarkStart w:id="8" w:name="bookmark8"/>
      <w:r>
        <w:t xml:space="preserve">305,359 </w:t>
      </w:r>
      <w:proofErr w:type="spellStart"/>
      <w:r>
        <w:t>MWh</w:t>
      </w:r>
      <w:bookmarkEnd w:id="6"/>
      <w:bookmarkEnd w:id="7"/>
      <w:bookmarkEnd w:id="8"/>
      <w:proofErr w:type="spellEnd"/>
    </w:p>
    <w:p w14:paraId="4CC0112D" w14:textId="77777777" w:rsidR="000601AE" w:rsidRDefault="00C57E93">
      <w:pPr>
        <w:pStyle w:val="Zkladntext1"/>
        <w:spacing w:after="40" w:line="317" w:lineRule="auto"/>
        <w:jc w:val="both"/>
      </w:pPr>
      <w:r>
        <w:t>Dodávka bude uskutečněna na základě podmínek dodávky komodity stanovených odběratelem v poptávce. Nestanovil-li odběratel v poptávce jinak, platí referenční obchodní podmínky obsažené v příslušné příloze Burzovních pravidel pro trh s komoditami pro konečné zákazníky vydaných PXE. Podmínky dodávky jsou uvedeny v plném znění v tomto závěrkovém listu a/nebo jeho příloze.</w:t>
      </w:r>
    </w:p>
    <w:p w14:paraId="7F5FC555" w14:textId="77777777" w:rsidR="000601AE" w:rsidRDefault="00C57E93">
      <w:pPr>
        <w:pStyle w:val="Zkladntext1"/>
        <w:spacing w:after="380" w:line="317" w:lineRule="auto"/>
        <w:jc w:val="both"/>
      </w:pPr>
      <w:r>
        <w:t xml:space="preserve">‘Celkový </w:t>
      </w:r>
      <w:proofErr w:type="spellStart"/>
      <w:r>
        <w:t>předpokládáný</w:t>
      </w:r>
      <w:proofErr w:type="spellEnd"/>
      <w:r>
        <w:t xml:space="preserve"> odběr není upraven o přípustnou toleranci odběru.</w:t>
      </w:r>
    </w:p>
    <w:p w14:paraId="182253DA" w14:textId="77777777" w:rsidR="000601AE" w:rsidRDefault="00C57E93">
      <w:pPr>
        <w:pStyle w:val="Nadpis10"/>
        <w:keepNext/>
        <w:keepLines/>
        <w:spacing w:after="160"/>
        <w:jc w:val="both"/>
      </w:pPr>
      <w:bookmarkStart w:id="9" w:name="bookmark10"/>
      <w:bookmarkStart w:id="10" w:name="bookmark11"/>
      <w:bookmarkStart w:id="11" w:name="bookmark9"/>
      <w:r>
        <w:t>C. Burzovní dohodce PXE, který obchod zprostředkoval a vystavil závěrkový list</w:t>
      </w:r>
      <w:bookmarkEnd w:id="9"/>
      <w:bookmarkEnd w:id="10"/>
      <w:bookmarkEnd w:id="11"/>
    </w:p>
    <w:p w14:paraId="77F7A357" w14:textId="64578E26" w:rsidR="000601AE" w:rsidRDefault="00C57E93">
      <w:pPr>
        <w:pStyle w:val="Zkladntext1"/>
        <w:spacing w:after="1820"/>
        <w:jc w:val="both"/>
      </w:pPr>
      <w:r>
        <w:rPr>
          <w:noProof/>
        </w:rPr>
        <mc:AlternateContent>
          <mc:Choice Requires="wps">
            <w:drawing>
              <wp:anchor distT="0" distB="0" distL="114300" distR="114300" simplePos="0" relativeHeight="125829381" behindDoc="0" locked="0" layoutInCell="1" allowOverlap="1" wp14:anchorId="7DFD1C12" wp14:editId="0DF542FD">
                <wp:simplePos x="0" y="0"/>
                <wp:positionH relativeFrom="page">
                  <wp:posOffset>673735</wp:posOffset>
                </wp:positionH>
                <wp:positionV relativeFrom="paragraph">
                  <wp:posOffset>1028700</wp:posOffset>
                </wp:positionV>
                <wp:extent cx="948055" cy="102108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948055" cy="1021080"/>
                        </a:xfrm>
                        <a:prstGeom prst="rect">
                          <a:avLst/>
                        </a:prstGeom>
                        <a:noFill/>
                      </wps:spPr>
                      <wps:txbx>
                        <w:txbxContent>
                          <w:p w14:paraId="143BC9A4" w14:textId="77777777" w:rsidR="000601AE" w:rsidRDefault="00C57E93">
                            <w:pPr>
                              <w:pStyle w:val="Zkladntext20"/>
                              <w:spacing w:after="180"/>
                            </w:pPr>
                            <w:r>
                              <w:t>D. Dodavatel</w:t>
                            </w:r>
                          </w:p>
                          <w:p w14:paraId="54B35844" w14:textId="77777777" w:rsidR="000601AE" w:rsidRDefault="00C57E93">
                            <w:pPr>
                              <w:pStyle w:val="Zkladntext1"/>
                              <w:spacing w:after="0" w:line="317" w:lineRule="auto"/>
                            </w:pPr>
                            <w:r>
                              <w:rPr>
                                <w:b/>
                                <w:bCs/>
                              </w:rPr>
                              <w:t>Obchodní firma Sídlo IČO</w:t>
                            </w:r>
                          </w:p>
                          <w:p w14:paraId="7F4E11AD" w14:textId="77777777" w:rsidR="000601AE" w:rsidRDefault="00C57E93">
                            <w:pPr>
                              <w:pStyle w:val="Zkladntext1"/>
                              <w:spacing w:after="0" w:line="317" w:lineRule="auto"/>
                            </w:pPr>
                            <w:r>
                              <w:rPr>
                                <w:b/>
                                <w:bCs/>
                              </w:rPr>
                              <w:t>DIČ</w:t>
                            </w:r>
                          </w:p>
                        </w:txbxContent>
                      </wps:txbx>
                      <wps:bodyPr lIns="0" tIns="0" rIns="0" bIns="0"/>
                    </wps:wsp>
                  </a:graphicData>
                </a:graphic>
              </wp:anchor>
            </w:drawing>
          </mc:Choice>
          <mc:Fallback>
            <w:pict>
              <v:shapetype w14:anchorId="7DFD1C12" id="_x0000_t202" coordsize="21600,21600" o:spt="202" path="m,l,21600r21600,l21600,xe">
                <v:stroke joinstyle="miter"/>
                <v:path gradientshapeok="t" o:connecttype="rect"/>
              </v:shapetype>
              <v:shape id="Shape 13" o:spid="_x0000_s1027" type="#_x0000_t202" style="position:absolute;left:0;text-align:left;margin-left:53.05pt;margin-top:81pt;width:74.65pt;height:80.4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" filled="f" stroked="f">
                <v:textbox inset="0,0,0,0">
                  <w:txbxContent>
                    <w:p w14:paraId="143BC9A4" w14:textId="77777777" w:rsidR="000601AE" w:rsidRDefault="00C57E93">
                      <w:pPr>
                        <w:pStyle w:val="Zkladntext20"/>
                        <w:spacing w:after="180"/>
                      </w:pPr>
                      <w:r>
                        <w:t>D. Dodavatel</w:t>
                      </w:r>
                    </w:p>
                    <w:p w14:paraId="54B35844" w14:textId="77777777" w:rsidR="000601AE" w:rsidRDefault="00C57E93">
                      <w:pPr>
                        <w:pStyle w:val="Zkladntext1"/>
                        <w:spacing w:after="0" w:line="317" w:lineRule="auto"/>
                      </w:pPr>
                      <w:r>
                        <w:rPr>
                          <w:b/>
                          <w:bCs/>
                        </w:rPr>
                        <w:t>Obchodní firma Sídlo IČO</w:t>
                      </w:r>
                    </w:p>
                    <w:p w14:paraId="7F4E11AD" w14:textId="77777777" w:rsidR="000601AE" w:rsidRDefault="00C57E93">
                      <w:pPr>
                        <w:pStyle w:val="Zkladntext1"/>
                        <w:spacing w:after="0" w:line="317" w:lineRule="auto"/>
                      </w:pPr>
                      <w:r>
                        <w:rPr>
                          <w:b/>
                          <w:bCs/>
                        </w:rPr>
                        <w:t>DIČ</w:t>
                      </w:r>
                    </w:p>
                  </w:txbxContent>
                </v:textbox>
                <w10:wrap type="square" side="right" anchorx="page"/>
              </v:shape>
            </w:pict>
          </mc:Fallback>
        </mc:AlternateContent>
      </w:r>
      <w:r>
        <w:rPr>
          <w:b/>
          <w:bCs/>
        </w:rPr>
        <w:t xml:space="preserve">Jméno </w:t>
      </w:r>
      <w:r>
        <w:t xml:space="preserve">a </w:t>
      </w:r>
      <w:r>
        <w:rPr>
          <w:b/>
          <w:bCs/>
        </w:rPr>
        <w:t xml:space="preserve">příjmení </w:t>
      </w:r>
      <w:proofErr w:type="spellStart"/>
      <w:r w:rsidR="00643BD0">
        <w:t>xxxxxxxx</w:t>
      </w:r>
      <w:proofErr w:type="spellEnd"/>
    </w:p>
    <w:p w14:paraId="724235F1" w14:textId="77777777" w:rsidR="000601AE" w:rsidRDefault="00C57E93">
      <w:pPr>
        <w:pStyle w:val="Zkladntext1"/>
        <w:spacing w:after="0" w:line="317" w:lineRule="auto"/>
        <w:ind w:left="1520"/>
        <w:jc w:val="both"/>
      </w:pPr>
      <w:r>
        <w:t>380 - Pražská plynárenská, a.s.</w:t>
      </w:r>
    </w:p>
    <w:p w14:paraId="711C49C5" w14:textId="77777777" w:rsidR="000601AE" w:rsidRDefault="00C57E93">
      <w:pPr>
        <w:pStyle w:val="Zkladntext1"/>
        <w:spacing w:after="0" w:line="317" w:lineRule="auto"/>
        <w:ind w:left="1520"/>
        <w:jc w:val="both"/>
      </w:pPr>
      <w:r>
        <w:t>Národní 37, Praha 1, 110 00, Česká republika 60193492</w:t>
      </w:r>
    </w:p>
    <w:p w14:paraId="65470812" w14:textId="77777777" w:rsidR="000601AE" w:rsidRDefault="00C57E93">
      <w:pPr>
        <w:pStyle w:val="Zkladntext1"/>
        <w:spacing w:after="460" w:line="317" w:lineRule="auto"/>
        <w:ind w:left="1520"/>
        <w:jc w:val="both"/>
      </w:pPr>
      <w:r>
        <w:t>CZ60193492</w:t>
      </w:r>
    </w:p>
    <w:p w14:paraId="710D7DF7" w14:textId="77777777" w:rsidR="000601AE" w:rsidRDefault="00C57E93">
      <w:pPr>
        <w:pStyle w:val="Nadpis10"/>
        <w:keepNext/>
        <w:keepLines/>
        <w:numPr>
          <w:ilvl w:val="0"/>
          <w:numId w:val="1"/>
        </w:numPr>
        <w:tabs>
          <w:tab w:val="left" w:pos="363"/>
        </w:tabs>
        <w:spacing w:after="160"/>
        <w:jc w:val="both"/>
      </w:pPr>
      <w:bookmarkStart w:id="12" w:name="bookmark14"/>
      <w:bookmarkStart w:id="13" w:name="bookmark12"/>
      <w:bookmarkStart w:id="14" w:name="bookmark13"/>
      <w:bookmarkStart w:id="15" w:name="bookmark15"/>
      <w:bookmarkEnd w:id="12"/>
      <w:r>
        <w:t>Odběratel</w:t>
      </w:r>
      <w:bookmarkEnd w:id="13"/>
      <w:bookmarkEnd w:id="14"/>
      <w:bookmarkEnd w:id="15"/>
    </w:p>
    <w:p w14:paraId="2DA66E5C" w14:textId="77777777" w:rsidR="000601AE" w:rsidRDefault="00C57E93">
      <w:pPr>
        <w:pStyle w:val="Zkladntext1"/>
        <w:spacing w:after="280"/>
        <w:ind w:firstLine="840"/>
        <w:jc w:val="both"/>
      </w:pPr>
      <w:r>
        <w:rPr>
          <w:noProof/>
        </w:rPr>
        <mc:AlternateContent>
          <mc:Choice Requires="wps">
            <w:drawing>
              <wp:anchor distT="0" distB="0" distL="114300" distR="114300" simplePos="0" relativeHeight="125829383" behindDoc="0" locked="0" layoutInCell="1" allowOverlap="1" wp14:anchorId="6F3D4CF6" wp14:editId="1DBE69D6">
                <wp:simplePos x="0" y="0"/>
                <wp:positionH relativeFrom="page">
                  <wp:posOffset>688975</wp:posOffset>
                </wp:positionH>
                <wp:positionV relativeFrom="paragraph">
                  <wp:posOffset>12700</wp:posOffset>
                </wp:positionV>
                <wp:extent cx="1368425" cy="14922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368425" cy="149225"/>
                        </a:xfrm>
                        <a:prstGeom prst="rect">
                          <a:avLst/>
                        </a:prstGeom>
                        <a:noFill/>
                      </wps:spPr>
                      <wps:txbx>
                        <w:txbxContent>
                          <w:p w14:paraId="0239B8EE" w14:textId="77777777" w:rsidR="000601AE" w:rsidRDefault="00C57E93">
                            <w:pPr>
                              <w:pStyle w:val="Zkladntext1"/>
                              <w:spacing w:after="0"/>
                            </w:pPr>
                            <w:r>
                              <w:rPr>
                                <w:b/>
                                <w:bCs/>
                              </w:rPr>
                              <w:t>Obchodní firma / název</w:t>
                            </w:r>
                          </w:p>
                        </w:txbxContent>
                      </wps:txbx>
                      <wps:bodyPr wrap="none" lIns="0" tIns="0" rIns="0" bIns="0"/>
                    </wps:wsp>
                  </a:graphicData>
                </a:graphic>
              </wp:anchor>
            </w:drawing>
          </mc:Choice>
          <mc:Fallback>
            <w:pict>
              <v:shape w14:anchorId="6F3D4CF6" id="Shape 15" o:spid="_x0000_s1028" type="#_x0000_t202" style="position:absolute;left:0;text-align:left;margin-left:54.25pt;margin-top:1pt;width:107.75pt;height:11.75pt;z-index:12582938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" filled="f" stroked="f">
                <v:textbox inset="0,0,0,0">
                  <w:txbxContent>
                    <w:p w14:paraId="0239B8EE" w14:textId="77777777" w:rsidR="000601AE" w:rsidRDefault="00C57E93">
                      <w:pPr>
                        <w:pStyle w:val="Zkladntext1"/>
                        <w:spacing w:after="0"/>
                      </w:pPr>
                      <w:r>
                        <w:rPr>
                          <w:b/>
                          <w:bCs/>
                        </w:rPr>
                        <w:t>Obchodní firma / název</w:t>
                      </w:r>
                    </w:p>
                  </w:txbxContent>
                </v:textbox>
                <w10:wrap type="square" side="right" anchorx="page"/>
              </v:shape>
            </w:pict>
          </mc:Fallback>
        </mc:AlternateContent>
      </w:r>
      <w:r>
        <w:t xml:space="preserve">8671 - Centrum dopravního výzkumu, </w:t>
      </w:r>
      <w:proofErr w:type="spellStart"/>
      <w:r>
        <w:t>v.v.i</w:t>
      </w:r>
      <w:proofErr w:type="spellEnd"/>
      <w:r>
        <w:t>.</w:t>
      </w:r>
      <w:r>
        <w:br w:type="page"/>
      </w:r>
    </w:p>
    <w:p w14:paraId="64E47C30" w14:textId="77777777" w:rsidR="000601AE" w:rsidRDefault="00C57E93">
      <w:pPr>
        <w:pStyle w:val="Zkladntext1"/>
        <w:spacing w:after="0" w:line="317" w:lineRule="auto"/>
        <w:ind w:left="760" w:firstLine="20"/>
        <w:sectPr w:rsidR="000601AE">
          <w:type w:val="continuous"/>
          <w:pgSz w:w="11900" w:h="16840"/>
          <w:pgMar w:top="1874" w:right="1274" w:bottom="1713" w:left="1054" w:header="0" w:footer="3" w:gutter="0"/>
          <w:cols w:space="720"/>
          <w:noEndnote/>
          <w:docGrid w:linePitch="360"/>
        </w:sectPr>
      </w:pPr>
      <w:r>
        <w:rPr>
          <w:noProof/>
        </w:rPr>
        <w:lastRenderedPageBreak/>
        <mc:AlternateContent>
          <mc:Choice Requires="wps">
            <w:drawing>
              <wp:anchor distT="0" distB="0" distL="114300" distR="114300" simplePos="0" relativeHeight="125829385" behindDoc="0" locked="0" layoutInCell="1" allowOverlap="1" wp14:anchorId="2CEF02F2" wp14:editId="6850CD56">
                <wp:simplePos x="0" y="0"/>
                <wp:positionH relativeFrom="page">
                  <wp:posOffset>711835</wp:posOffset>
                </wp:positionH>
                <wp:positionV relativeFrom="margin">
                  <wp:posOffset>39370</wp:posOffset>
                </wp:positionV>
                <wp:extent cx="1414145" cy="69786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414145" cy="697865"/>
                        </a:xfrm>
                        <a:prstGeom prst="rect">
                          <a:avLst/>
                        </a:prstGeom>
                        <a:noFill/>
                      </wps:spPr>
                      <wps:txbx>
                        <w:txbxContent>
                          <w:p w14:paraId="4BD71F97" w14:textId="77777777" w:rsidR="000601AE" w:rsidRDefault="00C57E93">
                            <w:pPr>
                              <w:pStyle w:val="Zkladntext1"/>
                            </w:pPr>
                            <w:proofErr w:type="spellStart"/>
                            <w:r>
                              <w:rPr>
                                <w:b/>
                                <w:bCs/>
                              </w:rPr>
                              <w:t>Sidlo</w:t>
                            </w:r>
                            <w:proofErr w:type="spellEnd"/>
                          </w:p>
                          <w:p w14:paraId="16E3AFC3" w14:textId="77777777" w:rsidR="000601AE" w:rsidRDefault="00C57E93">
                            <w:pPr>
                              <w:pStyle w:val="Zkladntext1"/>
                            </w:pPr>
                            <w:r>
                              <w:rPr>
                                <w:b/>
                                <w:bCs/>
                              </w:rPr>
                              <w:t>Korespondenční adresa</w:t>
                            </w:r>
                          </w:p>
                          <w:p w14:paraId="37DA7F64" w14:textId="77777777" w:rsidR="000601AE" w:rsidRDefault="00C57E93">
                            <w:pPr>
                              <w:pStyle w:val="Zkladntext1"/>
                            </w:pPr>
                            <w:r>
                              <w:rPr>
                                <w:b/>
                                <w:bCs/>
                              </w:rPr>
                              <w:t>IČO/DIČ</w:t>
                            </w:r>
                          </w:p>
                          <w:p w14:paraId="5455F7F8" w14:textId="77777777" w:rsidR="000601AE" w:rsidRDefault="00C57E93">
                            <w:pPr>
                              <w:pStyle w:val="Zkladntext1"/>
                            </w:pPr>
                            <w:r>
                              <w:rPr>
                                <w:b/>
                                <w:bCs/>
                              </w:rPr>
                              <w:t>Číslo účtu</w:t>
                            </w:r>
                          </w:p>
                        </w:txbxContent>
                      </wps:txbx>
                      <wps:bodyPr lIns="0" tIns="0" rIns="0" bIns="0"/>
                    </wps:wsp>
                  </a:graphicData>
                </a:graphic>
              </wp:anchor>
            </w:drawing>
          </mc:Choice>
          <mc:Fallback>
            <w:pict>
              <v:shape w14:anchorId="2CEF02F2" id="Shape 17" o:spid="_x0000_s1029" type="#_x0000_t202" style="position:absolute;left:0;text-align:left;margin-left:56.05pt;margin-top:3.1pt;width:111.35pt;height:54.95pt;z-index:125829385;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" filled="f" stroked="f">
                <v:textbox inset="0,0,0,0">
                  <w:txbxContent>
                    <w:p w14:paraId="4BD71F97" w14:textId="77777777" w:rsidR="000601AE" w:rsidRDefault="00C57E93">
                      <w:pPr>
                        <w:pStyle w:val="Zkladntext1"/>
                      </w:pPr>
                      <w:r>
                        <w:rPr>
                          <w:b/>
                          <w:bCs/>
                        </w:rPr>
                        <w:t>Sidlo</w:t>
                      </w:r>
                    </w:p>
                    <w:p w14:paraId="16E3AFC3" w14:textId="77777777" w:rsidR="000601AE" w:rsidRDefault="00C57E93">
                      <w:pPr>
                        <w:pStyle w:val="Zkladntext1"/>
                      </w:pPr>
                      <w:r>
                        <w:rPr>
                          <w:b/>
                          <w:bCs/>
                        </w:rPr>
                        <w:t>Korespondenční adresa</w:t>
                      </w:r>
                    </w:p>
                    <w:p w14:paraId="37DA7F64" w14:textId="77777777" w:rsidR="000601AE" w:rsidRDefault="00C57E93">
                      <w:pPr>
                        <w:pStyle w:val="Zkladntext1"/>
                      </w:pPr>
                      <w:r>
                        <w:rPr>
                          <w:b/>
                          <w:bCs/>
                        </w:rPr>
                        <w:t>IČO/DIČ</w:t>
                      </w:r>
                    </w:p>
                    <w:p w14:paraId="5455F7F8" w14:textId="77777777" w:rsidR="000601AE" w:rsidRDefault="00C57E93">
                      <w:pPr>
                        <w:pStyle w:val="Zkladntext1"/>
                      </w:pPr>
                      <w:r>
                        <w:rPr>
                          <w:b/>
                          <w:bCs/>
                        </w:rPr>
                        <w:t>Číslo účtu</w:t>
                      </w:r>
                    </w:p>
                  </w:txbxContent>
                </v:textbox>
                <w10:wrap type="square" side="right" anchorx="page" anchory="margin"/>
              </v:shape>
            </w:pict>
          </mc:Fallback>
        </mc:AlternateContent>
      </w:r>
      <w:r>
        <w:t>Líšeňská 2657/</w:t>
      </w:r>
      <w:proofErr w:type="gramStart"/>
      <w:r>
        <w:t>33a</w:t>
      </w:r>
      <w:proofErr w:type="gramEnd"/>
      <w:r>
        <w:t>, Brno, 63600, Česká republika Líšeňská 2657, Brno, 63600, Česká republika 44994575 / CZ44994575 100736621/0100</w:t>
      </w:r>
    </w:p>
    <w:p w14:paraId="2C7D2331" w14:textId="77777777" w:rsidR="000601AE" w:rsidRDefault="00C57E93">
      <w:pPr>
        <w:pStyle w:val="Nadpis10"/>
        <w:keepNext/>
        <w:keepLines/>
        <w:numPr>
          <w:ilvl w:val="0"/>
          <w:numId w:val="1"/>
        </w:numPr>
        <w:tabs>
          <w:tab w:val="left" w:pos="294"/>
        </w:tabs>
        <w:spacing w:after="0" w:line="276" w:lineRule="auto"/>
        <w:jc w:val="both"/>
      </w:pPr>
      <w:bookmarkStart w:id="16" w:name="bookmark18"/>
      <w:bookmarkStart w:id="17" w:name="bookmark16"/>
      <w:bookmarkStart w:id="18" w:name="bookmark17"/>
      <w:bookmarkStart w:id="19" w:name="bookmark19"/>
      <w:bookmarkEnd w:id="16"/>
      <w:r>
        <w:lastRenderedPageBreak/>
        <w:t>Dodatečné podmínky upravující předmět poptávky a fakturaci</w:t>
      </w:r>
      <w:bookmarkEnd w:id="17"/>
      <w:bookmarkEnd w:id="18"/>
      <w:bookmarkEnd w:id="19"/>
    </w:p>
    <w:p w14:paraId="57BBDBE7" w14:textId="77777777" w:rsidR="000601AE" w:rsidRDefault="00C57E93">
      <w:pPr>
        <w:pStyle w:val="Zkladntext1"/>
        <w:numPr>
          <w:ilvl w:val="0"/>
          <w:numId w:val="2"/>
        </w:numPr>
        <w:tabs>
          <w:tab w:val="left" w:pos="265"/>
        </w:tabs>
        <w:spacing w:after="180" w:line="317" w:lineRule="auto"/>
        <w:jc w:val="both"/>
      </w:pPr>
      <w:bookmarkStart w:id="20" w:name="bookmark20"/>
      <w:bookmarkEnd w:id="20"/>
      <w:r>
        <w:t>případě rozporu mezi referenčními podmínkami dodávky a dodatečnými podmínkami upravující předmět poptávky a fakturaci platí vždy dodatečné podmínky.</w:t>
      </w:r>
    </w:p>
    <w:p w14:paraId="5CF0033C" w14:textId="77777777" w:rsidR="000601AE" w:rsidRDefault="00C57E93">
      <w:pPr>
        <w:pStyle w:val="Nadpis20"/>
        <w:keepNext/>
        <w:keepLines/>
        <w:spacing w:after="0" w:line="319" w:lineRule="auto"/>
        <w:jc w:val="both"/>
      </w:pPr>
      <w:bookmarkStart w:id="21" w:name="bookmark21"/>
      <w:bookmarkStart w:id="22" w:name="bookmark22"/>
      <w:bookmarkStart w:id="23" w:name="bookmark23"/>
      <w:r>
        <w:t>Definice fixace ceny dodávky</w:t>
      </w:r>
      <w:bookmarkEnd w:id="21"/>
      <w:bookmarkEnd w:id="22"/>
      <w:bookmarkEnd w:id="23"/>
    </w:p>
    <w:p w14:paraId="7EB8F839" w14:textId="77777777" w:rsidR="000601AE" w:rsidRDefault="00C57E93">
      <w:pPr>
        <w:pStyle w:val="Zkladntext1"/>
        <w:spacing w:after="180" w:line="319" w:lineRule="auto"/>
        <w:jc w:val="both"/>
      </w:pPr>
      <w:r>
        <w:t>Výsledná jednotková cena dodávky komodity pro dodávkové období se vypočte jako aritmetický průměr cen všech kroků fixace (tranší). Cena kroku fixace je dána jako součin násobícího koeficientu a ceny Referenčního kontraktu, vůči které je cena komodity zafixována pro daný krok fixace.</w:t>
      </w:r>
    </w:p>
    <w:p w14:paraId="1917A456" w14:textId="77777777" w:rsidR="000601AE" w:rsidRDefault="00C57E93">
      <w:pPr>
        <w:pStyle w:val="Zkladntext1"/>
        <w:numPr>
          <w:ilvl w:val="0"/>
          <w:numId w:val="2"/>
        </w:numPr>
        <w:tabs>
          <w:tab w:val="left" w:pos="270"/>
        </w:tabs>
        <w:spacing w:after="180" w:line="317" w:lineRule="auto"/>
        <w:jc w:val="both"/>
      </w:pPr>
      <w:bookmarkStart w:id="24" w:name="bookmark24"/>
      <w:bookmarkEnd w:id="24"/>
      <w:r>
        <w:t>případě fixace ceny typu "Aktuální", je cenou Referenčního kontraktu, vůči které je cena komodity zafixována pro daný krok fixace, aktuální nejnižší prodejní cena Referenčního kontraktu na trhu skupiny EEX v čase fixace.</w:t>
      </w:r>
    </w:p>
    <w:p w14:paraId="3B083402" w14:textId="77777777" w:rsidR="000601AE" w:rsidRDefault="00C57E93">
      <w:pPr>
        <w:pStyle w:val="Zkladntext1"/>
        <w:numPr>
          <w:ilvl w:val="0"/>
          <w:numId w:val="2"/>
        </w:numPr>
        <w:tabs>
          <w:tab w:val="left" w:pos="270"/>
        </w:tabs>
        <w:spacing w:after="180" w:line="322" w:lineRule="auto"/>
        <w:jc w:val="both"/>
      </w:pPr>
      <w:bookmarkStart w:id="25" w:name="bookmark25"/>
      <w:bookmarkEnd w:id="25"/>
      <w:r>
        <w:t>případě fixace ceny typu "Zavírací", je cenou Referenčního kontraktu, vůči které je cena komodity zafixována pro daný krok fixace, zavírací cena Referenčního kontraktu na příslušném trhu skupiny EEX platná v den fixace.</w:t>
      </w:r>
    </w:p>
    <w:p w14:paraId="44C0167B" w14:textId="77777777" w:rsidR="000601AE" w:rsidRDefault="00C57E93">
      <w:pPr>
        <w:pStyle w:val="Zkladntext1"/>
        <w:numPr>
          <w:ilvl w:val="0"/>
          <w:numId w:val="2"/>
        </w:numPr>
        <w:tabs>
          <w:tab w:val="left" w:pos="274"/>
        </w:tabs>
        <w:spacing w:after="180" w:line="317" w:lineRule="auto"/>
        <w:jc w:val="both"/>
      </w:pPr>
      <w:bookmarkStart w:id="26" w:name="bookmark26"/>
      <w:bookmarkEnd w:id="26"/>
      <w:r>
        <w:t>případě fixace ceny typu "Zavírací periodická", je cenou Referenčního kontraktu, vůči které je cena komodity zafixována pro daný krok fixace, zavírací cena Referenčního kontraktu na příslušném trhu skupiny EEX platná v den fixace s tím, že u tohoto typu fixace se fixace ceny provede automaticky ve všech obchodních dnech fixačního období.</w:t>
      </w:r>
    </w:p>
    <w:p w14:paraId="182B39CA" w14:textId="77777777" w:rsidR="000601AE" w:rsidRDefault="00C57E93">
      <w:pPr>
        <w:pStyle w:val="Zkladntext1"/>
        <w:spacing w:after="260"/>
      </w:pPr>
      <w:r>
        <w:t>Objem 1 fixačního kroku pro jednotlivá dílčí dodávková období je uveden v tabulce níže.</w:t>
      </w:r>
    </w:p>
    <w:p w14:paraId="4D54AA56" w14:textId="77777777" w:rsidR="000601AE" w:rsidRDefault="00C57E93">
      <w:pPr>
        <w:pStyle w:val="Titulektabulky0"/>
      </w:pPr>
      <w:r>
        <w:t>Fixace se provede dle následujících pravidel: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1426"/>
        <w:gridCol w:w="1176"/>
        <w:gridCol w:w="1483"/>
        <w:gridCol w:w="1402"/>
        <w:gridCol w:w="1099"/>
        <w:gridCol w:w="1507"/>
      </w:tblGrid>
      <w:tr w:rsidR="000601AE" w14:paraId="5DDC87B8" w14:textId="77777777">
        <w:trPr>
          <w:trHeight w:hRule="exact" w:val="254"/>
          <w:jc w:val="center"/>
        </w:trPr>
        <w:tc>
          <w:tcPr>
            <w:tcW w:w="1214" w:type="dxa"/>
            <w:shd w:val="clear" w:color="auto" w:fill="FFFFFF"/>
          </w:tcPr>
          <w:p w14:paraId="441788AC" w14:textId="77777777" w:rsidR="000601AE" w:rsidRDefault="00C57E93">
            <w:pPr>
              <w:pStyle w:val="Jin0"/>
              <w:spacing w:after="0"/>
            </w:pPr>
            <w:r>
              <w:rPr>
                <w:b/>
                <w:bCs/>
              </w:rPr>
              <w:t>Dodávkové</w:t>
            </w:r>
          </w:p>
        </w:tc>
        <w:tc>
          <w:tcPr>
            <w:tcW w:w="1426" w:type="dxa"/>
            <w:shd w:val="clear" w:color="auto" w:fill="FFFFFF"/>
          </w:tcPr>
          <w:p w14:paraId="55E309BF" w14:textId="77777777" w:rsidR="000601AE" w:rsidRDefault="00C57E93">
            <w:pPr>
              <w:pStyle w:val="Jin0"/>
              <w:spacing w:after="0"/>
              <w:ind w:firstLine="140"/>
            </w:pPr>
            <w:r>
              <w:rPr>
                <w:b/>
                <w:bCs/>
              </w:rPr>
              <w:t>Referenční</w:t>
            </w:r>
          </w:p>
        </w:tc>
        <w:tc>
          <w:tcPr>
            <w:tcW w:w="1176" w:type="dxa"/>
            <w:shd w:val="clear" w:color="auto" w:fill="FFFFFF"/>
          </w:tcPr>
          <w:p w14:paraId="01F9C75F" w14:textId="77777777" w:rsidR="000601AE" w:rsidRDefault="00C57E93">
            <w:pPr>
              <w:pStyle w:val="Jin0"/>
              <w:spacing w:after="0"/>
            </w:pPr>
            <w:r>
              <w:rPr>
                <w:b/>
                <w:bCs/>
              </w:rPr>
              <w:t>Typ ceny</w:t>
            </w:r>
          </w:p>
        </w:tc>
        <w:tc>
          <w:tcPr>
            <w:tcW w:w="1483" w:type="dxa"/>
            <w:shd w:val="clear" w:color="auto" w:fill="FFFFFF"/>
          </w:tcPr>
          <w:p w14:paraId="666238F6" w14:textId="77777777" w:rsidR="000601AE" w:rsidRDefault="00C57E93">
            <w:pPr>
              <w:pStyle w:val="Jin0"/>
              <w:spacing w:after="0"/>
              <w:ind w:firstLine="260"/>
            </w:pPr>
            <w:r>
              <w:rPr>
                <w:b/>
                <w:bCs/>
              </w:rPr>
              <w:t>Počet kroků</w:t>
            </w:r>
          </w:p>
        </w:tc>
        <w:tc>
          <w:tcPr>
            <w:tcW w:w="1402" w:type="dxa"/>
            <w:shd w:val="clear" w:color="auto" w:fill="FFFFFF"/>
          </w:tcPr>
          <w:p w14:paraId="61303113" w14:textId="77777777" w:rsidR="000601AE" w:rsidRDefault="00C57E93">
            <w:pPr>
              <w:pStyle w:val="Jin0"/>
              <w:spacing w:after="0"/>
            </w:pPr>
            <w:r>
              <w:rPr>
                <w:b/>
                <w:bCs/>
              </w:rPr>
              <w:t>Maximální</w:t>
            </w:r>
          </w:p>
        </w:tc>
        <w:tc>
          <w:tcPr>
            <w:tcW w:w="1099" w:type="dxa"/>
            <w:shd w:val="clear" w:color="auto" w:fill="FFFFFF"/>
          </w:tcPr>
          <w:p w14:paraId="10D7927A" w14:textId="77777777" w:rsidR="000601AE" w:rsidRDefault="00C57E93">
            <w:pPr>
              <w:pStyle w:val="Jin0"/>
              <w:spacing w:after="0"/>
            </w:pPr>
            <w:r>
              <w:rPr>
                <w:b/>
                <w:bCs/>
              </w:rPr>
              <w:t>Fixační</w:t>
            </w:r>
          </w:p>
        </w:tc>
        <w:tc>
          <w:tcPr>
            <w:tcW w:w="1507" w:type="dxa"/>
            <w:shd w:val="clear" w:color="auto" w:fill="FFFFFF"/>
          </w:tcPr>
          <w:p w14:paraId="391B0D5D" w14:textId="77777777" w:rsidR="000601AE" w:rsidRDefault="00C57E93">
            <w:pPr>
              <w:pStyle w:val="Jin0"/>
              <w:spacing w:after="0"/>
              <w:ind w:firstLine="320"/>
            </w:pPr>
            <w:r>
              <w:rPr>
                <w:b/>
                <w:bCs/>
              </w:rPr>
              <w:t>Objem 1</w:t>
            </w:r>
          </w:p>
        </w:tc>
      </w:tr>
      <w:tr w:rsidR="000601AE" w14:paraId="0EA33836" w14:textId="77777777">
        <w:trPr>
          <w:trHeight w:hRule="exact" w:val="288"/>
          <w:jc w:val="center"/>
        </w:trPr>
        <w:tc>
          <w:tcPr>
            <w:tcW w:w="1214" w:type="dxa"/>
            <w:shd w:val="clear" w:color="auto" w:fill="FFFFFF"/>
            <w:vAlign w:val="bottom"/>
          </w:tcPr>
          <w:p w14:paraId="704F7D00" w14:textId="77777777" w:rsidR="000601AE" w:rsidRDefault="00C57E93">
            <w:pPr>
              <w:pStyle w:val="Jin0"/>
              <w:spacing w:after="0"/>
            </w:pPr>
            <w:r>
              <w:rPr>
                <w:b/>
                <w:bCs/>
              </w:rPr>
              <w:t>období</w:t>
            </w:r>
          </w:p>
        </w:tc>
        <w:tc>
          <w:tcPr>
            <w:tcW w:w="1426" w:type="dxa"/>
            <w:shd w:val="clear" w:color="auto" w:fill="FFFFFF"/>
            <w:vAlign w:val="bottom"/>
          </w:tcPr>
          <w:p w14:paraId="347B5D11" w14:textId="77777777" w:rsidR="000601AE" w:rsidRDefault="00C57E93">
            <w:pPr>
              <w:pStyle w:val="Jin0"/>
              <w:spacing w:after="0"/>
              <w:ind w:firstLine="140"/>
            </w:pPr>
            <w:r>
              <w:rPr>
                <w:b/>
                <w:bCs/>
              </w:rPr>
              <w:t>kontrakt</w:t>
            </w:r>
          </w:p>
        </w:tc>
        <w:tc>
          <w:tcPr>
            <w:tcW w:w="1176" w:type="dxa"/>
            <w:shd w:val="clear" w:color="auto" w:fill="FFFFFF"/>
            <w:vAlign w:val="bottom"/>
          </w:tcPr>
          <w:p w14:paraId="7BAE1696" w14:textId="77777777" w:rsidR="000601AE" w:rsidRDefault="00C57E93">
            <w:pPr>
              <w:pStyle w:val="Jin0"/>
              <w:spacing w:after="0"/>
            </w:pPr>
            <w:r>
              <w:rPr>
                <w:b/>
                <w:bCs/>
              </w:rPr>
              <w:t>fixace</w:t>
            </w:r>
          </w:p>
        </w:tc>
        <w:tc>
          <w:tcPr>
            <w:tcW w:w="1483" w:type="dxa"/>
            <w:shd w:val="clear" w:color="auto" w:fill="FFFFFF"/>
            <w:vAlign w:val="bottom"/>
          </w:tcPr>
          <w:p w14:paraId="60A56849" w14:textId="77777777" w:rsidR="000601AE" w:rsidRDefault="00C57E93">
            <w:pPr>
              <w:pStyle w:val="Jin0"/>
              <w:spacing w:after="0"/>
              <w:ind w:firstLine="260"/>
            </w:pPr>
            <w:r>
              <w:rPr>
                <w:b/>
                <w:bCs/>
              </w:rPr>
              <w:t>fixace</w:t>
            </w:r>
          </w:p>
        </w:tc>
        <w:tc>
          <w:tcPr>
            <w:tcW w:w="1402" w:type="dxa"/>
            <w:shd w:val="clear" w:color="auto" w:fill="FFFFFF"/>
            <w:vAlign w:val="bottom"/>
          </w:tcPr>
          <w:p w14:paraId="449E92A9" w14:textId="77777777" w:rsidR="000601AE" w:rsidRDefault="00C57E93">
            <w:pPr>
              <w:pStyle w:val="Jin0"/>
              <w:spacing w:after="0"/>
            </w:pPr>
            <w:r>
              <w:rPr>
                <w:b/>
                <w:bCs/>
              </w:rPr>
              <w:t>počet</w:t>
            </w:r>
          </w:p>
        </w:tc>
        <w:tc>
          <w:tcPr>
            <w:tcW w:w="1099" w:type="dxa"/>
            <w:shd w:val="clear" w:color="auto" w:fill="FFFFFF"/>
            <w:vAlign w:val="bottom"/>
          </w:tcPr>
          <w:p w14:paraId="126D2494" w14:textId="77777777" w:rsidR="000601AE" w:rsidRDefault="00C57E93">
            <w:pPr>
              <w:pStyle w:val="Jin0"/>
              <w:spacing w:after="0"/>
            </w:pPr>
            <w:r>
              <w:rPr>
                <w:b/>
                <w:bCs/>
              </w:rPr>
              <w:t>období</w:t>
            </w:r>
          </w:p>
        </w:tc>
        <w:tc>
          <w:tcPr>
            <w:tcW w:w="1507" w:type="dxa"/>
            <w:shd w:val="clear" w:color="auto" w:fill="FFFFFF"/>
            <w:vAlign w:val="bottom"/>
          </w:tcPr>
          <w:p w14:paraId="00210AAD" w14:textId="77777777" w:rsidR="000601AE" w:rsidRDefault="00C57E93">
            <w:pPr>
              <w:pStyle w:val="Jin0"/>
              <w:spacing w:after="0"/>
              <w:ind w:firstLine="320"/>
            </w:pPr>
            <w:r>
              <w:rPr>
                <w:b/>
                <w:bCs/>
              </w:rPr>
              <w:t>kroku fixace</w:t>
            </w:r>
          </w:p>
        </w:tc>
      </w:tr>
      <w:tr w:rsidR="000601AE" w14:paraId="2BBC2277" w14:textId="77777777">
        <w:trPr>
          <w:trHeight w:hRule="exact" w:val="302"/>
          <w:jc w:val="center"/>
        </w:trPr>
        <w:tc>
          <w:tcPr>
            <w:tcW w:w="1214" w:type="dxa"/>
            <w:shd w:val="clear" w:color="auto" w:fill="FFFFFF"/>
          </w:tcPr>
          <w:p w14:paraId="26B02D49" w14:textId="77777777" w:rsidR="000601AE" w:rsidRDefault="000601AE">
            <w:pPr>
              <w:rPr>
                <w:sz w:val="10"/>
                <w:szCs w:val="10"/>
              </w:rPr>
            </w:pPr>
          </w:p>
        </w:tc>
        <w:tc>
          <w:tcPr>
            <w:tcW w:w="1426" w:type="dxa"/>
            <w:shd w:val="clear" w:color="auto" w:fill="FFFFFF"/>
          </w:tcPr>
          <w:p w14:paraId="4FC61E2B" w14:textId="77777777" w:rsidR="000601AE" w:rsidRDefault="000601AE">
            <w:pPr>
              <w:rPr>
                <w:sz w:val="10"/>
                <w:szCs w:val="10"/>
              </w:rPr>
            </w:pPr>
          </w:p>
        </w:tc>
        <w:tc>
          <w:tcPr>
            <w:tcW w:w="1176" w:type="dxa"/>
            <w:shd w:val="clear" w:color="auto" w:fill="FFFFFF"/>
          </w:tcPr>
          <w:p w14:paraId="7E804311" w14:textId="77777777" w:rsidR="000601AE" w:rsidRDefault="000601AE">
            <w:pPr>
              <w:rPr>
                <w:sz w:val="10"/>
                <w:szCs w:val="10"/>
              </w:rPr>
            </w:pPr>
          </w:p>
        </w:tc>
        <w:tc>
          <w:tcPr>
            <w:tcW w:w="1483" w:type="dxa"/>
            <w:shd w:val="clear" w:color="auto" w:fill="FFFFFF"/>
            <w:vAlign w:val="bottom"/>
          </w:tcPr>
          <w:p w14:paraId="1999CF26" w14:textId="77777777" w:rsidR="000601AE" w:rsidRDefault="00C57E93">
            <w:pPr>
              <w:pStyle w:val="Jin0"/>
              <w:spacing w:after="0"/>
              <w:ind w:firstLine="260"/>
            </w:pPr>
            <w:r>
              <w:rPr>
                <w:b/>
                <w:bCs/>
              </w:rPr>
              <w:t>(tranší)</w:t>
            </w:r>
          </w:p>
        </w:tc>
        <w:tc>
          <w:tcPr>
            <w:tcW w:w="1402" w:type="dxa"/>
            <w:shd w:val="clear" w:color="auto" w:fill="FFFFFF"/>
            <w:vAlign w:val="bottom"/>
          </w:tcPr>
          <w:p w14:paraId="3CACB4E7" w14:textId="77777777" w:rsidR="000601AE" w:rsidRDefault="00C57E93">
            <w:pPr>
              <w:pStyle w:val="Jin0"/>
              <w:spacing w:after="0"/>
            </w:pPr>
            <w:r>
              <w:rPr>
                <w:b/>
                <w:bCs/>
              </w:rPr>
              <w:t>fixačních</w:t>
            </w:r>
          </w:p>
        </w:tc>
        <w:tc>
          <w:tcPr>
            <w:tcW w:w="1099" w:type="dxa"/>
            <w:shd w:val="clear" w:color="auto" w:fill="FFFFFF"/>
          </w:tcPr>
          <w:p w14:paraId="48A4E26D" w14:textId="77777777" w:rsidR="000601AE" w:rsidRDefault="000601AE">
            <w:pPr>
              <w:rPr>
                <w:sz w:val="10"/>
                <w:szCs w:val="10"/>
              </w:rPr>
            </w:pPr>
          </w:p>
        </w:tc>
        <w:tc>
          <w:tcPr>
            <w:tcW w:w="1507" w:type="dxa"/>
            <w:shd w:val="clear" w:color="auto" w:fill="FFFFFF"/>
            <w:vAlign w:val="bottom"/>
          </w:tcPr>
          <w:p w14:paraId="788F47A3" w14:textId="77777777" w:rsidR="000601AE" w:rsidRDefault="00C57E93">
            <w:pPr>
              <w:pStyle w:val="Jin0"/>
              <w:spacing w:after="0"/>
              <w:ind w:firstLine="320"/>
            </w:pPr>
            <w:r>
              <w:rPr>
                <w:b/>
                <w:bCs/>
              </w:rPr>
              <w:t>(</w:t>
            </w:r>
            <w:proofErr w:type="spellStart"/>
            <w:r>
              <w:rPr>
                <w:b/>
                <w:bCs/>
              </w:rPr>
              <w:t>MWh</w:t>
            </w:r>
            <w:proofErr w:type="spellEnd"/>
            <w:r>
              <w:rPr>
                <w:b/>
                <w:bCs/>
              </w:rPr>
              <w:t>)</w:t>
            </w:r>
          </w:p>
        </w:tc>
      </w:tr>
      <w:tr w:rsidR="000601AE" w14:paraId="15D0649E" w14:textId="77777777">
        <w:trPr>
          <w:trHeight w:hRule="exact" w:val="274"/>
          <w:jc w:val="center"/>
        </w:trPr>
        <w:tc>
          <w:tcPr>
            <w:tcW w:w="1214" w:type="dxa"/>
            <w:shd w:val="clear" w:color="auto" w:fill="FFFFFF"/>
          </w:tcPr>
          <w:p w14:paraId="6B82F895" w14:textId="77777777" w:rsidR="000601AE" w:rsidRDefault="000601AE">
            <w:pPr>
              <w:rPr>
                <w:sz w:val="10"/>
                <w:szCs w:val="10"/>
              </w:rPr>
            </w:pPr>
          </w:p>
        </w:tc>
        <w:tc>
          <w:tcPr>
            <w:tcW w:w="1426" w:type="dxa"/>
            <w:shd w:val="clear" w:color="auto" w:fill="FFFFFF"/>
          </w:tcPr>
          <w:p w14:paraId="1A8765AA" w14:textId="77777777" w:rsidR="000601AE" w:rsidRDefault="000601AE">
            <w:pPr>
              <w:rPr>
                <w:sz w:val="10"/>
                <w:szCs w:val="10"/>
              </w:rPr>
            </w:pPr>
          </w:p>
        </w:tc>
        <w:tc>
          <w:tcPr>
            <w:tcW w:w="1176" w:type="dxa"/>
            <w:shd w:val="clear" w:color="auto" w:fill="FFFFFF"/>
          </w:tcPr>
          <w:p w14:paraId="5753F636" w14:textId="77777777" w:rsidR="000601AE" w:rsidRDefault="000601AE">
            <w:pPr>
              <w:rPr>
                <w:sz w:val="10"/>
                <w:szCs w:val="10"/>
              </w:rPr>
            </w:pPr>
          </w:p>
        </w:tc>
        <w:tc>
          <w:tcPr>
            <w:tcW w:w="1483" w:type="dxa"/>
            <w:shd w:val="clear" w:color="auto" w:fill="FFFFFF"/>
          </w:tcPr>
          <w:p w14:paraId="4B194C16" w14:textId="77777777" w:rsidR="000601AE" w:rsidRDefault="000601AE">
            <w:pPr>
              <w:rPr>
                <w:sz w:val="10"/>
                <w:szCs w:val="10"/>
              </w:rPr>
            </w:pPr>
          </w:p>
        </w:tc>
        <w:tc>
          <w:tcPr>
            <w:tcW w:w="1402" w:type="dxa"/>
            <w:shd w:val="clear" w:color="auto" w:fill="FFFFFF"/>
          </w:tcPr>
          <w:p w14:paraId="2488B2FF" w14:textId="77777777" w:rsidR="000601AE" w:rsidRDefault="00C57E93">
            <w:pPr>
              <w:pStyle w:val="Jin0"/>
              <w:spacing w:after="0"/>
            </w:pPr>
            <w:r>
              <w:rPr>
                <w:b/>
                <w:bCs/>
              </w:rPr>
              <w:t>kroků za den</w:t>
            </w:r>
          </w:p>
        </w:tc>
        <w:tc>
          <w:tcPr>
            <w:tcW w:w="1099" w:type="dxa"/>
            <w:shd w:val="clear" w:color="auto" w:fill="FFFFFF"/>
          </w:tcPr>
          <w:p w14:paraId="2B47B3A9" w14:textId="77777777" w:rsidR="000601AE" w:rsidRDefault="000601AE">
            <w:pPr>
              <w:rPr>
                <w:sz w:val="10"/>
                <w:szCs w:val="10"/>
              </w:rPr>
            </w:pPr>
          </w:p>
        </w:tc>
        <w:tc>
          <w:tcPr>
            <w:tcW w:w="1507" w:type="dxa"/>
            <w:shd w:val="clear" w:color="auto" w:fill="FFFFFF"/>
          </w:tcPr>
          <w:p w14:paraId="78C417C2" w14:textId="77777777" w:rsidR="000601AE" w:rsidRDefault="000601AE">
            <w:pPr>
              <w:rPr>
                <w:sz w:val="10"/>
                <w:szCs w:val="10"/>
              </w:rPr>
            </w:pPr>
          </w:p>
        </w:tc>
      </w:tr>
      <w:tr w:rsidR="000601AE" w14:paraId="6318F88C" w14:textId="77777777">
        <w:trPr>
          <w:trHeight w:hRule="exact" w:val="274"/>
          <w:jc w:val="center"/>
        </w:trPr>
        <w:tc>
          <w:tcPr>
            <w:tcW w:w="1214" w:type="dxa"/>
            <w:shd w:val="clear" w:color="auto" w:fill="FFFFFF"/>
            <w:vAlign w:val="bottom"/>
          </w:tcPr>
          <w:p w14:paraId="76B0ADAE" w14:textId="77777777" w:rsidR="000601AE" w:rsidRDefault="00C57E93">
            <w:pPr>
              <w:pStyle w:val="Jin0"/>
              <w:spacing w:after="0"/>
            </w:pPr>
            <w:r>
              <w:t>01.01.2022-</w:t>
            </w:r>
          </w:p>
        </w:tc>
        <w:tc>
          <w:tcPr>
            <w:tcW w:w="1426" w:type="dxa"/>
            <w:shd w:val="clear" w:color="auto" w:fill="FFFFFF"/>
            <w:vAlign w:val="bottom"/>
          </w:tcPr>
          <w:p w14:paraId="7303D376" w14:textId="77777777" w:rsidR="000601AE" w:rsidRDefault="00C57E93">
            <w:pPr>
              <w:pStyle w:val="Jin0"/>
              <w:spacing w:after="0"/>
              <w:ind w:firstLine="140"/>
            </w:pPr>
            <w:r>
              <w:t>G PXE CZ BL</w:t>
            </w:r>
          </w:p>
        </w:tc>
        <w:tc>
          <w:tcPr>
            <w:tcW w:w="1176" w:type="dxa"/>
            <w:shd w:val="clear" w:color="auto" w:fill="FFFFFF"/>
            <w:vAlign w:val="bottom"/>
          </w:tcPr>
          <w:p w14:paraId="74D43B64" w14:textId="77777777" w:rsidR="000601AE" w:rsidRDefault="00C57E93">
            <w:pPr>
              <w:pStyle w:val="Jin0"/>
              <w:spacing w:after="0"/>
            </w:pPr>
            <w:r>
              <w:t>Aktuální</w:t>
            </w:r>
          </w:p>
        </w:tc>
        <w:tc>
          <w:tcPr>
            <w:tcW w:w="1483" w:type="dxa"/>
            <w:shd w:val="clear" w:color="auto" w:fill="FFFFFF"/>
            <w:vAlign w:val="bottom"/>
          </w:tcPr>
          <w:p w14:paraId="0CF77054" w14:textId="77777777" w:rsidR="000601AE" w:rsidRDefault="00C57E93">
            <w:pPr>
              <w:pStyle w:val="Jin0"/>
              <w:spacing w:after="0"/>
              <w:ind w:firstLine="260"/>
            </w:pPr>
            <w:r>
              <w:t>20</w:t>
            </w:r>
          </w:p>
        </w:tc>
        <w:tc>
          <w:tcPr>
            <w:tcW w:w="1402" w:type="dxa"/>
            <w:shd w:val="clear" w:color="auto" w:fill="FFFFFF"/>
            <w:vAlign w:val="bottom"/>
          </w:tcPr>
          <w:p w14:paraId="0B9D09E1" w14:textId="77777777" w:rsidR="000601AE" w:rsidRDefault="00C57E93">
            <w:pPr>
              <w:pStyle w:val="Jin0"/>
              <w:spacing w:after="0"/>
            </w:pPr>
            <w:r>
              <w:t>20</w:t>
            </w:r>
          </w:p>
        </w:tc>
        <w:tc>
          <w:tcPr>
            <w:tcW w:w="1099" w:type="dxa"/>
            <w:shd w:val="clear" w:color="auto" w:fill="FFFFFF"/>
            <w:vAlign w:val="bottom"/>
          </w:tcPr>
          <w:p w14:paraId="2290BB88" w14:textId="77777777" w:rsidR="000601AE" w:rsidRDefault="00C57E93">
            <w:pPr>
              <w:pStyle w:val="Jin0"/>
              <w:spacing w:after="0"/>
              <w:jc w:val="both"/>
            </w:pPr>
            <w:r>
              <w:rPr>
                <w:b/>
                <w:bCs/>
              </w:rPr>
              <w:t>-</w:t>
            </w:r>
          </w:p>
        </w:tc>
        <w:tc>
          <w:tcPr>
            <w:tcW w:w="1507" w:type="dxa"/>
            <w:shd w:val="clear" w:color="auto" w:fill="FFFFFF"/>
            <w:vAlign w:val="bottom"/>
          </w:tcPr>
          <w:p w14:paraId="25770C20" w14:textId="77777777" w:rsidR="000601AE" w:rsidRDefault="00C57E93">
            <w:pPr>
              <w:pStyle w:val="Jin0"/>
              <w:spacing w:after="0"/>
              <w:ind w:firstLine="320"/>
            </w:pPr>
            <w:r>
              <w:t>4 346,256</w:t>
            </w:r>
          </w:p>
        </w:tc>
      </w:tr>
    </w:tbl>
    <w:p w14:paraId="5003F34B" w14:textId="77777777" w:rsidR="000601AE" w:rsidRDefault="00C57E93">
      <w:pPr>
        <w:pStyle w:val="Titulektabulky0"/>
      </w:pPr>
      <w:r>
        <w:t>01.01.2023 CAL-22</w:t>
      </w:r>
    </w:p>
    <w:p w14:paraId="42995552" w14:textId="77777777" w:rsidR="000601AE" w:rsidRDefault="000601AE">
      <w:pPr>
        <w:spacing w:after="319" w:line="1" w:lineRule="exact"/>
      </w:pPr>
    </w:p>
    <w:p w14:paraId="0F6AF2CC" w14:textId="77777777" w:rsidR="000601AE" w:rsidRDefault="00C57E93">
      <w:pPr>
        <w:pStyle w:val="Zkladntext1"/>
        <w:spacing w:after="180" w:line="317" w:lineRule="auto"/>
      </w:pPr>
      <w:r>
        <w:t>Pro přepočet ceny Referenčního kontraktu na českou korunu se použije devizový kurz CZK/EUR České národní banky vyhlášený v den fixace, a není-li tento kurz v den, kdy byla provedena fixace k dispozici, použije se poslední kurz vyhlášený ČNB.</w:t>
      </w:r>
    </w:p>
    <w:p w14:paraId="14F144F1" w14:textId="77777777" w:rsidR="000601AE" w:rsidRDefault="00C57E93">
      <w:pPr>
        <w:pStyle w:val="Zkladntext1"/>
        <w:spacing w:after="120" w:line="317" w:lineRule="auto"/>
      </w:pPr>
      <w:r>
        <w:t>Podrobně jsou pravidla fixace ceny definována v Burzovních pravidlech PXE pro konečné zákazníky.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47"/>
        <w:gridCol w:w="6595"/>
      </w:tblGrid>
      <w:tr w:rsidR="000601AE" w14:paraId="18A7A352" w14:textId="77777777">
        <w:trPr>
          <w:trHeight w:hRule="exact" w:val="1973"/>
          <w:jc w:val="center"/>
        </w:trPr>
        <w:tc>
          <w:tcPr>
            <w:tcW w:w="2947" w:type="dxa"/>
            <w:shd w:val="clear" w:color="auto" w:fill="FFFFFF"/>
          </w:tcPr>
          <w:p w14:paraId="06EE9A4F" w14:textId="77777777" w:rsidR="000601AE" w:rsidRDefault="00C57E93">
            <w:pPr>
              <w:pStyle w:val="Jin0"/>
              <w:spacing w:after="0"/>
            </w:pPr>
            <w:r>
              <w:rPr>
                <w:b/>
                <w:bCs/>
              </w:rPr>
              <w:t>Obecné podmínky</w:t>
            </w:r>
          </w:p>
        </w:tc>
        <w:tc>
          <w:tcPr>
            <w:tcW w:w="6595" w:type="dxa"/>
            <w:shd w:val="clear" w:color="auto" w:fill="FFFFFF"/>
          </w:tcPr>
          <w:p w14:paraId="0AA28A7D" w14:textId="77777777" w:rsidR="000601AE" w:rsidRDefault="00C57E93">
            <w:pPr>
              <w:pStyle w:val="Jin0"/>
              <w:spacing w:after="0" w:line="317" w:lineRule="auto"/>
              <w:ind w:left="240"/>
            </w:pPr>
            <w:r>
              <w:t>Na odběratele se nevztahují ustanovení referenčních podmínek dodávky o úhradě nákladů, náhradě újmy, zaplacení sankce či poskytnutí jiné platby za nedodržení množství odběru komodity (odst. 2.2. a 2.3. referenčních podmínek dodávky) a nebude se tedy vyhodnocovat skutečně odebrané množství komodity ve smyslu jakýchkoliv dalších poplatků nebo sankcí. Ujednání odst. 4.2. a 4.3. referenčních podmínek dodávky však zůstává nedotčeno.</w:t>
            </w:r>
          </w:p>
        </w:tc>
      </w:tr>
    </w:tbl>
    <w:p w14:paraId="72314652" w14:textId="77777777" w:rsidR="000601AE" w:rsidRDefault="000601AE">
      <w:pPr>
        <w:spacing w:after="319" w:line="1" w:lineRule="exact"/>
      </w:pPr>
    </w:p>
    <w:p w14:paraId="6763A735" w14:textId="77777777" w:rsidR="000601AE" w:rsidRDefault="00C57E93">
      <w:pPr>
        <w:pStyle w:val="Zkladntext1"/>
        <w:spacing w:after="280" w:line="317" w:lineRule="auto"/>
        <w:ind w:left="3180" w:firstLine="20"/>
      </w:pPr>
      <w:r>
        <w:t>Odchylně od odst. 2.4. referenčních podmínek dodávky se ujednává, že z důvodu provozních potřeb může odběratel před i v průběhu dodávkového období počet měřících nebo odběrných míst změnit, avšak pouze tak, aby se celkový předpokládaný objem dodávky připadající na odběrná a měřicí místa po změně jejich počtu neodchyloval od celkového poptávaného objemu uvedeného v Poptávce o více než 10 %.</w:t>
      </w:r>
    </w:p>
    <w:p w14:paraId="751279FC" w14:textId="77777777" w:rsidR="000601AE" w:rsidRDefault="00C57E93">
      <w:pPr>
        <w:pStyle w:val="Zkladntext1"/>
        <w:spacing w:after="280" w:line="319" w:lineRule="auto"/>
        <w:ind w:left="3160" w:firstLine="20"/>
      </w:pPr>
      <w:r>
        <w:lastRenderedPageBreak/>
        <w:t>Dodavatel je povinen na výslovné vyžádání jednotlivého odběratele upravit způsob fakturace (emailem/poštou/emailem a poštou) a typ fakturace včetně předpisů záloh (samostatná/sloučená), než jak je definováno u každého odběrného místa v podmínkách fakturace.</w:t>
      </w:r>
    </w:p>
    <w:p w14:paraId="60DEC1AA" w14:textId="77777777" w:rsidR="000601AE" w:rsidRDefault="00C57E93">
      <w:pPr>
        <w:pStyle w:val="Zkladntext1"/>
        <w:spacing w:after="280" w:line="317" w:lineRule="auto"/>
        <w:ind w:left="3160" w:firstLine="20"/>
      </w:pPr>
      <w:r>
        <w:t>Dodavatel je povinen zasílat odběrateli faktury, předpisy záloh, které budou kromě právními předpisy stanovených náležitostí obsahovat jednoznačnou identifikaci odběrného místa, tedy EIC, adresu odběrného místa, číslo odběrného místa a číslo a datum uzavřené smlouvy (tj. burzovního obchodu). Bez této identifikace je odběratel oprávněn vrátit fakturu, předpis záloh jako neoprávněný.</w:t>
      </w:r>
    </w:p>
    <w:p w14:paraId="5CB8802E" w14:textId="77777777" w:rsidR="000601AE" w:rsidRDefault="00C57E93">
      <w:pPr>
        <w:pStyle w:val="Zkladntext1"/>
        <w:spacing w:after="280" w:line="317" w:lineRule="auto"/>
        <w:ind w:left="3160" w:firstLine="20"/>
      </w:pPr>
      <w:r>
        <w:t xml:space="preserve">Dodavatel je povinen u odběrných míst s </w:t>
      </w:r>
      <w:proofErr w:type="gramStart"/>
      <w:r>
        <w:t>jiným</w:t>
      </w:r>
      <w:proofErr w:type="gramEnd"/>
      <w:r>
        <w:t xml:space="preserve"> než ročním zúčtovacím obdobím umožnit samoodečet není-li odečet měřícího zařízení prováděn dálkově. Dodavatel provede bezplatné vyúčtování po zasláni samoodečtů ze strany odběratele, které mu budou zaslány v termínu a způsobem stanoveným dodavatelem.</w:t>
      </w:r>
    </w:p>
    <w:p w14:paraId="2D1A545B" w14:textId="77777777" w:rsidR="000601AE" w:rsidRDefault="00C57E93">
      <w:pPr>
        <w:pStyle w:val="Zkladntext1"/>
        <w:spacing w:after="280" w:line="317" w:lineRule="auto"/>
        <w:ind w:left="3160" w:firstLine="20"/>
      </w:pPr>
      <w:r>
        <w:t>Odběratel požaduje mimořádné vyúčtování k 31. prosinci a dále požaduje mimořádné vyúčtování při přechodu odběrného místa do režimu LDS nebo při přechodu odběrného místa z ročního odečtového cyklu na měsíční, a to v případě, že mimořádné vyúčtování po zaslání samoodečtů umožňují a povolují příslušná pravidla provozovatele distribuční soustavy. Dodavatel v takovém případě na základě odběratelem zaslaného samoodečtů zajistí na své náklady jeho nahlášení provozovateli distribuční soustavy a po přijetí samoodečtů provozovatelem distribuční soustavy dodavatel provede na své náklady požadované mimořádné vyúčtování.</w:t>
      </w:r>
    </w:p>
    <w:p w14:paraId="6622F342" w14:textId="77777777" w:rsidR="000601AE" w:rsidRDefault="00C57E93">
      <w:pPr>
        <w:pStyle w:val="Zkladntext1"/>
        <w:spacing w:after="280" w:line="317" w:lineRule="auto"/>
        <w:ind w:left="3160" w:firstLine="20"/>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65DB20C3" w14:textId="77777777" w:rsidR="000601AE" w:rsidRDefault="00C57E93">
      <w:pPr>
        <w:pStyle w:val="Zkladntext1"/>
        <w:spacing w:after="280" w:line="317" w:lineRule="auto"/>
        <w:ind w:left="3160" w:firstLine="20"/>
      </w:pPr>
      <w:r>
        <w:t xml:space="preserve">Dodavatel je povinen nejpozději ke dni zahájení dodávek zpřístupnit odběrateli a jím určeným osobám, a dále po celou dobu realizace smlouvy udržovat nepřetržitý zabezpečený přístup do elektronického zákaznického portálu dodavatele, který bude přístupný z webových stránek dodavatele. Tento zákaznický portál bude ošetřen hesly a musí umožňovat nepřetržité nahlížení do údajů o místech spotřeby, náhledy do historie spotřeby, historie plateb, přehledu </w:t>
      </w:r>
      <w:proofErr w:type="gramStart"/>
      <w:r>
        <w:t>záloh,</w:t>
      </w:r>
      <w:proofErr w:type="gramEnd"/>
      <w:r>
        <w:t xml:space="preserve"> apod. a elektronickou komunikaci s dodavatelem.</w:t>
      </w:r>
    </w:p>
    <w:p w14:paraId="2284C75C" w14:textId="77777777" w:rsidR="000601AE" w:rsidRDefault="00C57E93">
      <w:pPr>
        <w:pStyle w:val="Zkladntext1"/>
        <w:spacing w:after="280" w:line="317" w:lineRule="auto"/>
        <w:ind w:left="3160" w:firstLine="20"/>
      </w:pPr>
      <w:r>
        <w:t xml:space="preserve">V případě, že dodavatel nezpřístupní elektronický zákaznický portál z důvodu na jeho straně, je odběratel oprávněn účtovat dodavateli smluvní pokutu ve výši 0,1 % z celkové ceny plynu za každý i započatý měsíc, ve kterém portál nebyl odběrateli přístupný, počínaje druhým měsícem dodávky, a to nejdéle do doby ukončení dodávky dle smlouvy. Celkovou </w:t>
      </w:r>
      <w:r>
        <w:lastRenderedPageBreak/>
        <w:t>cenou plynu se rozumí součin sjednané jednotkové ceny plynu v úrovni s DPH a předpokládaného celkového objemu plynu uvedeného v Poptávce odběratele.</w:t>
      </w:r>
    </w:p>
    <w:p w14:paraId="5AE0EB30" w14:textId="77777777" w:rsidR="000601AE" w:rsidRDefault="00C57E93">
      <w:pPr>
        <w:pStyle w:val="Zkladntext1"/>
        <w:spacing w:after="0" w:line="317" w:lineRule="auto"/>
        <w:ind w:left="3160" w:firstLine="20"/>
      </w:pPr>
      <w:r>
        <w:t>Dodavatel je povinen po ukončení dodávky poskytnout data o odběrech a fakturaci všech odběrných míst v elektronické podobě ve formátu „*.</w:t>
      </w:r>
      <w:proofErr w:type="spellStart"/>
      <w:r>
        <w:t>xls</w:t>
      </w:r>
      <w:proofErr w:type="spellEnd"/>
      <w:r>
        <w:t>“ do 31. 1. 2023 odběrateli na:</w:t>
      </w:r>
    </w:p>
    <w:p w14:paraId="01AB7751" w14:textId="1D207AD9" w:rsidR="000601AE" w:rsidRDefault="00C57E93">
      <w:pPr>
        <w:pStyle w:val="Zkladntext1"/>
        <w:numPr>
          <w:ilvl w:val="0"/>
          <w:numId w:val="3"/>
        </w:numPr>
        <w:tabs>
          <w:tab w:val="left" w:pos="3454"/>
        </w:tabs>
        <w:spacing w:after="0" w:line="317" w:lineRule="auto"/>
        <w:ind w:left="3160" w:firstLine="20"/>
      </w:pPr>
      <w:bookmarkStart w:id="27" w:name="bookmark27"/>
      <w:bookmarkEnd w:id="27"/>
      <w:r>
        <w:t xml:space="preserve">e-mailovou adresu </w:t>
      </w:r>
      <w:proofErr w:type="spellStart"/>
      <w:r w:rsidR="00DB3188">
        <w:t>xxxxxxxx</w:t>
      </w:r>
      <w:proofErr w:type="spellEnd"/>
      <w:r>
        <w:t xml:space="preserve"> (</w:t>
      </w:r>
      <w:proofErr w:type="spellStart"/>
      <w:r w:rsidR="00DB3188">
        <w:t>xxxxxxx</w:t>
      </w:r>
      <w:proofErr w:type="spellEnd"/>
    </w:p>
    <w:p w14:paraId="2A0D20F7" w14:textId="459F68D7" w:rsidR="000601AE" w:rsidRDefault="00C57E93">
      <w:pPr>
        <w:pStyle w:val="Zkladntext1"/>
        <w:numPr>
          <w:ilvl w:val="0"/>
          <w:numId w:val="3"/>
        </w:numPr>
        <w:tabs>
          <w:tab w:val="left" w:pos="3454"/>
        </w:tabs>
        <w:spacing w:after="0" w:line="317" w:lineRule="auto"/>
        <w:ind w:left="3160" w:firstLine="20"/>
      </w:pPr>
      <w:bookmarkStart w:id="28" w:name="bookmark28"/>
      <w:bookmarkEnd w:id="28"/>
      <w:r>
        <w:t xml:space="preserve">e-mailovou adresu pana </w:t>
      </w:r>
      <w:proofErr w:type="spellStart"/>
      <w:r w:rsidR="00DB3188">
        <w:t>xxxxx</w:t>
      </w:r>
      <w:proofErr w:type="spellEnd"/>
      <w:r>
        <w:t xml:space="preserve"> (</w:t>
      </w:r>
      <w:proofErr w:type="spellStart"/>
      <w:r w:rsidR="00DB3188">
        <w:t>xxxxxx</w:t>
      </w:r>
      <w:proofErr w:type="spellEnd"/>
    </w:p>
    <w:p w14:paraId="54B66299" w14:textId="1E4653D8" w:rsidR="000601AE" w:rsidRDefault="00C57E93">
      <w:pPr>
        <w:pStyle w:val="Zkladntext1"/>
        <w:numPr>
          <w:ilvl w:val="0"/>
          <w:numId w:val="3"/>
        </w:numPr>
        <w:tabs>
          <w:tab w:val="left" w:pos="3474"/>
        </w:tabs>
        <w:spacing w:after="280" w:line="317" w:lineRule="auto"/>
        <w:ind w:left="3160" w:firstLine="20"/>
      </w:pPr>
      <w:bookmarkStart w:id="29" w:name="bookmark29"/>
      <w:bookmarkEnd w:id="29"/>
      <w:r>
        <w:t>E-podatelnu Energie (</w:t>
      </w:r>
      <w:proofErr w:type="spellStart"/>
      <w:r w:rsidR="005D7F5A">
        <w:fldChar w:fldCharType="begin"/>
      </w:r>
      <w:r w:rsidR="005D7F5A">
        <w:instrText xml:space="preserve"> HYPERLINK "mailto:epodatelnaene</w:instrText>
      </w:r>
      <w:r w:rsidR="005D7F5A">
        <w:instrText xml:space="preserve">rgie@spravazeleznic.cz" </w:instrText>
      </w:r>
      <w:r w:rsidR="005D7F5A">
        <w:fldChar w:fldCharType="separate"/>
      </w:r>
      <w:r w:rsidR="00DB3188">
        <w:t>xxxxxxxxx</w:t>
      </w:r>
      <w:proofErr w:type="spellEnd"/>
      <w:r w:rsidR="005D7F5A">
        <w:fldChar w:fldCharType="end"/>
      </w:r>
      <w:r>
        <w:t>).</w:t>
      </w:r>
    </w:p>
    <w:p w14:paraId="73F16145" w14:textId="77777777" w:rsidR="000601AE" w:rsidRDefault="00C57E93">
      <w:pPr>
        <w:pStyle w:val="Zkladntext1"/>
        <w:spacing w:after="0" w:line="317" w:lineRule="auto"/>
        <w:ind w:left="3160" w:firstLine="20"/>
      </w:pPr>
      <w:r>
        <w:t>Korespondence, oznámení či jiné sdělení učiněné mezi smluvními stranami na základě uzavřené smlouvy musí mít písemnou podobu a musí být v českém jazyce (dále „písemnost"). Písemnosti se považují za doručené:</w:t>
      </w:r>
    </w:p>
    <w:p w14:paraId="0E2D7E2B" w14:textId="77777777" w:rsidR="000601AE" w:rsidRDefault="00C57E93">
      <w:pPr>
        <w:pStyle w:val="Zkladntext1"/>
        <w:numPr>
          <w:ilvl w:val="0"/>
          <w:numId w:val="4"/>
        </w:numPr>
        <w:tabs>
          <w:tab w:val="left" w:pos="3454"/>
        </w:tabs>
        <w:spacing w:after="0" w:line="317" w:lineRule="auto"/>
        <w:ind w:left="3160" w:firstLine="20"/>
      </w:pPr>
      <w:bookmarkStart w:id="30" w:name="bookmark30"/>
      <w:bookmarkEnd w:id="30"/>
      <w:r>
        <w:t>zpětným potvrzením elektronické zprávy, která byla odeslána na kontaktní e-mailovou adresu smluvní strany, která je adresátem.</w:t>
      </w:r>
    </w:p>
    <w:p w14:paraId="024DF2E5" w14:textId="77777777" w:rsidR="000601AE" w:rsidRDefault="00C57E93">
      <w:pPr>
        <w:pStyle w:val="Zkladntext1"/>
        <w:numPr>
          <w:ilvl w:val="0"/>
          <w:numId w:val="4"/>
        </w:numPr>
        <w:tabs>
          <w:tab w:val="left" w:pos="3473"/>
        </w:tabs>
        <w:spacing w:after="0" w:line="317" w:lineRule="auto"/>
        <w:ind w:left="3160" w:firstLine="20"/>
      </w:pPr>
      <w:bookmarkStart w:id="31" w:name="bookmark31"/>
      <w:bookmarkEnd w:id="31"/>
      <w:r>
        <w:t>osobním doručením a předáním kontaktní osobě smluvní strany, která je adresátem,</w:t>
      </w:r>
    </w:p>
    <w:p w14:paraId="036BE24F" w14:textId="77777777" w:rsidR="000601AE" w:rsidRDefault="00C57E93">
      <w:pPr>
        <w:pStyle w:val="Zkladntext1"/>
        <w:numPr>
          <w:ilvl w:val="0"/>
          <w:numId w:val="4"/>
        </w:numPr>
        <w:tabs>
          <w:tab w:val="left" w:pos="3454"/>
        </w:tabs>
        <w:spacing w:after="280" w:line="317" w:lineRule="auto"/>
        <w:ind w:left="3160" w:firstLine="20"/>
      </w:pPr>
      <w:bookmarkStart w:id="32" w:name="bookmark32"/>
      <w:bookmarkEnd w:id="32"/>
      <w:r>
        <w:t>pátým kalendářním dnem ode dne odeslání doporučeného dopisu na kontaktní adresu smluvní strany, která je adresátem, nebo dřívějším dnem doručení.</w:t>
      </w:r>
    </w:p>
    <w:p w14:paraId="5CD59D22" w14:textId="77777777" w:rsidR="000601AE" w:rsidRDefault="00C57E93">
      <w:pPr>
        <w:pStyle w:val="Zkladntext1"/>
        <w:spacing w:after="280" w:line="317" w:lineRule="auto"/>
        <w:ind w:left="3160" w:firstLine="20"/>
      </w:pPr>
      <w:r>
        <w:t>Smluvní strany jsou povinny oznámit druhé smluvní straně jakékoliv změny v kontaktních údajích pro doručování písemností. Za doručené budou považovány i listinné písemnosti, které se vrátí odesílající smluvní straně jako nedoručené v důsledku neoznámení nových kontaktních údajů stranou, která je adresátem. Písemnosti, kterými se smlouva ukončuje, však mohou být doručovány pouze způsobem uvedeným výše v písm. b) nebo c).</w:t>
      </w:r>
    </w:p>
    <w:p w14:paraId="09FA072C" w14:textId="77777777" w:rsidR="000601AE" w:rsidRDefault="00C57E93">
      <w:pPr>
        <w:pStyle w:val="Zkladntext1"/>
        <w:spacing w:after="280" w:line="312" w:lineRule="auto"/>
        <w:ind w:left="3160" w:firstLine="20"/>
      </w:pPr>
      <w:r>
        <w:t>Pro vyloučení pochybností pojem „smlouva“ a „smluvní strana“ má význam uvedený v referenčních podmínkách.</w:t>
      </w:r>
    </w:p>
    <w:p w14:paraId="57F1E7C4" w14:textId="77777777" w:rsidR="000601AE" w:rsidRDefault="00C57E93">
      <w:pPr>
        <w:pStyle w:val="Zkladntext1"/>
        <w:spacing w:after="280" w:line="317" w:lineRule="auto"/>
        <w:ind w:left="3160" w:firstLine="20"/>
        <w:sectPr w:rsidR="000601AE">
          <w:pgSz w:w="11900" w:h="16840"/>
          <w:pgMar w:top="1867" w:right="1130" w:bottom="1457" w:left="1184" w:header="0" w:footer="3" w:gutter="0"/>
          <w:cols w:space="720"/>
          <w:noEndnote/>
          <w:docGrid w:linePitch="360"/>
        </w:sectPr>
      </w:pPr>
      <w:r>
        <w:t>Odběratel uděluje souhlas vítěznému dodavateli s nastavením PXE jako pozorovatele v systému CS-OTE.</w:t>
      </w:r>
    </w:p>
    <w:p w14:paraId="765540A9" w14:textId="77777777" w:rsidR="000601AE" w:rsidRDefault="00C57E93">
      <w:pPr>
        <w:pStyle w:val="Nadpis10"/>
        <w:keepNext/>
        <w:keepLines/>
        <w:numPr>
          <w:ilvl w:val="0"/>
          <w:numId w:val="1"/>
        </w:numPr>
        <w:tabs>
          <w:tab w:val="left" w:pos="-108"/>
        </w:tabs>
        <w:spacing w:after="160"/>
        <w:ind w:hanging="500"/>
      </w:pPr>
      <w:bookmarkStart w:id="33" w:name="bookmark35"/>
      <w:bookmarkStart w:id="34" w:name="bookmark33"/>
      <w:bookmarkStart w:id="35" w:name="bookmark34"/>
      <w:bookmarkStart w:id="36" w:name="bookmark36"/>
      <w:bookmarkEnd w:id="33"/>
      <w:r>
        <w:lastRenderedPageBreak/>
        <w:t>Seznam odběrných míst</w:t>
      </w:r>
      <w:bookmarkEnd w:id="34"/>
      <w:bookmarkEnd w:id="35"/>
      <w:bookmarkEnd w:id="36"/>
    </w:p>
    <w:p w14:paraId="3F9E9A44" w14:textId="77777777" w:rsidR="000601AE" w:rsidRDefault="00C57E93">
      <w:pPr>
        <w:pStyle w:val="Zkladntext1"/>
        <w:spacing w:after="0" w:line="317" w:lineRule="auto"/>
        <w:ind w:left="840"/>
      </w:pPr>
      <w:r>
        <w:rPr>
          <w:noProof/>
        </w:rPr>
        <mc:AlternateContent>
          <mc:Choice Requires="wps">
            <w:drawing>
              <wp:anchor distT="0" distB="0" distL="114300" distR="114300" simplePos="0" relativeHeight="125829387" behindDoc="0" locked="0" layoutInCell="1" allowOverlap="1" wp14:anchorId="7EE24AC2" wp14:editId="4A5AF19B">
                <wp:simplePos x="0" y="0"/>
                <wp:positionH relativeFrom="page">
                  <wp:posOffset>621030</wp:posOffset>
                </wp:positionH>
                <wp:positionV relativeFrom="margin">
                  <wp:posOffset>328930</wp:posOffset>
                </wp:positionV>
                <wp:extent cx="1365250" cy="51498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365250" cy="514985"/>
                        </a:xfrm>
                        <a:prstGeom prst="rect">
                          <a:avLst/>
                        </a:prstGeom>
                        <a:noFill/>
                      </wps:spPr>
                      <wps:txbx>
                        <w:txbxContent>
                          <w:p w14:paraId="5FF85062" w14:textId="77777777" w:rsidR="000601AE" w:rsidRDefault="00C57E93">
                            <w:pPr>
                              <w:pStyle w:val="Zkladntext1"/>
                            </w:pPr>
                            <w:r>
                              <w:rPr>
                                <w:b/>
                                <w:bCs/>
                              </w:rPr>
                              <w:t>Obchodní firma / název</w:t>
                            </w:r>
                          </w:p>
                          <w:p w14:paraId="5430AE32" w14:textId="77777777" w:rsidR="000601AE" w:rsidRDefault="00C57E93">
                            <w:pPr>
                              <w:pStyle w:val="Zkladntext1"/>
                            </w:pPr>
                            <w:r>
                              <w:rPr>
                                <w:b/>
                                <w:bCs/>
                              </w:rPr>
                              <w:t>Sídlo</w:t>
                            </w:r>
                          </w:p>
                          <w:p w14:paraId="6A979D5C" w14:textId="77777777" w:rsidR="000601AE" w:rsidRDefault="00C57E93">
                            <w:pPr>
                              <w:pStyle w:val="Zkladntext1"/>
                            </w:pPr>
                            <w:r>
                              <w:rPr>
                                <w:b/>
                                <w:bCs/>
                              </w:rPr>
                              <w:t>IČO</w:t>
                            </w:r>
                          </w:p>
                        </w:txbxContent>
                      </wps:txbx>
                      <wps:bodyPr lIns="0" tIns="0" rIns="0" bIns="0"/>
                    </wps:wsp>
                  </a:graphicData>
                </a:graphic>
              </wp:anchor>
            </w:drawing>
          </mc:Choice>
          <mc:Fallback>
            <w:pict>
              <v:shape w14:anchorId="7EE24AC2" id="Shape 19" o:spid="_x0000_s1030" type="#_x0000_t202" style="position:absolute;left:0;text-align:left;margin-left:48.9pt;margin-top:25.9pt;width:107.5pt;height:40.55pt;z-index:125829387;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" filled="f" stroked="f">
                <v:textbox inset="0,0,0,0">
                  <w:txbxContent>
                    <w:p w14:paraId="5FF85062" w14:textId="77777777" w:rsidR="000601AE" w:rsidRDefault="00C57E93">
                      <w:pPr>
                        <w:pStyle w:val="Zkladntext1"/>
                      </w:pPr>
                      <w:r>
                        <w:rPr>
                          <w:b/>
                          <w:bCs/>
                        </w:rPr>
                        <w:t>Obchodní firma / název</w:t>
                      </w:r>
                    </w:p>
                    <w:p w14:paraId="5430AE32" w14:textId="77777777" w:rsidR="000601AE" w:rsidRDefault="00C57E93">
                      <w:pPr>
                        <w:pStyle w:val="Zkladntext1"/>
                      </w:pPr>
                      <w:r>
                        <w:rPr>
                          <w:b/>
                          <w:bCs/>
                        </w:rPr>
                        <w:t>Sídlo</w:t>
                      </w:r>
                    </w:p>
                    <w:p w14:paraId="6A979D5C" w14:textId="77777777" w:rsidR="000601AE" w:rsidRDefault="00C57E93">
                      <w:pPr>
                        <w:pStyle w:val="Zkladntext1"/>
                      </w:pPr>
                      <w:r>
                        <w:rPr>
                          <w:b/>
                          <w:bCs/>
                        </w:rPr>
                        <w:t>IČO</w:t>
                      </w:r>
                    </w:p>
                  </w:txbxContent>
                </v:textbox>
                <w10:wrap type="square" anchorx="page" anchory="margin"/>
              </v:shape>
            </w:pict>
          </mc:Fallback>
        </mc:AlternateContent>
      </w:r>
      <w:r>
        <w:t xml:space="preserve">8671 - Centrum dopravního výzkumu, </w:t>
      </w:r>
      <w:proofErr w:type="spellStart"/>
      <w:r>
        <w:t>v.v.i</w:t>
      </w:r>
      <w:proofErr w:type="spellEnd"/>
      <w:r>
        <w:t>.</w:t>
      </w:r>
    </w:p>
    <w:p w14:paraId="4290FABE" w14:textId="77777777" w:rsidR="000601AE" w:rsidRDefault="00C57E93">
      <w:pPr>
        <w:pStyle w:val="Zkladntext1"/>
        <w:spacing w:after="440" w:line="317" w:lineRule="auto"/>
        <w:ind w:left="840"/>
      </w:pPr>
      <w:r>
        <w:t>Líšeňská 2657/</w:t>
      </w:r>
      <w:proofErr w:type="gramStart"/>
      <w:r>
        <w:t>33a</w:t>
      </w:r>
      <w:proofErr w:type="gramEnd"/>
      <w:r>
        <w:t>, Brno, 63600, Česká republika 44994575</w:t>
      </w:r>
    </w:p>
    <w:p w14:paraId="4EF03545" w14:textId="77777777" w:rsidR="000601AE" w:rsidRDefault="00C57E93">
      <w:pPr>
        <w:pStyle w:val="Zkladntext1"/>
        <w:jc w:val="center"/>
      </w:pPr>
      <w:r>
        <w:rPr>
          <w:noProof/>
        </w:rPr>
        <mc:AlternateContent>
          <mc:Choice Requires="wps">
            <w:drawing>
              <wp:anchor distT="0" distB="0" distL="114300" distR="114300" simplePos="0" relativeHeight="125829389" behindDoc="0" locked="0" layoutInCell="1" allowOverlap="1" wp14:anchorId="1DF3AE56" wp14:editId="2873E9B8">
                <wp:simplePos x="0" y="0"/>
                <wp:positionH relativeFrom="page">
                  <wp:posOffset>901700</wp:posOffset>
                </wp:positionH>
                <wp:positionV relativeFrom="margin">
                  <wp:posOffset>951230</wp:posOffset>
                </wp:positionV>
                <wp:extent cx="2020570" cy="183197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2020570" cy="1831975"/>
                        </a:xfrm>
                        <a:prstGeom prst="rect">
                          <a:avLst/>
                        </a:prstGeom>
                        <a:noFill/>
                      </wps:spPr>
                      <wps:txbx>
                        <w:txbxContent>
                          <w:p w14:paraId="30CB943F" w14:textId="77777777" w:rsidR="000601AE" w:rsidRDefault="00C57E93">
                            <w:pPr>
                              <w:pStyle w:val="Zkladntext20"/>
                              <w:spacing w:after="60"/>
                            </w:pPr>
                            <w:r>
                              <w:t xml:space="preserve">Odběrná </w:t>
                            </w:r>
                            <w:proofErr w:type="gramStart"/>
                            <w:r>
                              <w:t>místa - maloodběr</w:t>
                            </w:r>
                            <w:proofErr w:type="gramEnd"/>
                          </w:p>
                          <w:p w14:paraId="0D030331" w14:textId="77777777" w:rsidR="000601AE" w:rsidRDefault="00C57E93">
                            <w:pPr>
                              <w:pStyle w:val="Zkladntext1"/>
                            </w:pPr>
                            <w:r>
                              <w:rPr>
                                <w:b/>
                                <w:bCs/>
                              </w:rPr>
                              <w:t>EIC</w:t>
                            </w:r>
                          </w:p>
                          <w:p w14:paraId="479E1B28" w14:textId="77777777" w:rsidR="000601AE" w:rsidRDefault="00C57E93">
                            <w:pPr>
                              <w:pStyle w:val="Zkladntext1"/>
                            </w:pPr>
                            <w:r>
                              <w:rPr>
                                <w:b/>
                                <w:bCs/>
                              </w:rPr>
                              <w:t>Roční odběr (</w:t>
                            </w:r>
                            <w:proofErr w:type="spellStart"/>
                            <w:r>
                              <w:rPr>
                                <w:b/>
                                <w:bCs/>
                              </w:rPr>
                              <w:t>MWh</w:t>
                            </w:r>
                            <w:proofErr w:type="spellEnd"/>
                            <w:r>
                              <w:rPr>
                                <w:b/>
                                <w:bCs/>
                              </w:rPr>
                              <w:t>)</w:t>
                            </w:r>
                          </w:p>
                          <w:p w14:paraId="1784BBC1" w14:textId="77777777" w:rsidR="000601AE" w:rsidRDefault="00C57E93">
                            <w:pPr>
                              <w:pStyle w:val="Zkladntext1"/>
                            </w:pPr>
                            <w:r>
                              <w:rPr>
                                <w:b/>
                                <w:bCs/>
                              </w:rPr>
                              <w:t>Adresa</w:t>
                            </w:r>
                          </w:p>
                          <w:p w14:paraId="5A239601" w14:textId="77777777" w:rsidR="000601AE" w:rsidRDefault="00C57E93">
                            <w:pPr>
                              <w:pStyle w:val="Zkladntext1"/>
                            </w:pPr>
                            <w:r>
                              <w:rPr>
                                <w:b/>
                                <w:bCs/>
                              </w:rPr>
                              <w:t>Provozovatel distribuční soustavy</w:t>
                            </w:r>
                          </w:p>
                          <w:p w14:paraId="223E9BBA" w14:textId="77777777" w:rsidR="000601AE" w:rsidRDefault="00C57E93">
                            <w:pPr>
                              <w:pStyle w:val="Zkladntext1"/>
                            </w:pPr>
                            <w:r>
                              <w:rPr>
                                <w:b/>
                                <w:bCs/>
                              </w:rPr>
                              <w:t>Odečet</w:t>
                            </w:r>
                          </w:p>
                          <w:p w14:paraId="56E8EF9B" w14:textId="77777777" w:rsidR="000601AE" w:rsidRDefault="00C57E93">
                            <w:pPr>
                              <w:pStyle w:val="Zkladntext1"/>
                            </w:pPr>
                            <w:r>
                              <w:rPr>
                                <w:b/>
                                <w:bCs/>
                              </w:rPr>
                              <w:t>Typ měření</w:t>
                            </w:r>
                          </w:p>
                          <w:p w14:paraId="413D00A0" w14:textId="77777777" w:rsidR="000601AE" w:rsidRDefault="00C57E93">
                            <w:pPr>
                              <w:pStyle w:val="Zkladntext1"/>
                            </w:pPr>
                            <w:r>
                              <w:rPr>
                                <w:b/>
                                <w:bCs/>
                              </w:rPr>
                              <w:t>Současný dodavatel</w:t>
                            </w:r>
                          </w:p>
                          <w:p w14:paraId="5C4DC281" w14:textId="77777777" w:rsidR="000601AE" w:rsidRDefault="00C57E93">
                            <w:pPr>
                              <w:pStyle w:val="Zkladntext1"/>
                            </w:pPr>
                            <w:r>
                              <w:rPr>
                                <w:b/>
                                <w:bCs/>
                              </w:rPr>
                              <w:t>Typ smlouvy</w:t>
                            </w:r>
                          </w:p>
                          <w:p w14:paraId="2E2BBA89" w14:textId="77777777" w:rsidR="000601AE" w:rsidRDefault="00C57E93">
                            <w:pPr>
                              <w:pStyle w:val="Zkladntext1"/>
                            </w:pPr>
                            <w:r>
                              <w:rPr>
                                <w:b/>
                                <w:bCs/>
                              </w:rPr>
                              <w:t>Fakturace</w:t>
                            </w:r>
                          </w:p>
                        </w:txbxContent>
                      </wps:txbx>
                      <wps:bodyPr lIns="0" tIns="0" rIns="0" bIns="0"/>
                    </wps:wsp>
                  </a:graphicData>
                </a:graphic>
              </wp:anchor>
            </w:drawing>
          </mc:Choice>
          <mc:Fallback>
            <w:pict>
              <v:shape w14:anchorId="1DF3AE56" id="Shape 21" o:spid="_x0000_s1031" type="#_x0000_t202" style="position:absolute;left:0;text-align:left;margin-left:71pt;margin-top:74.9pt;width:159.1pt;height:144.25pt;z-index:12582938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" filled="f" stroked="f">
                <v:textbox inset="0,0,0,0">
                  <w:txbxContent>
                    <w:p w14:paraId="30CB943F" w14:textId="77777777" w:rsidR="000601AE" w:rsidRDefault="00C57E93">
                      <w:pPr>
                        <w:pStyle w:val="Zkladntext20"/>
                        <w:spacing w:after="60"/>
                      </w:pPr>
                      <w:r>
                        <w:t>Odběrná místa - maloodběr</w:t>
                      </w:r>
                    </w:p>
                    <w:p w14:paraId="0D030331" w14:textId="77777777" w:rsidR="000601AE" w:rsidRDefault="00C57E93">
                      <w:pPr>
                        <w:pStyle w:val="Zkladntext1"/>
                      </w:pPr>
                      <w:r>
                        <w:rPr>
                          <w:b/>
                          <w:bCs/>
                        </w:rPr>
                        <w:t>EIC</w:t>
                      </w:r>
                    </w:p>
                    <w:p w14:paraId="479E1B28" w14:textId="77777777" w:rsidR="000601AE" w:rsidRDefault="00C57E93">
                      <w:pPr>
                        <w:pStyle w:val="Zkladntext1"/>
                      </w:pPr>
                      <w:r>
                        <w:rPr>
                          <w:b/>
                          <w:bCs/>
                        </w:rPr>
                        <w:t>Roční odběr (MWh)</w:t>
                      </w:r>
                    </w:p>
                    <w:p w14:paraId="1784BBC1" w14:textId="77777777" w:rsidR="000601AE" w:rsidRDefault="00C57E93">
                      <w:pPr>
                        <w:pStyle w:val="Zkladntext1"/>
                      </w:pPr>
                      <w:r>
                        <w:rPr>
                          <w:b/>
                          <w:bCs/>
                        </w:rPr>
                        <w:t>Adresa</w:t>
                      </w:r>
                    </w:p>
                    <w:p w14:paraId="5A239601" w14:textId="77777777" w:rsidR="000601AE" w:rsidRDefault="00C57E93">
                      <w:pPr>
                        <w:pStyle w:val="Zkladntext1"/>
                      </w:pPr>
                      <w:r>
                        <w:rPr>
                          <w:b/>
                          <w:bCs/>
                        </w:rPr>
                        <w:t>Provozovatel distribuční soustavy</w:t>
                      </w:r>
                    </w:p>
                    <w:p w14:paraId="223E9BBA" w14:textId="77777777" w:rsidR="000601AE" w:rsidRDefault="00C57E93">
                      <w:pPr>
                        <w:pStyle w:val="Zkladntext1"/>
                      </w:pPr>
                      <w:r>
                        <w:rPr>
                          <w:b/>
                          <w:bCs/>
                        </w:rPr>
                        <w:t>Odečet</w:t>
                      </w:r>
                    </w:p>
                    <w:p w14:paraId="56E8EF9B" w14:textId="77777777" w:rsidR="000601AE" w:rsidRDefault="00C57E93">
                      <w:pPr>
                        <w:pStyle w:val="Zkladntext1"/>
                      </w:pPr>
                      <w:r>
                        <w:rPr>
                          <w:b/>
                          <w:bCs/>
                        </w:rPr>
                        <w:t>Typ měření</w:t>
                      </w:r>
                    </w:p>
                    <w:p w14:paraId="413D00A0" w14:textId="77777777" w:rsidR="000601AE" w:rsidRDefault="00C57E93">
                      <w:pPr>
                        <w:pStyle w:val="Zkladntext1"/>
                      </w:pPr>
                      <w:r>
                        <w:rPr>
                          <w:b/>
                          <w:bCs/>
                        </w:rPr>
                        <w:t>Současný dodavatel</w:t>
                      </w:r>
                    </w:p>
                    <w:p w14:paraId="5C4DC281" w14:textId="77777777" w:rsidR="000601AE" w:rsidRDefault="00C57E93">
                      <w:pPr>
                        <w:pStyle w:val="Zkladntext1"/>
                      </w:pPr>
                      <w:r>
                        <w:rPr>
                          <w:b/>
                          <w:bCs/>
                        </w:rPr>
                        <w:t>Typ smlouvy</w:t>
                      </w:r>
                    </w:p>
                    <w:p w14:paraId="2E2BBA89" w14:textId="77777777" w:rsidR="000601AE" w:rsidRDefault="00C57E93">
                      <w:pPr>
                        <w:pStyle w:val="Zkladntext1"/>
                      </w:pPr>
                      <w:r>
                        <w:rPr>
                          <w:b/>
                          <w:bCs/>
                        </w:rPr>
                        <w:t>Fakturace</w:t>
                      </w:r>
                    </w:p>
                  </w:txbxContent>
                </v:textbox>
                <w10:wrap type="square" anchorx="page" anchory="margin"/>
              </v:shape>
            </w:pict>
          </mc:Fallback>
        </mc:AlternateContent>
      </w:r>
      <w:r>
        <w:t>27ZG600Z0009132B</w:t>
      </w:r>
    </w:p>
    <w:p w14:paraId="703887A2" w14:textId="77777777" w:rsidR="000601AE" w:rsidRDefault="00C57E93">
      <w:pPr>
        <w:pStyle w:val="Zkladntext1"/>
        <w:ind w:firstLine="280"/>
      </w:pPr>
      <w:r>
        <w:t>205,359</w:t>
      </w:r>
    </w:p>
    <w:p w14:paraId="43B83D73" w14:textId="48D96A7B" w:rsidR="000601AE" w:rsidRDefault="00DB3188">
      <w:pPr>
        <w:pStyle w:val="Zkladntext1"/>
        <w:ind w:firstLine="280"/>
      </w:pPr>
      <w:r>
        <w:t>Líšeňská</w:t>
      </w:r>
      <w:r w:rsidR="00C57E93">
        <w:t xml:space="preserve"> 2657/</w:t>
      </w:r>
      <w:proofErr w:type="gramStart"/>
      <w:r w:rsidR="00C57E93">
        <w:t>033a</w:t>
      </w:r>
      <w:proofErr w:type="gramEnd"/>
      <w:r w:rsidR="00C57E93">
        <w:t>, Brno - Líšeň, 63600</w:t>
      </w:r>
    </w:p>
    <w:p w14:paraId="0E1A3853" w14:textId="77777777" w:rsidR="000601AE" w:rsidRDefault="00C57E93">
      <w:pPr>
        <w:pStyle w:val="Zkladntext1"/>
        <w:ind w:firstLine="280"/>
      </w:pPr>
      <w:proofErr w:type="spellStart"/>
      <w:r>
        <w:t>GasNet</w:t>
      </w:r>
      <w:proofErr w:type="spellEnd"/>
      <w:r>
        <w:t>, s.r.o.</w:t>
      </w:r>
    </w:p>
    <w:p w14:paraId="1EEF8FF0" w14:textId="77777777" w:rsidR="000601AE" w:rsidRDefault="00C57E93">
      <w:pPr>
        <w:pStyle w:val="Zkladntext1"/>
        <w:ind w:firstLine="280"/>
      </w:pPr>
      <w:r>
        <w:t>samoodečet</w:t>
      </w:r>
    </w:p>
    <w:p w14:paraId="67719E1C" w14:textId="77777777" w:rsidR="000601AE" w:rsidRDefault="00C57E93">
      <w:pPr>
        <w:pStyle w:val="Zkladntext1"/>
        <w:ind w:firstLine="280"/>
      </w:pPr>
      <w:r>
        <w:t>Typ měření C</w:t>
      </w:r>
    </w:p>
    <w:p w14:paraId="0CCB93A8" w14:textId="77777777" w:rsidR="000601AE" w:rsidRDefault="00C57E93">
      <w:pPr>
        <w:pStyle w:val="Zkladntext1"/>
        <w:ind w:firstLine="280"/>
      </w:pPr>
      <w:r>
        <w:t>Pražská plynárenská, a.s.</w:t>
      </w:r>
    </w:p>
    <w:p w14:paraId="78EC54B1" w14:textId="77777777" w:rsidR="000601AE" w:rsidRDefault="00C57E93">
      <w:pPr>
        <w:pStyle w:val="Zkladntext1"/>
        <w:ind w:firstLine="280"/>
      </w:pPr>
      <w:r>
        <w:t>SSSDZP</w:t>
      </w:r>
    </w:p>
    <w:p w14:paraId="1D7A0124" w14:textId="77777777" w:rsidR="000601AE" w:rsidRDefault="00C57E93">
      <w:pPr>
        <w:pStyle w:val="Zkladntext1"/>
        <w:ind w:firstLine="280"/>
      </w:pPr>
      <w:r>
        <w:t xml:space="preserve">Odběratel: Centrum dopravního výzkumu, </w:t>
      </w:r>
      <w:proofErr w:type="spellStart"/>
      <w:r>
        <w:t>v.v.i</w:t>
      </w:r>
      <w:proofErr w:type="spellEnd"/>
      <w:r>
        <w:t>.</w:t>
      </w:r>
    </w:p>
    <w:p w14:paraId="6C8A78D9" w14:textId="77777777" w:rsidR="000601AE" w:rsidRDefault="00C57E93">
      <w:pPr>
        <w:pStyle w:val="Zkladntext1"/>
        <w:ind w:left="3600"/>
      </w:pPr>
      <w:r>
        <w:t>Fakturace: Samostatná - 315788</w:t>
      </w:r>
    </w:p>
    <w:p w14:paraId="174B1492" w14:textId="77777777" w:rsidR="000601AE" w:rsidRDefault="00C57E93">
      <w:pPr>
        <w:pStyle w:val="Zkladntext1"/>
        <w:ind w:left="3600"/>
      </w:pPr>
      <w:r>
        <w:t>Splatnost (počet dní): 30</w:t>
      </w:r>
    </w:p>
    <w:p w14:paraId="3660E2B5" w14:textId="77777777" w:rsidR="000601AE" w:rsidRDefault="00C57E93">
      <w:pPr>
        <w:pStyle w:val="Zkladntext1"/>
        <w:ind w:left="3600"/>
      </w:pPr>
      <w:r>
        <w:t>Typ zálohy: Procentní</w:t>
      </w:r>
    </w:p>
    <w:p w14:paraId="3DE60009" w14:textId="77777777" w:rsidR="000601AE" w:rsidRDefault="00C57E93">
      <w:pPr>
        <w:pStyle w:val="Zkladntext1"/>
        <w:ind w:left="3600"/>
      </w:pPr>
      <w:r>
        <w:t>Velikost zálohy: 100 %</w:t>
      </w:r>
    </w:p>
    <w:p w14:paraId="3B9C41A5" w14:textId="77777777" w:rsidR="000601AE" w:rsidRDefault="00C57E93">
      <w:pPr>
        <w:pStyle w:val="Zkladntext1"/>
        <w:ind w:left="3600"/>
      </w:pPr>
      <w:r>
        <w:t>Frekvence záloh: Kvartálně</w:t>
      </w:r>
    </w:p>
    <w:p w14:paraId="748F31C0" w14:textId="77777777" w:rsidR="000601AE" w:rsidRDefault="00C57E93">
      <w:pPr>
        <w:pStyle w:val="Zkladntext1"/>
        <w:ind w:left="3600"/>
      </w:pPr>
      <w:r>
        <w:t>Typ zasílání faktur: Email</w:t>
      </w:r>
    </w:p>
    <w:p w14:paraId="347498A6" w14:textId="59F50AE0" w:rsidR="000601AE" w:rsidRDefault="00C57E93">
      <w:pPr>
        <w:pStyle w:val="Zkladntext1"/>
        <w:ind w:left="3600"/>
      </w:pPr>
      <w:r>
        <w:t xml:space="preserve">Kontaktní e-mail: </w:t>
      </w:r>
      <w:hyperlink r:id="rId11" w:history="1">
        <w:proofErr w:type="spellStart"/>
        <w:r w:rsidR="00DB3188">
          <w:t>xxxxxxxxxxxxx</w:t>
        </w:r>
        <w:proofErr w:type="spellEnd"/>
      </w:hyperlink>
    </w:p>
    <w:p w14:paraId="7810E28E" w14:textId="62FBD637" w:rsidR="000601AE" w:rsidRDefault="00C57E93">
      <w:pPr>
        <w:pStyle w:val="Zkladntext1"/>
        <w:ind w:left="3600"/>
      </w:pPr>
      <w:r>
        <w:t xml:space="preserve">Kontaktní adresa: </w:t>
      </w:r>
      <w:r w:rsidR="00DB3188">
        <w:t>Líšeňská</w:t>
      </w:r>
      <w:r>
        <w:t xml:space="preserve"> </w:t>
      </w:r>
      <w:proofErr w:type="gramStart"/>
      <w:r>
        <w:t>33a</w:t>
      </w:r>
      <w:proofErr w:type="gramEnd"/>
      <w:r>
        <w:t>, Brno 36, 63600</w:t>
      </w:r>
    </w:p>
    <w:p w14:paraId="3AD06204" w14:textId="77777777" w:rsidR="000601AE" w:rsidRDefault="00C57E93">
      <w:pPr>
        <w:pStyle w:val="Zkladntext1"/>
        <w:ind w:left="3600"/>
      </w:pPr>
      <w:r>
        <w:t>Typ úhrady: příkaz k úhradě</w:t>
      </w:r>
    </w:p>
    <w:p w14:paraId="674CF3D1" w14:textId="77777777" w:rsidR="000601AE" w:rsidRDefault="00C57E93">
      <w:pPr>
        <w:pStyle w:val="Zkladntext1"/>
        <w:ind w:left="3600"/>
      </w:pPr>
      <w:r>
        <w:t>Číslo účtu: 100736621/0100</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74"/>
        <w:gridCol w:w="5702"/>
      </w:tblGrid>
      <w:tr w:rsidR="000601AE" w14:paraId="101DE43B" w14:textId="77777777">
        <w:trPr>
          <w:trHeight w:hRule="exact" w:val="5395"/>
          <w:jc w:val="center"/>
        </w:trPr>
        <w:tc>
          <w:tcPr>
            <w:tcW w:w="3374" w:type="dxa"/>
            <w:shd w:val="clear" w:color="auto" w:fill="FFFFFF"/>
          </w:tcPr>
          <w:p w14:paraId="0E3273E4" w14:textId="77777777" w:rsidR="000601AE" w:rsidRDefault="00C57E93">
            <w:pPr>
              <w:pStyle w:val="Jin0"/>
            </w:pPr>
            <w:r>
              <w:rPr>
                <w:b/>
                <w:bCs/>
              </w:rPr>
              <w:lastRenderedPageBreak/>
              <w:t>EIC</w:t>
            </w:r>
          </w:p>
          <w:p w14:paraId="4094B8EF" w14:textId="77777777" w:rsidR="000601AE" w:rsidRDefault="00C57E93">
            <w:pPr>
              <w:pStyle w:val="Jin0"/>
            </w:pPr>
            <w:r>
              <w:rPr>
                <w:b/>
                <w:bCs/>
              </w:rPr>
              <w:t>Roční odběr (</w:t>
            </w:r>
            <w:proofErr w:type="spellStart"/>
            <w:r>
              <w:rPr>
                <w:b/>
                <w:bCs/>
              </w:rPr>
              <w:t>MWh</w:t>
            </w:r>
            <w:proofErr w:type="spellEnd"/>
            <w:r>
              <w:rPr>
                <w:b/>
                <w:bCs/>
              </w:rPr>
              <w:t>)</w:t>
            </w:r>
          </w:p>
          <w:p w14:paraId="24879120" w14:textId="77777777" w:rsidR="000601AE" w:rsidRDefault="00C57E93">
            <w:pPr>
              <w:pStyle w:val="Jin0"/>
            </w:pPr>
            <w:r>
              <w:rPr>
                <w:b/>
                <w:bCs/>
              </w:rPr>
              <w:t>Adresa</w:t>
            </w:r>
          </w:p>
          <w:p w14:paraId="7FD74C77" w14:textId="77777777" w:rsidR="000601AE" w:rsidRDefault="00C57E93">
            <w:pPr>
              <w:pStyle w:val="Jin0"/>
            </w:pPr>
            <w:r>
              <w:rPr>
                <w:b/>
                <w:bCs/>
              </w:rPr>
              <w:t>Provozovatel distribuční soustavy</w:t>
            </w:r>
          </w:p>
          <w:p w14:paraId="019D7B41" w14:textId="77777777" w:rsidR="000601AE" w:rsidRDefault="00C57E93">
            <w:pPr>
              <w:pStyle w:val="Jin0"/>
            </w:pPr>
            <w:r>
              <w:rPr>
                <w:b/>
                <w:bCs/>
              </w:rPr>
              <w:t>Odečet</w:t>
            </w:r>
          </w:p>
          <w:p w14:paraId="118E1035" w14:textId="77777777" w:rsidR="000601AE" w:rsidRDefault="00C57E93">
            <w:pPr>
              <w:pStyle w:val="Jin0"/>
            </w:pPr>
            <w:r>
              <w:rPr>
                <w:b/>
                <w:bCs/>
              </w:rPr>
              <w:t>Typ měření</w:t>
            </w:r>
          </w:p>
          <w:p w14:paraId="12107F73" w14:textId="77777777" w:rsidR="000601AE" w:rsidRDefault="00C57E93">
            <w:pPr>
              <w:pStyle w:val="Jin0"/>
            </w:pPr>
            <w:r>
              <w:rPr>
                <w:b/>
                <w:bCs/>
              </w:rPr>
              <w:t>Současný dodavatel</w:t>
            </w:r>
          </w:p>
          <w:p w14:paraId="1DF6149E" w14:textId="77777777" w:rsidR="000601AE" w:rsidRDefault="00C57E93">
            <w:pPr>
              <w:pStyle w:val="Jin0"/>
            </w:pPr>
            <w:r>
              <w:rPr>
                <w:b/>
                <w:bCs/>
              </w:rPr>
              <w:t>Typ smlouvy</w:t>
            </w:r>
          </w:p>
          <w:p w14:paraId="0481A537" w14:textId="77777777" w:rsidR="000601AE" w:rsidRDefault="00C57E93">
            <w:pPr>
              <w:pStyle w:val="Jin0"/>
            </w:pPr>
            <w:r>
              <w:rPr>
                <w:b/>
                <w:bCs/>
              </w:rPr>
              <w:t>Fakturace</w:t>
            </w:r>
          </w:p>
        </w:tc>
        <w:tc>
          <w:tcPr>
            <w:tcW w:w="5702" w:type="dxa"/>
            <w:shd w:val="clear" w:color="auto" w:fill="FFFFFF"/>
          </w:tcPr>
          <w:p w14:paraId="7CABE676" w14:textId="77777777" w:rsidR="000601AE" w:rsidRDefault="00C57E93">
            <w:pPr>
              <w:pStyle w:val="Jin0"/>
              <w:ind w:firstLine="220"/>
            </w:pPr>
            <w:r>
              <w:t>27ZG600Z0021028Y</w:t>
            </w:r>
          </w:p>
          <w:p w14:paraId="69B53D41" w14:textId="77777777" w:rsidR="000601AE" w:rsidRDefault="00C57E93">
            <w:pPr>
              <w:pStyle w:val="Jin0"/>
              <w:ind w:firstLine="220"/>
            </w:pPr>
            <w:r>
              <w:t>100</w:t>
            </w:r>
          </w:p>
          <w:p w14:paraId="68FBDCEC" w14:textId="77777777" w:rsidR="000601AE" w:rsidRDefault="00C57E93">
            <w:pPr>
              <w:pStyle w:val="Jin0"/>
              <w:ind w:firstLine="220"/>
            </w:pPr>
            <w:r>
              <w:t>Olbrachtova 1740, Tišnov, 66603</w:t>
            </w:r>
          </w:p>
          <w:p w14:paraId="215742AC" w14:textId="77777777" w:rsidR="000601AE" w:rsidRDefault="00C57E93">
            <w:pPr>
              <w:pStyle w:val="Jin0"/>
              <w:ind w:firstLine="220"/>
            </w:pPr>
            <w:proofErr w:type="spellStart"/>
            <w:r>
              <w:t>GasNet</w:t>
            </w:r>
            <w:proofErr w:type="spellEnd"/>
            <w:r>
              <w:t>, s.r.o.</w:t>
            </w:r>
          </w:p>
          <w:p w14:paraId="2BA57A68" w14:textId="77777777" w:rsidR="000601AE" w:rsidRDefault="00C57E93">
            <w:pPr>
              <w:pStyle w:val="Jin0"/>
              <w:ind w:firstLine="220"/>
            </w:pPr>
            <w:r>
              <w:t>samoodečet</w:t>
            </w:r>
          </w:p>
          <w:p w14:paraId="0655AAEC" w14:textId="77777777" w:rsidR="000601AE" w:rsidRDefault="00C57E93">
            <w:pPr>
              <w:pStyle w:val="Jin0"/>
              <w:ind w:firstLine="220"/>
            </w:pPr>
            <w:r>
              <w:t>Typ měření C</w:t>
            </w:r>
          </w:p>
          <w:p w14:paraId="1F8AC99F" w14:textId="77777777" w:rsidR="000601AE" w:rsidRDefault="00C57E93">
            <w:pPr>
              <w:pStyle w:val="Jin0"/>
              <w:ind w:firstLine="220"/>
            </w:pPr>
            <w:r>
              <w:t>Pražská plynárenská, a.s.</w:t>
            </w:r>
          </w:p>
          <w:p w14:paraId="2A65A0D8" w14:textId="77777777" w:rsidR="000601AE" w:rsidRDefault="00C57E93">
            <w:pPr>
              <w:pStyle w:val="Jin0"/>
              <w:ind w:firstLine="220"/>
            </w:pPr>
            <w:r>
              <w:t>SSSDZP</w:t>
            </w:r>
          </w:p>
          <w:p w14:paraId="17D84E45" w14:textId="77777777" w:rsidR="000601AE" w:rsidRDefault="00C57E93">
            <w:pPr>
              <w:pStyle w:val="Jin0"/>
              <w:ind w:firstLine="220"/>
            </w:pPr>
            <w:r>
              <w:t xml:space="preserve">Odběratel: Centrum dopravního výzkumu, </w:t>
            </w:r>
            <w:proofErr w:type="spellStart"/>
            <w:r>
              <w:t>v.v.i</w:t>
            </w:r>
            <w:proofErr w:type="spellEnd"/>
            <w:r>
              <w:t>.</w:t>
            </w:r>
          </w:p>
          <w:p w14:paraId="603F71B3" w14:textId="77777777" w:rsidR="000601AE" w:rsidRDefault="00C57E93">
            <w:pPr>
              <w:pStyle w:val="Jin0"/>
              <w:ind w:firstLine="220"/>
            </w:pPr>
            <w:r>
              <w:t>Fakturace: Samostatná - 315790</w:t>
            </w:r>
          </w:p>
          <w:p w14:paraId="7CF9C88D" w14:textId="77777777" w:rsidR="000601AE" w:rsidRDefault="00C57E93">
            <w:pPr>
              <w:pStyle w:val="Jin0"/>
              <w:ind w:firstLine="220"/>
            </w:pPr>
            <w:r>
              <w:t>Splatnost (počet dní): 30</w:t>
            </w:r>
          </w:p>
          <w:p w14:paraId="158FB1FA" w14:textId="77777777" w:rsidR="000601AE" w:rsidRDefault="00C57E93">
            <w:pPr>
              <w:pStyle w:val="Jin0"/>
              <w:ind w:firstLine="220"/>
            </w:pPr>
            <w:r>
              <w:t>Typ zálohy: Procentní</w:t>
            </w:r>
          </w:p>
          <w:p w14:paraId="44AB74E6" w14:textId="77777777" w:rsidR="000601AE" w:rsidRDefault="00C57E93">
            <w:pPr>
              <w:pStyle w:val="Jin0"/>
              <w:ind w:firstLine="220"/>
            </w:pPr>
            <w:r>
              <w:t>Velikost zálohy: 100 %</w:t>
            </w:r>
          </w:p>
          <w:p w14:paraId="00B0746D" w14:textId="77777777" w:rsidR="000601AE" w:rsidRDefault="00C57E93">
            <w:pPr>
              <w:pStyle w:val="Jin0"/>
              <w:ind w:firstLine="220"/>
            </w:pPr>
            <w:r>
              <w:t>Frekvence záloh: Kvartálně</w:t>
            </w:r>
          </w:p>
          <w:p w14:paraId="0C6F170C" w14:textId="77777777" w:rsidR="000601AE" w:rsidRDefault="00C57E93">
            <w:pPr>
              <w:pStyle w:val="Jin0"/>
              <w:ind w:firstLine="220"/>
            </w:pPr>
            <w:r>
              <w:t>Typ zasílání faktur: Email</w:t>
            </w:r>
          </w:p>
          <w:p w14:paraId="1CD3E99A" w14:textId="09E72FD1" w:rsidR="000601AE" w:rsidRDefault="00C57E93">
            <w:pPr>
              <w:pStyle w:val="Jin0"/>
              <w:ind w:firstLine="220"/>
            </w:pPr>
            <w:r>
              <w:t xml:space="preserve">Kontaktní e-mail: </w:t>
            </w:r>
            <w:hyperlink r:id="rId12" w:history="1">
              <w:proofErr w:type="spellStart"/>
              <w:r w:rsidR="00DB3188">
                <w:t>xxxxxxxxxxx</w:t>
              </w:r>
              <w:proofErr w:type="spellEnd"/>
            </w:hyperlink>
          </w:p>
          <w:p w14:paraId="08B56771" w14:textId="08EF2F02" w:rsidR="000601AE" w:rsidRDefault="00C57E93">
            <w:pPr>
              <w:pStyle w:val="Jin0"/>
              <w:ind w:firstLine="220"/>
            </w:pPr>
            <w:r>
              <w:t xml:space="preserve">Kontaktní adresa: </w:t>
            </w:r>
            <w:r w:rsidR="00DB3188">
              <w:t>Líšeňská</w:t>
            </w:r>
            <w:r>
              <w:t xml:space="preserve"> </w:t>
            </w:r>
            <w:proofErr w:type="gramStart"/>
            <w:r>
              <w:t>33a</w:t>
            </w:r>
            <w:proofErr w:type="gramEnd"/>
            <w:r>
              <w:t>, Brno 36, 63600</w:t>
            </w:r>
          </w:p>
          <w:p w14:paraId="324E1582" w14:textId="77777777" w:rsidR="000601AE" w:rsidRDefault="00C57E93">
            <w:pPr>
              <w:pStyle w:val="Jin0"/>
              <w:ind w:firstLine="220"/>
            </w:pPr>
            <w:r>
              <w:t>Typ úhrady: příkaz k úhradě</w:t>
            </w:r>
          </w:p>
          <w:p w14:paraId="789BE7F0" w14:textId="77777777" w:rsidR="000601AE" w:rsidRDefault="00C57E93">
            <w:pPr>
              <w:pStyle w:val="Jin0"/>
              <w:ind w:firstLine="220"/>
            </w:pPr>
            <w:r>
              <w:t>Číslo účtu: 100736621/0100</w:t>
            </w:r>
          </w:p>
        </w:tc>
      </w:tr>
    </w:tbl>
    <w:p w14:paraId="65C954DE" w14:textId="77777777" w:rsidR="000601AE" w:rsidRDefault="000601AE">
      <w:pPr>
        <w:sectPr w:rsidR="000601AE">
          <w:headerReference w:type="default" r:id="rId13"/>
          <w:footerReference w:type="default" r:id="rId14"/>
          <w:headerReference w:type="first" r:id="rId15"/>
          <w:footerReference w:type="first" r:id="rId16"/>
          <w:pgSz w:w="11900" w:h="16840"/>
          <w:pgMar w:top="1867" w:right="1130" w:bottom="1457" w:left="1184" w:header="0" w:footer="3" w:gutter="0"/>
          <w:cols w:space="720"/>
          <w:noEndnote/>
          <w:titlePg/>
          <w:docGrid w:linePitch="360"/>
        </w:sectPr>
      </w:pPr>
    </w:p>
    <w:p w14:paraId="77C9B3A5" w14:textId="77777777" w:rsidR="000601AE" w:rsidRDefault="00C57E93">
      <w:pPr>
        <w:pStyle w:val="Zkladntext1"/>
        <w:spacing w:before="120" w:after="560"/>
        <w:jc w:val="center"/>
      </w:pPr>
      <w:r>
        <w:rPr>
          <w:b/>
          <w:bCs/>
          <w:i/>
          <w:iCs/>
        </w:rPr>
        <w:lastRenderedPageBreak/>
        <w:t>PODMÍNKY DODÁVKY PLYNU</w:t>
      </w:r>
    </w:p>
    <w:p w14:paraId="0FFDA978" w14:textId="77777777" w:rsidR="000601AE" w:rsidRDefault="00C57E93">
      <w:pPr>
        <w:pStyle w:val="Nadpis20"/>
        <w:keepNext/>
        <w:keepLines/>
        <w:numPr>
          <w:ilvl w:val="0"/>
          <w:numId w:val="5"/>
        </w:numPr>
        <w:tabs>
          <w:tab w:val="left" w:pos="542"/>
        </w:tabs>
        <w:jc w:val="both"/>
      </w:pPr>
      <w:bookmarkStart w:id="37" w:name="bookmark39"/>
      <w:bookmarkStart w:id="38" w:name="bookmark37"/>
      <w:bookmarkStart w:id="39" w:name="bookmark38"/>
      <w:bookmarkStart w:id="40" w:name="bookmark40"/>
      <w:bookmarkEnd w:id="37"/>
      <w:r>
        <w:t>Základní ustanovení</w:t>
      </w:r>
      <w:bookmarkEnd w:id="38"/>
      <w:bookmarkEnd w:id="39"/>
      <w:bookmarkEnd w:id="40"/>
    </w:p>
    <w:p w14:paraId="115B230F" w14:textId="77777777" w:rsidR="000601AE" w:rsidRDefault="00C57E93">
      <w:pPr>
        <w:pStyle w:val="Zkladntext1"/>
        <w:numPr>
          <w:ilvl w:val="0"/>
          <w:numId w:val="6"/>
        </w:numPr>
        <w:tabs>
          <w:tab w:val="left" w:pos="1092"/>
        </w:tabs>
        <w:spacing w:after="40"/>
        <w:ind w:left="1080" w:hanging="520"/>
        <w:jc w:val="both"/>
      </w:pPr>
      <w:bookmarkStart w:id="41" w:name="bookmark41"/>
      <w:bookmarkEnd w:id="41"/>
      <w:r>
        <w:t xml:space="preserve">Nevyplývá-li z kontextu dále něco jiného, pojmy použité v těchto příloze (dále jen </w:t>
      </w:r>
      <w:r>
        <w:rPr>
          <w:b/>
          <w:bCs/>
        </w:rPr>
        <w:t xml:space="preserve">„Podmínky") </w:t>
      </w:r>
      <w:r>
        <w:t xml:space="preserve">mají význam uvedený v Burzovních pravidlech pro trh s komoditami pro konečné zákazníky (ČR) vydaných společností POWER EXCHANGE CENTRAL EUROPE, a.s. (dále jen </w:t>
      </w:r>
      <w:r>
        <w:rPr>
          <w:b/>
          <w:bCs/>
        </w:rPr>
        <w:t>„PXE“).</w:t>
      </w:r>
    </w:p>
    <w:p w14:paraId="705CAE58" w14:textId="77777777" w:rsidR="000601AE" w:rsidRDefault="00C57E93">
      <w:pPr>
        <w:pStyle w:val="Zkladntext1"/>
        <w:numPr>
          <w:ilvl w:val="0"/>
          <w:numId w:val="6"/>
        </w:numPr>
        <w:tabs>
          <w:tab w:val="left" w:pos="1092"/>
        </w:tabs>
        <w:spacing w:after="40"/>
        <w:ind w:left="1080" w:hanging="520"/>
        <w:jc w:val="both"/>
      </w:pPr>
      <w:bookmarkStart w:id="42" w:name="bookmark42"/>
      <w:bookmarkEnd w:id="42"/>
      <w:r>
        <w:t xml:space="preserve">Uzavřením Burzovního obchodu mezi Odběratelem a Dodavatelem (dále společně též </w:t>
      </w:r>
      <w:r>
        <w:rPr>
          <w:b/>
          <w:bCs/>
        </w:rPr>
        <w:t xml:space="preserve">„Smluvní strany") </w:t>
      </w:r>
      <w:r>
        <w:t xml:space="preserve">dochází k uzavření smlouvy o dodávce plynu nebo smlouvy o sdružených službách dodávky plynu za podmínek, o parametrech a v časovém průběhu uvedeném v Poptávce Odběratele a za cenu uvedenou v Nabídce Dodavatele nebo, v případě tzv. postupného nákupu, za cenu vypočtenou dle Nabídky Dodavatele, Poptávky Odběratele a Burzovních pravidel PXE pro trh s komoditami pro konečné zákazníky (ČR) platných ke dni uzavření Burzovního obchodu (dále jen </w:t>
      </w:r>
      <w:r>
        <w:rPr>
          <w:b/>
          <w:bCs/>
        </w:rPr>
        <w:t>„Smlouva“).</w:t>
      </w:r>
    </w:p>
    <w:p w14:paraId="2E995324" w14:textId="77777777" w:rsidR="000601AE" w:rsidRDefault="00C57E93">
      <w:pPr>
        <w:pStyle w:val="Zkladntext1"/>
        <w:numPr>
          <w:ilvl w:val="0"/>
          <w:numId w:val="6"/>
        </w:numPr>
        <w:tabs>
          <w:tab w:val="left" w:pos="1092"/>
        </w:tabs>
        <w:spacing w:after="40"/>
        <w:ind w:left="1080" w:hanging="520"/>
        <w:jc w:val="both"/>
      </w:pPr>
      <w:bookmarkStart w:id="43" w:name="bookmark43"/>
      <w:bookmarkEnd w:id="43"/>
      <w:r>
        <w:t xml:space="preserve">Uzavřením Smlouvy se Dodavatel, který je stranou Burzovního obchodu (dále jen </w:t>
      </w:r>
      <w:r>
        <w:rPr>
          <w:b/>
          <w:bCs/>
        </w:rPr>
        <w:t xml:space="preserve">„Dodavatel“) </w:t>
      </w:r>
      <w:r>
        <w:t xml:space="preserve">zavazuje dodávat Odběrateli, který je stranou Burzovního obchodu (dále jen </w:t>
      </w:r>
      <w:r>
        <w:rPr>
          <w:b/>
          <w:bCs/>
        </w:rPr>
        <w:t xml:space="preserve">„Odběratel“) </w:t>
      </w:r>
      <w:r>
        <w:t>Plyn za podmínek stanovených v Poptávce, Nabídce a Podmínkách. Odběratel se zavazuje zaplatit za dodávky Plynu Dodavateli sjednanou cenu. Pro vyloučení pochybností platí, že Odběratelem je i každý ze Sdružených Odběratelů.</w:t>
      </w:r>
    </w:p>
    <w:p w14:paraId="4B175894" w14:textId="77777777" w:rsidR="000601AE" w:rsidRDefault="00C57E93">
      <w:pPr>
        <w:pStyle w:val="Zkladntext1"/>
        <w:numPr>
          <w:ilvl w:val="0"/>
          <w:numId w:val="6"/>
        </w:numPr>
        <w:tabs>
          <w:tab w:val="left" w:pos="1092"/>
        </w:tabs>
        <w:spacing w:after="40"/>
        <w:ind w:left="1080" w:hanging="520"/>
        <w:jc w:val="both"/>
      </w:pPr>
      <w:bookmarkStart w:id="44" w:name="bookmark44"/>
      <w:bookmarkEnd w:id="44"/>
      <w:r>
        <w:t>Stanoví-li Poptávka, že má být dodávka uskutečněna na základě smlouvy o sdružených službách dodávky plynu, zajistí Dodavatel pro Odběratele na vlastní jméno a na vlastní účet sdružené služby dodávky tak, jak jsou specifikovány v Poptávce (sdružené služby dodávky plynu).</w:t>
      </w:r>
    </w:p>
    <w:p w14:paraId="59AE1110" w14:textId="77777777" w:rsidR="000601AE" w:rsidRDefault="00C57E93">
      <w:pPr>
        <w:pStyle w:val="Zkladntext1"/>
        <w:numPr>
          <w:ilvl w:val="0"/>
          <w:numId w:val="6"/>
        </w:numPr>
        <w:tabs>
          <w:tab w:val="left" w:pos="1092"/>
        </w:tabs>
        <w:spacing w:after="40"/>
        <w:ind w:left="1080" w:hanging="520"/>
        <w:jc w:val="both"/>
      </w:pPr>
      <w:bookmarkStart w:id="45" w:name="bookmark45"/>
      <w:bookmarkEnd w:id="45"/>
      <w:r>
        <w:t>Výčet odběrných míst uvedený v Poptávce nebo její příloze je rovněž nedílnou součástí Smlouvy.</w:t>
      </w:r>
    </w:p>
    <w:p w14:paraId="05D170DA" w14:textId="77777777" w:rsidR="000601AE" w:rsidRDefault="00C57E93">
      <w:pPr>
        <w:pStyle w:val="Zkladntext1"/>
        <w:numPr>
          <w:ilvl w:val="0"/>
          <w:numId w:val="6"/>
        </w:numPr>
        <w:tabs>
          <w:tab w:val="left" w:pos="1092"/>
        </w:tabs>
        <w:spacing w:after="220"/>
        <w:ind w:left="1080" w:hanging="520"/>
        <w:jc w:val="both"/>
      </w:pPr>
      <w:bookmarkStart w:id="46" w:name="bookmark46"/>
      <w:bookmarkEnd w:id="46"/>
      <w:r>
        <w:t xml:space="preserve">Smlouva je uzavírána na dobu plnění dodávek stanovenou v Poptávce. Není-li v Poptávce stanoveno jinak, dodávkové období začíná v 6:00:00 hodin prvního kalendářního dne dodávkového období a </w:t>
      </w:r>
      <w:proofErr w:type="gramStart"/>
      <w:r>
        <w:t>končí</w:t>
      </w:r>
      <w:proofErr w:type="gramEnd"/>
      <w:r>
        <w:t xml:space="preserve"> v 6:00:00 hodin posledního kalendářního dne dodávkového období (tj. např. dodávkové období vymezené jako doba od 1.1.2017 do 1.1.2018 začíná 1.1.2017 v 6:00:00 hod. a končí 1.1.2018 v 6:00:00 hod.).</w:t>
      </w:r>
    </w:p>
    <w:p w14:paraId="4EE30D19" w14:textId="77777777" w:rsidR="000601AE" w:rsidRDefault="00C57E93">
      <w:pPr>
        <w:pStyle w:val="Nadpis20"/>
        <w:keepNext/>
        <w:keepLines/>
        <w:numPr>
          <w:ilvl w:val="0"/>
          <w:numId w:val="5"/>
        </w:numPr>
        <w:tabs>
          <w:tab w:val="left" w:pos="542"/>
        </w:tabs>
        <w:jc w:val="both"/>
      </w:pPr>
      <w:bookmarkStart w:id="47" w:name="bookmark49"/>
      <w:bookmarkStart w:id="48" w:name="bookmark47"/>
      <w:bookmarkStart w:id="49" w:name="bookmark48"/>
      <w:bookmarkStart w:id="50" w:name="bookmark50"/>
      <w:bookmarkEnd w:id="47"/>
      <w:r>
        <w:t>Práva a povinnosti Smluvních stran</w:t>
      </w:r>
      <w:bookmarkEnd w:id="48"/>
      <w:bookmarkEnd w:id="49"/>
      <w:bookmarkEnd w:id="50"/>
    </w:p>
    <w:p w14:paraId="777A50DE" w14:textId="77777777" w:rsidR="000601AE" w:rsidRDefault="00C57E93">
      <w:pPr>
        <w:pStyle w:val="Zkladntext1"/>
        <w:numPr>
          <w:ilvl w:val="0"/>
          <w:numId w:val="7"/>
        </w:numPr>
        <w:tabs>
          <w:tab w:val="left" w:pos="1092"/>
        </w:tabs>
        <w:spacing w:after="40"/>
        <w:ind w:left="1080" w:hanging="520"/>
        <w:jc w:val="both"/>
      </w:pPr>
      <w:bookmarkStart w:id="51" w:name="bookmark51"/>
      <w:bookmarkEnd w:id="51"/>
      <w:r>
        <w:t>Odběratel není povinen odebrat přesně předpokládané množství Plynu uvedené v Poptávce. Pokud Odběratel odebere Plyn v množství, které se od spotřeby předpokládané Poptávkou neodchyluje více než o 15 % (dále jen „Tolerance“), nemá tato skutečnost vliv na sjednanou jednotkovou cenu a není ani předmětem žádného poplatku nebo sankční platby ze strany Dodavatele.</w:t>
      </w:r>
    </w:p>
    <w:p w14:paraId="2A7D5E38" w14:textId="77777777" w:rsidR="000601AE" w:rsidRDefault="00C57E93">
      <w:pPr>
        <w:pStyle w:val="Zkladntext1"/>
        <w:numPr>
          <w:ilvl w:val="0"/>
          <w:numId w:val="7"/>
        </w:numPr>
        <w:tabs>
          <w:tab w:val="left" w:pos="1092"/>
        </w:tabs>
        <w:spacing w:after="40"/>
        <w:ind w:left="1080" w:hanging="520"/>
        <w:jc w:val="both"/>
      </w:pPr>
      <w:bookmarkStart w:id="52" w:name="bookmark52"/>
      <w:bookmarkEnd w:id="52"/>
      <w:r>
        <w:t xml:space="preserve">V případě, že Odběratel odebere méně Plynu, než činí předpokládaná spotřeba a současně </w:t>
      </w:r>
      <w:proofErr w:type="gramStart"/>
      <w:r>
        <w:t>překročí</w:t>
      </w:r>
      <w:proofErr w:type="gramEnd"/>
      <w:r>
        <w:t xml:space="preserve"> Toleranci, je Odběratel povinen Dodavateli uhradit nezbytně a účelně vynaložené náklady, které by jinak v případě odběru pohybujícího se v rámci Tolerance Dodavatel nevynaložil (zejména účelné náklady či újma spojené s prodejem nadbytečného Plynu).</w:t>
      </w:r>
    </w:p>
    <w:p w14:paraId="269450B4" w14:textId="77777777" w:rsidR="000601AE" w:rsidRDefault="00C57E93">
      <w:pPr>
        <w:pStyle w:val="Zkladntext1"/>
        <w:numPr>
          <w:ilvl w:val="0"/>
          <w:numId w:val="7"/>
        </w:numPr>
        <w:tabs>
          <w:tab w:val="left" w:pos="1092"/>
        </w:tabs>
        <w:ind w:left="1080" w:hanging="520"/>
        <w:jc w:val="both"/>
      </w:pPr>
      <w:bookmarkStart w:id="53" w:name="bookmark53"/>
      <w:bookmarkEnd w:id="53"/>
      <w:r>
        <w:t xml:space="preserve">V případě, že Odběratel odebere více Plynu, než činí předpokládaná spotřeba a současně </w:t>
      </w:r>
      <w:proofErr w:type="gramStart"/>
      <w:r>
        <w:t>překročí</w:t>
      </w:r>
      <w:proofErr w:type="gramEnd"/>
      <w:r>
        <w:t xml:space="preserve"> Toleranci, Dodavatel dodá Odběrateli Plyn v rozsahu překračujícím Toleranci za referenční spotovou cenu publikovanou na spotovém trhu PXE (dále jen </w:t>
      </w:r>
      <w:r>
        <w:rPr>
          <w:b/>
          <w:bCs/>
        </w:rPr>
        <w:t xml:space="preserve">„Spotová cena“). </w:t>
      </w:r>
      <w:r>
        <w:t xml:space="preserve">Referenční spotovou cenou se rozumí, pro každý jednotlivý den, kdy byla překračována Tolerance, referenční spotová cena publikovaná v takový den na spotovém trhu PXE. Dodavatel je oprávněn si ke Spotové ceně připočíst přirážku v maximální výši </w:t>
      </w:r>
      <w:proofErr w:type="gramStart"/>
      <w:r>
        <w:t>15%</w:t>
      </w:r>
      <w:proofErr w:type="gramEnd"/>
      <w:r>
        <w:t xml:space="preserve"> ze Spotové ceny. Tato přirážka pokryje veškeré účelně vynaložené náklady spojené s koupí Plynu pro dodatečný odběr a Dodavatel není oprávněn účtovat Odběrateli žádné další náklady vynaložené na tento účel. Odběratel je oprávněn v Poptávce stanovit pravidla odchylná od ustanovení odstavců 2.1 až 2.3. Pro vyloučení pochybností platí, že skutečnost, zda odběr byl nebo nebyl v rámci Tolerance, se posuzuje u každého ze Sdružených Odběratelů zvlášť.</w:t>
      </w:r>
    </w:p>
    <w:p w14:paraId="22E8D25F" w14:textId="77777777" w:rsidR="000601AE" w:rsidRDefault="00C57E93">
      <w:pPr>
        <w:pStyle w:val="Zkladntext1"/>
        <w:numPr>
          <w:ilvl w:val="0"/>
          <w:numId w:val="7"/>
        </w:numPr>
        <w:tabs>
          <w:tab w:val="left" w:pos="1082"/>
        </w:tabs>
        <w:ind w:left="1060" w:hanging="520"/>
        <w:jc w:val="both"/>
      </w:pPr>
      <w:bookmarkStart w:id="54" w:name="bookmark54"/>
      <w:bookmarkEnd w:id="54"/>
      <w:r>
        <w:lastRenderedPageBreak/>
        <w:t xml:space="preserve">Odběratel je oprávněn jednostranně z důvodu provozních potřeb v průběhu trvání smluvního vztahu, před i v průběhu dodávkového období, snížit nebo zvýšit počet odběrných míst Odběratele původně specifikovaných v Poptávce nebo její příloze, a to v každé z kategorií těchto odběrných míst. Dodavatel je v takovém případě povinen poskytovat plnění dle Smlouvy vždy ve vztahu k aktuálně platnému počtu odběrných míst Odběratele. Dodavatel zahájí dodávku Plynu do nového odběrného místa od okamžiku požadovaného Odběratelem v oznámení o zřízení/přidání nového odběrného místa. Oznámení o zřízení/přidání odběrného místa musí být doručeno Dodavateli tak, aby bylo možné provést registraci/přepis odběrného místa v souladu s právními předpisy a Obchodními podmínkami OTE, a.s. pro plynárenství. Pro dodávku Plynu do nového odběrného místa platí podmínky sjednané v rámci Smlouvy; Dodavatel zejména garantuje Odběrateli stejnou výši ceny za jednotku i pro nová odběrná místa. V případech zrušení/odebrání odběrného místa u Odběratele z důvodu provozních potřeb, zejména z důvodu převodu vlastnických práv k odběrnému místu, odstranění odběrného místa, demolice, zničení </w:t>
      </w:r>
      <w:proofErr w:type="gramStart"/>
      <w:r>
        <w:t>živelnou</w:t>
      </w:r>
      <w:proofErr w:type="gramEnd"/>
      <w:r>
        <w:t xml:space="preserve"> pohromou, je Odběratel oprávněn ukončit smluvní vztah s Dodavatelem k danému odběrnému místu ke dni požadovanému Odběratelem v oznámení Dodavateli o zrušení/odebrání odběrného místa, a to bez nároku Dodavatele na finanční kompenzaci. Oznámení o zrušení/odebrání odběrného místa musí být doručeno Dodavateli tak, aby bylo možné zrušit registraci/ provést přepis odběrného místa v souladu s právními předpisy a Obchodními podmínkami OTE, a.s. pro plynárenství. Ustanovení odst. 2.1 až 2.3 těchto podmínek tím však nejsou dotčena.</w:t>
      </w:r>
    </w:p>
    <w:p w14:paraId="58DB5D34" w14:textId="77777777" w:rsidR="000601AE" w:rsidRDefault="00C57E93">
      <w:pPr>
        <w:pStyle w:val="Zkladntext1"/>
        <w:numPr>
          <w:ilvl w:val="0"/>
          <w:numId w:val="7"/>
        </w:numPr>
        <w:tabs>
          <w:tab w:val="left" w:pos="1082"/>
        </w:tabs>
        <w:ind w:left="1060" w:hanging="520"/>
        <w:jc w:val="both"/>
      </w:pPr>
      <w:bookmarkStart w:id="55" w:name="bookmark55"/>
      <w:bookmarkEnd w:id="55"/>
      <w:r>
        <w:t>Odpovědnost za odchylku ve všech odběrných místech nese Dodavatel, pokud Odběratel v Poptávce neuvedl jinak.</w:t>
      </w:r>
    </w:p>
    <w:p w14:paraId="729373CC" w14:textId="77777777" w:rsidR="000601AE" w:rsidRDefault="00C57E93">
      <w:pPr>
        <w:pStyle w:val="Zkladntext1"/>
        <w:numPr>
          <w:ilvl w:val="0"/>
          <w:numId w:val="7"/>
        </w:numPr>
        <w:tabs>
          <w:tab w:val="left" w:pos="1082"/>
        </w:tabs>
        <w:ind w:firstLine="520"/>
        <w:jc w:val="both"/>
      </w:pPr>
      <w:bookmarkStart w:id="56" w:name="bookmark56"/>
      <w:bookmarkEnd w:id="56"/>
      <w:r>
        <w:t>Dodavatel je povinen mimo jiné:</w:t>
      </w:r>
    </w:p>
    <w:p w14:paraId="1DCE4622" w14:textId="77777777" w:rsidR="000601AE" w:rsidRDefault="00C57E93">
      <w:pPr>
        <w:pStyle w:val="Zkladntext1"/>
        <w:numPr>
          <w:ilvl w:val="0"/>
          <w:numId w:val="8"/>
        </w:numPr>
        <w:tabs>
          <w:tab w:val="left" w:pos="1625"/>
        </w:tabs>
        <w:ind w:left="1620" w:hanging="480"/>
        <w:jc w:val="both"/>
      </w:pPr>
      <w:bookmarkStart w:id="57" w:name="bookmark57"/>
      <w:bookmarkEnd w:id="57"/>
      <w:r>
        <w:t>dohodne-li se tak s Odběratelem, oznamovat Odběrateli plánované přerušení dodávek Plynu z důvodu na straně provozovatele distribuční soustavy v souladu s příslušnými právními předpisy;</w:t>
      </w:r>
    </w:p>
    <w:p w14:paraId="0D6544EC" w14:textId="77777777" w:rsidR="000601AE" w:rsidRDefault="00C57E93">
      <w:pPr>
        <w:pStyle w:val="Zkladntext1"/>
        <w:numPr>
          <w:ilvl w:val="0"/>
          <w:numId w:val="8"/>
        </w:numPr>
        <w:tabs>
          <w:tab w:val="left" w:pos="1625"/>
        </w:tabs>
        <w:ind w:left="1620" w:hanging="480"/>
        <w:jc w:val="both"/>
      </w:pPr>
      <w:bookmarkStart w:id="58" w:name="bookmark58"/>
      <w:bookmarkEnd w:id="58"/>
      <w:r>
        <w:t>dohodne-li se tak s Odběratelem, provádět kontrolu odběrů na jednotlivých odběrných místech a zajistit komplexní komunikaci a zpracování dokumentace (podkladů) v komunikaci s provozovatelem distribuční soustavy, a to dle požadavků Odběratele na základě zplnomocnění;</w:t>
      </w:r>
    </w:p>
    <w:p w14:paraId="0111B88D" w14:textId="77777777" w:rsidR="000601AE" w:rsidRDefault="00C57E93">
      <w:pPr>
        <w:pStyle w:val="Zkladntext1"/>
        <w:numPr>
          <w:ilvl w:val="0"/>
          <w:numId w:val="8"/>
        </w:numPr>
        <w:tabs>
          <w:tab w:val="left" w:pos="1625"/>
        </w:tabs>
        <w:ind w:left="1620" w:hanging="480"/>
        <w:jc w:val="both"/>
      </w:pPr>
      <w:bookmarkStart w:id="59" w:name="bookmark59"/>
      <w:bookmarkEnd w:id="59"/>
      <w:r>
        <w:t>zajišťovat veškeré plnění dle Smlouvy svým jménem s potřebnou odbornou péčí a v požadované kvalitě při respektování oprávněných zájmů Odběratele.</w:t>
      </w:r>
    </w:p>
    <w:p w14:paraId="1FE1B026" w14:textId="77777777" w:rsidR="000601AE" w:rsidRDefault="00C57E93">
      <w:pPr>
        <w:pStyle w:val="Zkladntext1"/>
        <w:numPr>
          <w:ilvl w:val="0"/>
          <w:numId w:val="7"/>
        </w:numPr>
        <w:tabs>
          <w:tab w:val="left" w:pos="1082"/>
        </w:tabs>
        <w:ind w:left="1060" w:hanging="520"/>
        <w:jc w:val="both"/>
      </w:pPr>
      <w:bookmarkStart w:id="60" w:name="bookmark60"/>
      <w:bookmarkEnd w:id="60"/>
      <w:r>
        <w:t>Povinnost dodat Plyn je splněna přechodem Plynu z distribuční soustavy do odběrného místa Odběratele.</w:t>
      </w:r>
    </w:p>
    <w:p w14:paraId="302F5AC1" w14:textId="77777777" w:rsidR="000601AE" w:rsidRDefault="00C57E93">
      <w:pPr>
        <w:pStyle w:val="Zkladntext1"/>
        <w:numPr>
          <w:ilvl w:val="0"/>
          <w:numId w:val="7"/>
        </w:numPr>
        <w:tabs>
          <w:tab w:val="left" w:pos="1082"/>
        </w:tabs>
        <w:ind w:left="1060" w:hanging="520"/>
        <w:jc w:val="both"/>
      </w:pPr>
      <w:bookmarkStart w:id="61" w:name="bookmark61"/>
      <w:bookmarkEnd w:id="61"/>
      <w:r>
        <w:t>Odběratel je povinen v případě neočekávané události, která má vliv na jeho odběr Plynu (př. havárie odběrného plynového zařízení), oznámit tuto událost bez zbytečného odkladu Dodavateli. V případě plánované události, která má vliv na jeho odběr Plynu (plánovaná oprava odběrného plynového zařízení, celozávodní dovolená), je odběratel povinen oznámit tuto skutečnost Dodavateli nejpozději 10 kalendářních dnů před jejím počátkem.</w:t>
      </w:r>
    </w:p>
    <w:p w14:paraId="23B95EE4" w14:textId="77777777" w:rsidR="000601AE" w:rsidRDefault="00C57E93">
      <w:pPr>
        <w:pStyle w:val="Zkladntext1"/>
        <w:numPr>
          <w:ilvl w:val="0"/>
          <w:numId w:val="7"/>
        </w:numPr>
        <w:tabs>
          <w:tab w:val="left" w:pos="1082"/>
        </w:tabs>
        <w:ind w:left="1060" w:hanging="520"/>
        <w:jc w:val="both"/>
      </w:pPr>
      <w:bookmarkStart w:id="62" w:name="bookmark62"/>
      <w:bookmarkEnd w:id="62"/>
      <w:r>
        <w:t>Smluvní strany se zavazují k vyvinutí maximálního úsilí k předcházení škodám a k minimalizaci vzniklých škod.</w:t>
      </w:r>
    </w:p>
    <w:p w14:paraId="197A1893" w14:textId="77777777" w:rsidR="000601AE" w:rsidRDefault="00C57E93">
      <w:pPr>
        <w:pStyle w:val="Zkladntext1"/>
        <w:numPr>
          <w:ilvl w:val="0"/>
          <w:numId w:val="7"/>
        </w:numPr>
        <w:tabs>
          <w:tab w:val="left" w:pos="1082"/>
        </w:tabs>
        <w:ind w:left="1060" w:hanging="520"/>
        <w:jc w:val="both"/>
      </w:pPr>
      <w:bookmarkStart w:id="63" w:name="bookmark63"/>
      <w:bookmarkEnd w:id="63"/>
      <w:r>
        <w:t>Dodavatel je povinen Odběrateli bez zbytečného odkladu na jeho vyžádání poskytnout bezplatně aktuální data k odběrným místům Odběratele, a to dle volby Odběratele buď vložením do aplikace PARC provozované PXE, nebo v elektronické podobě ve formátu .</w:t>
      </w:r>
      <w:proofErr w:type="spellStart"/>
      <w:r>
        <w:t>xls</w:t>
      </w:r>
      <w:proofErr w:type="spellEnd"/>
      <w:r>
        <w:t>.</w:t>
      </w:r>
    </w:p>
    <w:p w14:paraId="7C0D8306" w14:textId="77777777" w:rsidR="000601AE" w:rsidRDefault="00C57E93">
      <w:pPr>
        <w:pStyle w:val="Zkladntext1"/>
        <w:numPr>
          <w:ilvl w:val="0"/>
          <w:numId w:val="7"/>
        </w:numPr>
        <w:tabs>
          <w:tab w:val="left" w:pos="1082"/>
        </w:tabs>
        <w:spacing w:after="220"/>
        <w:ind w:left="1060" w:hanging="520"/>
        <w:jc w:val="both"/>
      </w:pPr>
      <w:bookmarkStart w:id="64" w:name="bookmark64"/>
      <w:bookmarkEnd w:id="64"/>
      <w:r>
        <w:t>V případě, že Smlouva je nebo se považuje za velkoobchodní energetický produkt podle Nařízení Evropského Parlamentu a Rady (EU) č. 1227/2011 o integritě a transparentnosti velkoobchodního trhu s energií (REMIT), je Dodavatel povinen splnit za Odběratele povinnost poskytnout Agentuře pro spolupráci energetických regulačních orgánů (ACER) informace o transakci, která je předmětem Smlouvy. Odběratel je povinen mu k tomu poskytnout potřebnou součinnost.</w:t>
      </w:r>
    </w:p>
    <w:p w14:paraId="2D68678B" w14:textId="77777777" w:rsidR="000601AE" w:rsidRDefault="00C57E93">
      <w:pPr>
        <w:pStyle w:val="Nadpis20"/>
        <w:keepNext/>
        <w:keepLines/>
        <w:numPr>
          <w:ilvl w:val="0"/>
          <w:numId w:val="5"/>
        </w:numPr>
        <w:tabs>
          <w:tab w:val="left" w:pos="542"/>
        </w:tabs>
        <w:spacing w:after="60"/>
        <w:jc w:val="both"/>
      </w:pPr>
      <w:bookmarkStart w:id="65" w:name="bookmark67"/>
      <w:bookmarkStart w:id="66" w:name="bookmark65"/>
      <w:bookmarkStart w:id="67" w:name="bookmark66"/>
      <w:bookmarkStart w:id="68" w:name="bookmark68"/>
      <w:bookmarkEnd w:id="65"/>
      <w:r>
        <w:t>Cena a platební podmínky</w:t>
      </w:r>
      <w:bookmarkEnd w:id="66"/>
      <w:bookmarkEnd w:id="67"/>
      <w:bookmarkEnd w:id="68"/>
    </w:p>
    <w:p w14:paraId="19590003" w14:textId="77777777" w:rsidR="000601AE" w:rsidRDefault="00C57E93">
      <w:pPr>
        <w:pStyle w:val="Zkladntext1"/>
        <w:numPr>
          <w:ilvl w:val="0"/>
          <w:numId w:val="9"/>
        </w:numPr>
        <w:tabs>
          <w:tab w:val="left" w:pos="1106"/>
        </w:tabs>
        <w:ind w:left="1080" w:hanging="520"/>
        <w:jc w:val="both"/>
      </w:pPr>
      <w:bookmarkStart w:id="69" w:name="bookmark69"/>
      <w:bookmarkEnd w:id="69"/>
      <w:r>
        <w:t xml:space="preserve">Odběratel zaplatí Dodavateli jednotkovou cenu za dodávky Plynu dle Nabídky Dodavatele nebo (v případě tzv. postupného nákupu) jednotkovou cenu Plynu vypočtenou dle Nabídky </w:t>
      </w:r>
      <w:r>
        <w:lastRenderedPageBreak/>
        <w:t>Dodavatele, Poptávky Odběratele a Burzovních pravidel PXE pro trh s komoditami pro konečné zákazníky (ČR) platných ke dni uzavření Burzovního obchodu. Jednotková cena za dodávky Plynu je sjednána jako neměnná pro celé období dodávky. Stanovil-li však Odběratel v Poptávce, že bude fixovat cenu Plynu pro každé dílčí dodávkové období zvlášť, je jednotková cena Plynu stanovena pro každé dílčí dodávkové období samostatně. Sjednaná jednotková cena je konečná a nepřekročitelná.</w:t>
      </w:r>
    </w:p>
    <w:p w14:paraId="066235A1" w14:textId="77777777" w:rsidR="000601AE" w:rsidRDefault="00C57E93">
      <w:pPr>
        <w:pStyle w:val="Zkladntext1"/>
        <w:numPr>
          <w:ilvl w:val="0"/>
          <w:numId w:val="9"/>
        </w:numPr>
        <w:tabs>
          <w:tab w:val="left" w:pos="1106"/>
        </w:tabs>
        <w:ind w:left="1080" w:hanging="520"/>
        <w:jc w:val="both"/>
      </w:pPr>
      <w:bookmarkStart w:id="70" w:name="bookmark70"/>
      <w:bookmarkEnd w:id="70"/>
      <w:r>
        <w:t>Dodavatel je oprávněn při vyúčtování dodávky Plynu připočíst k jednotkové ceně Plynu pouze:</w:t>
      </w:r>
    </w:p>
    <w:p w14:paraId="00B0205B" w14:textId="77777777" w:rsidR="000601AE" w:rsidRDefault="00C57E93">
      <w:pPr>
        <w:pStyle w:val="Zkladntext1"/>
        <w:numPr>
          <w:ilvl w:val="0"/>
          <w:numId w:val="10"/>
        </w:numPr>
        <w:tabs>
          <w:tab w:val="left" w:pos="1526"/>
        </w:tabs>
        <w:ind w:left="1180"/>
        <w:jc w:val="both"/>
      </w:pPr>
      <w:bookmarkStart w:id="71" w:name="bookmark71"/>
      <w:bookmarkEnd w:id="71"/>
      <w:r>
        <w:t>DPH;</w:t>
      </w:r>
    </w:p>
    <w:p w14:paraId="7FD605BE" w14:textId="77777777" w:rsidR="000601AE" w:rsidRDefault="00C57E93">
      <w:pPr>
        <w:pStyle w:val="Zkladntext1"/>
        <w:numPr>
          <w:ilvl w:val="0"/>
          <w:numId w:val="10"/>
        </w:numPr>
        <w:tabs>
          <w:tab w:val="left" w:pos="1526"/>
        </w:tabs>
        <w:ind w:left="1180"/>
        <w:jc w:val="both"/>
      </w:pPr>
      <w:bookmarkStart w:id="72" w:name="bookmark72"/>
      <w:bookmarkEnd w:id="72"/>
      <w:r>
        <w:t>ostatní aplikovatelné daně dle platných právních předpisů.</w:t>
      </w:r>
    </w:p>
    <w:p w14:paraId="50A73D30" w14:textId="77777777" w:rsidR="000601AE" w:rsidRDefault="00C57E93">
      <w:pPr>
        <w:pStyle w:val="Zkladntext1"/>
        <w:numPr>
          <w:ilvl w:val="0"/>
          <w:numId w:val="9"/>
        </w:numPr>
        <w:tabs>
          <w:tab w:val="left" w:pos="1106"/>
        </w:tabs>
        <w:ind w:left="1080" w:hanging="520"/>
        <w:jc w:val="both"/>
      </w:pPr>
      <w:bookmarkStart w:id="73" w:name="bookmark73"/>
      <w:bookmarkEnd w:id="73"/>
      <w:r>
        <w:t>Dodavatel je vedle ceny Plynu oprávněn požadovat na Odběrateli zaplacení (i) ceny za regulované služby podle závazných cenových podmínek stanovených ERÚ, platných v době dodávky a (</w:t>
      </w:r>
      <w:proofErr w:type="spellStart"/>
      <w:r>
        <w:t>ii</w:t>
      </w:r>
      <w:proofErr w:type="spellEnd"/>
      <w:r>
        <w:t>) plateb účtovaných Dodavateli provozovatelem distribuční soustavy za placené služby, které Odběratel požaduje (např. poplatek hrazený provozovateli distribuční soustavy za mimořádné vyúčtování nebo mimořádný odečet). Dodavatel není oprávněn účtovat Odběrateli žádné další platby.</w:t>
      </w:r>
    </w:p>
    <w:p w14:paraId="3AE346DC" w14:textId="77777777" w:rsidR="000601AE" w:rsidRDefault="00C57E93">
      <w:pPr>
        <w:pStyle w:val="Zkladntext1"/>
        <w:numPr>
          <w:ilvl w:val="0"/>
          <w:numId w:val="9"/>
        </w:numPr>
        <w:tabs>
          <w:tab w:val="left" w:pos="1106"/>
        </w:tabs>
        <w:ind w:left="1080" w:hanging="520"/>
        <w:jc w:val="both"/>
      </w:pPr>
      <w:bookmarkStart w:id="74" w:name="bookmark74"/>
      <w:bookmarkEnd w:id="74"/>
      <w:r>
        <w:t xml:space="preserve">Skutečná cena za dodávku Plynu do odběrných míst bude Dodavatelem vyúčtována Odběrateli vyúčtováním vyhotoveným dle platných právních předpisů na základě skutečně odebraného množství plynu v </w:t>
      </w:r>
      <w:proofErr w:type="spellStart"/>
      <w:r>
        <w:t>MWh</w:t>
      </w:r>
      <w:proofErr w:type="spellEnd"/>
      <w:r>
        <w:t xml:space="preserve"> za smluvní jednotkové ceny, a to se zohledněním zaplacených záloh.</w:t>
      </w:r>
    </w:p>
    <w:p w14:paraId="3C223964" w14:textId="77777777" w:rsidR="000601AE" w:rsidRDefault="00C57E93">
      <w:pPr>
        <w:pStyle w:val="Zkladntext1"/>
        <w:numPr>
          <w:ilvl w:val="0"/>
          <w:numId w:val="9"/>
        </w:numPr>
        <w:tabs>
          <w:tab w:val="left" w:pos="1106"/>
        </w:tabs>
        <w:ind w:left="1080" w:hanging="520"/>
        <w:jc w:val="both"/>
      </w:pPr>
      <w:bookmarkStart w:id="75" w:name="bookmark75"/>
      <w:bookmarkEnd w:id="75"/>
      <w:r>
        <w:t>Zúčtovací období, za které bude Odběrateli účtována Dodavatelem skutečná dodávka Plynu, je vymezeno pravidelnými odečty měřidel provozovatele distribuční soustavy. Odběratel může sjednat v Poptávce zúčtovací období kratší než takto vymezené, ne však kratší než kalendářní měsíc.</w:t>
      </w:r>
    </w:p>
    <w:p w14:paraId="08009882" w14:textId="77777777" w:rsidR="000601AE" w:rsidRDefault="00C57E93">
      <w:pPr>
        <w:pStyle w:val="Zkladntext1"/>
        <w:numPr>
          <w:ilvl w:val="0"/>
          <w:numId w:val="9"/>
        </w:numPr>
        <w:tabs>
          <w:tab w:val="left" w:pos="1106"/>
        </w:tabs>
        <w:ind w:left="1080" w:hanging="520"/>
        <w:jc w:val="both"/>
      </w:pPr>
      <w:bookmarkStart w:id="76" w:name="bookmark76"/>
      <w:bookmarkEnd w:id="76"/>
      <w:r>
        <w:t>Perioda úhrady záloh za dodávku a jejich jednotlivou výši (v % z předpokládaného ročního, čtvrtletního nebo měsíčního odběru) je stanovena v Poptávce. Dodavatel takto vymezené zálohy potvrdí Odběrateli zasláním zálohového předpisu.</w:t>
      </w:r>
    </w:p>
    <w:p w14:paraId="19E76B47" w14:textId="77777777" w:rsidR="000601AE" w:rsidRDefault="00C57E93">
      <w:pPr>
        <w:pStyle w:val="Zkladntext1"/>
        <w:numPr>
          <w:ilvl w:val="0"/>
          <w:numId w:val="9"/>
        </w:numPr>
        <w:tabs>
          <w:tab w:val="left" w:pos="1106"/>
        </w:tabs>
        <w:ind w:left="1080" w:hanging="520"/>
        <w:jc w:val="both"/>
      </w:pPr>
      <w:bookmarkStart w:id="77" w:name="bookmark77"/>
      <w:bookmarkEnd w:id="77"/>
      <w:r>
        <w:t>Odběratel, který má sjednáno kratší zúčtovací období ve smyslu druhé věty odst. 3.5., je povinen provést k poslednímu dni zúčtovacího období pravdivý samoodečet a předat ho nejpozději do druhého pracovního dne bezprostředně následujícího měsíce Dodavateli.</w:t>
      </w:r>
    </w:p>
    <w:p w14:paraId="5E0B312C" w14:textId="77777777" w:rsidR="000601AE" w:rsidRDefault="00C57E93">
      <w:pPr>
        <w:pStyle w:val="Zkladntext1"/>
        <w:numPr>
          <w:ilvl w:val="0"/>
          <w:numId w:val="9"/>
        </w:numPr>
        <w:tabs>
          <w:tab w:val="left" w:pos="1106"/>
        </w:tabs>
        <w:ind w:left="1080" w:hanging="520"/>
        <w:jc w:val="both"/>
      </w:pPr>
      <w:bookmarkStart w:id="78" w:name="bookmark78"/>
      <w:bookmarkEnd w:id="78"/>
      <w:r>
        <w:t>Není-li v Poptávce určena frekvence a výše záloh, bude Odběratel Dodavateli hradit zálohy v souladu s předpisem zálohových plateb zaslaným Dodavatelem. Měsíční zálohy mohou být Dodavatelem stanoveny ve výši 100 % z 1/12 předpokládaných ročních plateb a čtvrtletní zálohy ve výši 100 % z 1/4 předpokládaných ročních plateb stanovených na základě sjednaných cen a dle předpokládaného odběru za roční období uvedené v Poptávce.</w:t>
      </w:r>
    </w:p>
    <w:p w14:paraId="6E6A4F88" w14:textId="77777777" w:rsidR="000601AE" w:rsidRDefault="00C57E93">
      <w:pPr>
        <w:pStyle w:val="Zkladntext1"/>
        <w:numPr>
          <w:ilvl w:val="0"/>
          <w:numId w:val="9"/>
        </w:numPr>
        <w:tabs>
          <w:tab w:val="left" w:pos="1106"/>
        </w:tabs>
        <w:ind w:left="1080" w:hanging="520"/>
        <w:jc w:val="both"/>
      </w:pPr>
      <w:bookmarkStart w:id="79" w:name="bookmark79"/>
      <w:bookmarkEnd w:id="79"/>
      <w:r>
        <w:t>Dodavatel provede vyúčtování odběru Plynu Odběratelem za zúčtovací období, jako zdanitelného plnění dle zákona o dani z přidané hodnoty, v termínech daných platnými právními předpisy, jinak po ukončení takového zúčtovacího období. V případě změny právních předpisů v oblasti správy daní a poplatků je Dodavatel povinen provést vyúčtování odběru Plynu Odběratelem v souladu s platnými právními předpisy tak, aby Odběratel mohl uplatňovat příslušnou daň z přidané hodnoty na vstupu za takto vyúčtovaný odběr Plynu.</w:t>
      </w:r>
    </w:p>
    <w:p w14:paraId="7F79F97B" w14:textId="77777777" w:rsidR="000601AE" w:rsidRDefault="00C57E93">
      <w:pPr>
        <w:pStyle w:val="Zkladntext1"/>
        <w:numPr>
          <w:ilvl w:val="0"/>
          <w:numId w:val="9"/>
        </w:numPr>
        <w:tabs>
          <w:tab w:val="left" w:pos="1106"/>
        </w:tabs>
        <w:ind w:left="1080" w:hanging="520"/>
        <w:jc w:val="both"/>
      </w:pPr>
      <w:bookmarkStart w:id="80" w:name="bookmark80"/>
      <w:bookmarkEnd w:id="80"/>
      <w:r>
        <w:t>Na základě vyžádání Odběratele provede Dodavatel bezplatné mimořádné vyúčtování ke dni 31.12. na základě údajů z provedených samoodečtů, které mu včas předal Odběratel.</w:t>
      </w:r>
    </w:p>
    <w:p w14:paraId="0564E53D" w14:textId="77777777" w:rsidR="000601AE" w:rsidRDefault="00C57E93">
      <w:pPr>
        <w:pStyle w:val="Zkladntext1"/>
        <w:numPr>
          <w:ilvl w:val="0"/>
          <w:numId w:val="9"/>
        </w:numPr>
        <w:tabs>
          <w:tab w:val="left" w:pos="1094"/>
        </w:tabs>
        <w:spacing w:after="40"/>
        <w:ind w:left="1100" w:hanging="540"/>
        <w:jc w:val="both"/>
      </w:pPr>
      <w:bookmarkStart w:id="81" w:name="bookmark81"/>
      <w:bookmarkEnd w:id="81"/>
      <w:r>
        <w:t>Dodavatel je bezprostředně po uzavření Smlouvy povinen vypracovat a předat Odběrateli předpis zálohových plateb za odběr Plynu pro odběrná místa kategorie maloodběr. Předpis zálohových plateb musí být sestaven v souladu s Poptávkou Odběratele.</w:t>
      </w:r>
    </w:p>
    <w:p w14:paraId="0ABB0AE3" w14:textId="77777777" w:rsidR="000601AE" w:rsidRDefault="00C57E93">
      <w:pPr>
        <w:pStyle w:val="Zkladntext1"/>
        <w:numPr>
          <w:ilvl w:val="0"/>
          <w:numId w:val="9"/>
        </w:numPr>
        <w:tabs>
          <w:tab w:val="left" w:pos="1094"/>
        </w:tabs>
        <w:spacing w:after="40"/>
        <w:ind w:left="1100" w:hanging="540"/>
        <w:jc w:val="both"/>
      </w:pPr>
      <w:bookmarkStart w:id="82" w:name="bookmark82"/>
      <w:bookmarkEnd w:id="82"/>
      <w:r>
        <w:t>Všechny platby se provádí platebním příkazem Odběratele ve prospěch Dodavatele na číslo účtu uvedené na faktuře, resp. předpise záloh Dodavatele, nedohodl-li se Odběratel s Dodavatelem na jiném způsobu platby (např. inkaso). V bankovním styku se používají variabilní symboly uvedené na faktuře Dodavatelem. Platby probíhají v CZK, nedohodly-li se Smluvní strany na platbách v jiné měně.</w:t>
      </w:r>
    </w:p>
    <w:p w14:paraId="449D6302" w14:textId="77777777" w:rsidR="000601AE" w:rsidRDefault="00C57E93">
      <w:pPr>
        <w:pStyle w:val="Zkladntext1"/>
        <w:numPr>
          <w:ilvl w:val="0"/>
          <w:numId w:val="9"/>
        </w:numPr>
        <w:tabs>
          <w:tab w:val="left" w:pos="1098"/>
        </w:tabs>
        <w:spacing w:after="40"/>
        <w:ind w:left="1100" w:hanging="540"/>
        <w:jc w:val="both"/>
      </w:pPr>
      <w:bookmarkStart w:id="83" w:name="bookmark83"/>
      <w:bookmarkEnd w:id="83"/>
      <w:r>
        <w:t>Definoval-li Odběratel v Poptávce fakturační skupiny, účtuje Dodavatel Odběrateli cenu a zálohy pro jednotlivé fakturační skupiny zvlášť.</w:t>
      </w:r>
    </w:p>
    <w:p w14:paraId="64EC1492" w14:textId="77777777" w:rsidR="000601AE" w:rsidRDefault="00C57E93">
      <w:pPr>
        <w:pStyle w:val="Zkladntext1"/>
        <w:numPr>
          <w:ilvl w:val="0"/>
          <w:numId w:val="9"/>
        </w:numPr>
        <w:tabs>
          <w:tab w:val="left" w:pos="1098"/>
        </w:tabs>
        <w:spacing w:after="40"/>
        <w:ind w:left="1100" w:hanging="540"/>
        <w:jc w:val="both"/>
      </w:pPr>
      <w:bookmarkStart w:id="84" w:name="bookmark84"/>
      <w:bookmarkEnd w:id="84"/>
      <w:r>
        <w:lastRenderedPageBreak/>
        <w:t>Splatnost faktur za dodávku se stanoví v Poptávce. Není-li splatnost stanovena, jsou faktury splatné do 20 dnů od vystavení faktury Odběrateli.</w:t>
      </w:r>
    </w:p>
    <w:p w14:paraId="4FDE24DE" w14:textId="77777777" w:rsidR="000601AE" w:rsidRDefault="00C57E93">
      <w:pPr>
        <w:pStyle w:val="Zkladntext1"/>
        <w:numPr>
          <w:ilvl w:val="0"/>
          <w:numId w:val="9"/>
        </w:numPr>
        <w:tabs>
          <w:tab w:val="left" w:pos="1098"/>
        </w:tabs>
        <w:spacing w:after="40"/>
        <w:ind w:left="1100" w:hanging="540"/>
        <w:jc w:val="both"/>
      </w:pPr>
      <w:bookmarkStart w:id="85" w:name="bookmark85"/>
      <w:bookmarkEnd w:id="85"/>
      <w:r>
        <w:t>V případě prodlení se zaplacením ceny nebo zálohy, uhradí Odběratel Dodavateli pouze úrok z prodlení ve výši stanovené předpisy práva občanského. Žádná jiná sankce za prodlení není přípustná (např. smluvní úrok z prodlení, smluvní pokuta).</w:t>
      </w:r>
    </w:p>
    <w:p w14:paraId="18392DD8" w14:textId="77777777" w:rsidR="000601AE" w:rsidRDefault="00C57E93">
      <w:pPr>
        <w:pStyle w:val="Zkladntext1"/>
        <w:numPr>
          <w:ilvl w:val="0"/>
          <w:numId w:val="9"/>
        </w:numPr>
        <w:tabs>
          <w:tab w:val="left" w:pos="1098"/>
        </w:tabs>
        <w:spacing w:after="40"/>
        <w:ind w:left="1100" w:hanging="540"/>
        <w:jc w:val="both"/>
      </w:pPr>
      <w:bookmarkStart w:id="86" w:name="bookmark86"/>
      <w:bookmarkEnd w:id="86"/>
      <w:r>
        <w:t xml:space="preserve">Veškeré daňové doklady (faktury) musí obsahovat náležitosti daňového dokladu (faktury) dle zvláštních právních předpisů, a to zejména dle zákona č. 235/2004 Sb., o dani z přidané hodnoty, v platném znění. V případě, že Odběratel </w:t>
      </w:r>
      <w:proofErr w:type="gramStart"/>
      <w:r>
        <w:t>obdrží</w:t>
      </w:r>
      <w:proofErr w:type="gramEnd"/>
      <w:r>
        <w:t xml:space="preserve"> daňový doklad (fakturu), která nesplňuje všechny zákonné náležitosti, odešle tento zpět Dodavateli k opravě či doplnění, přičemž nová lhůta splatnosti poběží doručením bezvadné (opraveného či doplněného) daňového dokladu (faktury) Odběrateli.</w:t>
      </w:r>
    </w:p>
    <w:p w14:paraId="64A07F19" w14:textId="77777777" w:rsidR="000601AE" w:rsidRDefault="00C57E93">
      <w:pPr>
        <w:pStyle w:val="Zkladntext1"/>
        <w:numPr>
          <w:ilvl w:val="0"/>
          <w:numId w:val="9"/>
        </w:numPr>
        <w:tabs>
          <w:tab w:val="left" w:pos="1091"/>
        </w:tabs>
        <w:spacing w:after="220"/>
        <w:ind w:firstLine="540"/>
        <w:jc w:val="both"/>
      </w:pPr>
      <w:bookmarkStart w:id="87" w:name="bookmark87"/>
      <w:bookmarkEnd w:id="87"/>
      <w:r>
        <w:t>Daňový doklad (faktura) musí být Dodavatelem označen jednoznačným číslem Smlouvy.</w:t>
      </w:r>
    </w:p>
    <w:p w14:paraId="7C38D4CB" w14:textId="77777777" w:rsidR="000601AE" w:rsidRDefault="00C57E93">
      <w:pPr>
        <w:pStyle w:val="Nadpis20"/>
        <w:keepNext/>
        <w:keepLines/>
        <w:numPr>
          <w:ilvl w:val="0"/>
          <w:numId w:val="5"/>
        </w:numPr>
        <w:tabs>
          <w:tab w:val="left" w:pos="542"/>
        </w:tabs>
        <w:jc w:val="both"/>
      </w:pPr>
      <w:bookmarkStart w:id="88" w:name="bookmark90"/>
      <w:bookmarkStart w:id="89" w:name="bookmark88"/>
      <w:bookmarkStart w:id="90" w:name="bookmark89"/>
      <w:bookmarkStart w:id="91" w:name="bookmark91"/>
      <w:bookmarkEnd w:id="88"/>
      <w:r>
        <w:t>Sankční ujednání</w:t>
      </w:r>
      <w:bookmarkEnd w:id="89"/>
      <w:bookmarkEnd w:id="90"/>
      <w:bookmarkEnd w:id="91"/>
    </w:p>
    <w:p w14:paraId="2B487379" w14:textId="77777777" w:rsidR="000601AE" w:rsidRDefault="00C57E93">
      <w:pPr>
        <w:pStyle w:val="Zkladntext1"/>
        <w:numPr>
          <w:ilvl w:val="0"/>
          <w:numId w:val="11"/>
        </w:numPr>
        <w:tabs>
          <w:tab w:val="left" w:pos="1091"/>
        </w:tabs>
        <w:spacing w:after="40"/>
        <w:ind w:left="1100" w:hanging="540"/>
        <w:jc w:val="both"/>
      </w:pPr>
      <w:bookmarkStart w:id="92" w:name="bookmark92"/>
      <w:bookmarkEnd w:id="92"/>
      <w:r>
        <w:t>Dodavatel je povinen zaplatit Odběrateli v případě, že včas nezahájí dodávku Plynu nebo kdykoli za trvání Smlouvy dojde k přerušení dodávky Plynu v rozporu se zákonem, smluvní pokutu ve výši:</w:t>
      </w:r>
    </w:p>
    <w:p w14:paraId="1582A906" w14:textId="77777777" w:rsidR="000601AE" w:rsidRDefault="00C57E93">
      <w:pPr>
        <w:pStyle w:val="Zkladntext1"/>
        <w:numPr>
          <w:ilvl w:val="0"/>
          <w:numId w:val="12"/>
        </w:numPr>
        <w:tabs>
          <w:tab w:val="left" w:pos="1642"/>
        </w:tabs>
        <w:spacing w:after="40"/>
        <w:ind w:left="1640" w:hanging="540"/>
        <w:jc w:val="both"/>
      </w:pPr>
      <w:bookmarkStart w:id="93" w:name="bookmark93"/>
      <w:bookmarkEnd w:id="93"/>
      <w:r>
        <w:t>50 000,- Kč za každé odběrné místo v kategorii střední odběr nebo velkoodběr, do kterého dodávka Plynu nebyla zahájena nebo byla bez předchozího upozornění ve lhůtách dle platných právních předpisů přerušena a</w:t>
      </w:r>
    </w:p>
    <w:p w14:paraId="509B0A45" w14:textId="77777777" w:rsidR="000601AE" w:rsidRDefault="00C57E93">
      <w:pPr>
        <w:pStyle w:val="Zkladntext1"/>
        <w:numPr>
          <w:ilvl w:val="0"/>
          <w:numId w:val="12"/>
        </w:numPr>
        <w:tabs>
          <w:tab w:val="left" w:pos="1642"/>
        </w:tabs>
        <w:spacing w:after="40"/>
        <w:ind w:left="1640" w:hanging="540"/>
        <w:jc w:val="both"/>
      </w:pPr>
      <w:bookmarkStart w:id="94" w:name="bookmark94"/>
      <w:bookmarkEnd w:id="94"/>
      <w:r>
        <w:t>2 000,- Kč za každé odběrné místo v kategorii maloodběr, do kterého dodávka Plynu nebyla zahájena nebo byla bez předchozího upozornění ve lhůtách dle platných právních předpisů přerušena.</w:t>
      </w:r>
    </w:p>
    <w:p w14:paraId="66E5D0A8" w14:textId="77777777" w:rsidR="000601AE" w:rsidRDefault="00C57E93">
      <w:pPr>
        <w:pStyle w:val="Zkladntext1"/>
        <w:numPr>
          <w:ilvl w:val="0"/>
          <w:numId w:val="11"/>
        </w:numPr>
        <w:tabs>
          <w:tab w:val="left" w:pos="1091"/>
        </w:tabs>
        <w:spacing w:after="40"/>
        <w:ind w:left="1100" w:hanging="540"/>
        <w:jc w:val="both"/>
      </w:pPr>
      <w:bookmarkStart w:id="95" w:name="bookmark95"/>
      <w:bookmarkEnd w:id="95"/>
      <w:r>
        <w:t>Odběratel je povinen zaplatit Dodavateli v případě, že kdykoli za trvání Smlouvy, i přes předchozí výzvu Dodavatele, neumožní dodávku Plynu do některého z odběrných míst uvedených v Poptávce, a to z důvodu na straně Odběratele, smluvní pokutu ve výši</w:t>
      </w:r>
    </w:p>
    <w:p w14:paraId="1982A3D6" w14:textId="77777777" w:rsidR="000601AE" w:rsidRDefault="00C57E93">
      <w:pPr>
        <w:pStyle w:val="Zkladntext1"/>
        <w:numPr>
          <w:ilvl w:val="0"/>
          <w:numId w:val="13"/>
        </w:numPr>
        <w:tabs>
          <w:tab w:val="left" w:pos="1642"/>
        </w:tabs>
        <w:spacing w:after="40"/>
        <w:ind w:left="1640" w:hanging="540"/>
        <w:jc w:val="both"/>
      </w:pPr>
      <w:bookmarkStart w:id="96" w:name="bookmark96"/>
      <w:bookmarkEnd w:id="96"/>
      <w:r>
        <w:t>50 000,- Kč za každé odběrné místo v kategorii střední odběr nebo velkoodběr, do kterého dodávka Plynu nebyla umožněna a</w:t>
      </w:r>
    </w:p>
    <w:p w14:paraId="43D4044F" w14:textId="77777777" w:rsidR="000601AE" w:rsidRDefault="00C57E93">
      <w:pPr>
        <w:pStyle w:val="Zkladntext1"/>
        <w:numPr>
          <w:ilvl w:val="0"/>
          <w:numId w:val="13"/>
        </w:numPr>
        <w:tabs>
          <w:tab w:val="left" w:pos="1642"/>
        </w:tabs>
        <w:spacing w:after="40"/>
        <w:ind w:left="1640" w:hanging="540"/>
        <w:jc w:val="both"/>
      </w:pPr>
      <w:bookmarkStart w:id="97" w:name="bookmark97"/>
      <w:bookmarkEnd w:id="97"/>
      <w:r>
        <w:t>2 000,- Kč za každé odběrné místo v kategorii maloodběr, do kterého dodávka Plynu nebyla umožněna.</w:t>
      </w:r>
    </w:p>
    <w:p w14:paraId="37B6340D" w14:textId="77777777" w:rsidR="000601AE" w:rsidRDefault="00C57E93">
      <w:pPr>
        <w:pStyle w:val="Zkladntext1"/>
        <w:numPr>
          <w:ilvl w:val="0"/>
          <w:numId w:val="11"/>
        </w:numPr>
        <w:tabs>
          <w:tab w:val="left" w:pos="1091"/>
        </w:tabs>
        <w:spacing w:after="220"/>
        <w:ind w:left="960" w:hanging="400"/>
        <w:jc w:val="both"/>
      </w:pPr>
      <w:bookmarkStart w:id="98" w:name="bookmark98"/>
      <w:bookmarkEnd w:id="98"/>
      <w:r>
        <w:t>Každá Smluvní strana má vedle smluvní pokuty právo na náhradu škody způsobené porušením povinnosti, k níž se smluvní pokuta vztahuje. Výše požadované náhrady škody však nesmí přesáhnout rozdíl mezi výší škody skutečně vzniklé a výší požadované smluvní pokuty.</w:t>
      </w:r>
    </w:p>
    <w:p w14:paraId="63F79908" w14:textId="77777777" w:rsidR="000601AE" w:rsidRDefault="00C57E93">
      <w:pPr>
        <w:pStyle w:val="Nadpis20"/>
        <w:keepNext/>
        <w:keepLines/>
        <w:numPr>
          <w:ilvl w:val="0"/>
          <w:numId w:val="5"/>
        </w:numPr>
        <w:tabs>
          <w:tab w:val="left" w:pos="542"/>
        </w:tabs>
        <w:jc w:val="both"/>
      </w:pPr>
      <w:bookmarkStart w:id="99" w:name="bookmark101"/>
      <w:bookmarkStart w:id="100" w:name="bookmark100"/>
      <w:bookmarkStart w:id="101" w:name="bookmark102"/>
      <w:bookmarkStart w:id="102" w:name="bookmark99"/>
      <w:bookmarkEnd w:id="99"/>
      <w:r>
        <w:t>Zákaznická podpora</w:t>
      </w:r>
      <w:bookmarkEnd w:id="100"/>
      <w:bookmarkEnd w:id="101"/>
      <w:bookmarkEnd w:id="102"/>
    </w:p>
    <w:p w14:paraId="2CB6BE98" w14:textId="77777777" w:rsidR="000601AE" w:rsidRDefault="00C57E93">
      <w:pPr>
        <w:pStyle w:val="Zkladntext1"/>
        <w:numPr>
          <w:ilvl w:val="0"/>
          <w:numId w:val="14"/>
        </w:numPr>
        <w:tabs>
          <w:tab w:val="left" w:pos="1091"/>
        </w:tabs>
        <w:spacing w:after="40"/>
        <w:ind w:left="1100" w:hanging="540"/>
        <w:jc w:val="both"/>
      </w:pPr>
      <w:bookmarkStart w:id="103" w:name="bookmark103"/>
      <w:bookmarkEnd w:id="103"/>
      <w:r>
        <w:t xml:space="preserve">Dodavatel se zavazuje zajistit pro Odběratele zákaznickou podporu. Zákaznická podpora </w:t>
      </w:r>
      <w:proofErr w:type="gramStart"/>
      <w:r>
        <w:t>slouží</w:t>
      </w:r>
      <w:proofErr w:type="gramEnd"/>
      <w:r>
        <w:t xml:space="preserve"> pro řešení problémů týkajících se dodávky Plynu, včetně otázek vyúčtování ceny.</w:t>
      </w:r>
    </w:p>
    <w:p w14:paraId="79BA9C44" w14:textId="77777777" w:rsidR="000601AE" w:rsidRDefault="00C57E93">
      <w:pPr>
        <w:pStyle w:val="Zkladntext1"/>
        <w:numPr>
          <w:ilvl w:val="0"/>
          <w:numId w:val="14"/>
        </w:numPr>
        <w:tabs>
          <w:tab w:val="left" w:pos="1091"/>
        </w:tabs>
        <w:spacing w:after="40"/>
        <w:ind w:left="1100" w:hanging="540"/>
        <w:jc w:val="both"/>
      </w:pPr>
      <w:bookmarkStart w:id="104" w:name="bookmark104"/>
      <w:bookmarkEnd w:id="104"/>
      <w:r>
        <w:t>Dodavatel je povinen sdělit Odběrateli kontaktní údaje pro zajištění služeb zákaznické podpory.</w:t>
      </w:r>
    </w:p>
    <w:p w14:paraId="0709CEBF" w14:textId="77777777" w:rsidR="000601AE" w:rsidRDefault="00C57E93">
      <w:pPr>
        <w:pStyle w:val="Zkladntext1"/>
        <w:numPr>
          <w:ilvl w:val="0"/>
          <w:numId w:val="14"/>
        </w:numPr>
        <w:tabs>
          <w:tab w:val="left" w:pos="1091"/>
        </w:tabs>
        <w:spacing w:after="40"/>
        <w:ind w:left="1100" w:hanging="540"/>
        <w:jc w:val="both"/>
      </w:pPr>
      <w:bookmarkStart w:id="105" w:name="bookmark105"/>
      <w:bookmarkEnd w:id="105"/>
      <w:r>
        <w:t>Odběratel je povinen sdělit Dodavateli údaje o kontaktní osobě pro komunikaci s Dodavatelem ve věcech smluvních a ve věcech zákaznické podpory.</w:t>
      </w:r>
    </w:p>
    <w:p w14:paraId="1E4D3A8C" w14:textId="77777777" w:rsidR="000601AE" w:rsidRDefault="00C57E93">
      <w:pPr>
        <w:pStyle w:val="Zkladntext1"/>
        <w:numPr>
          <w:ilvl w:val="0"/>
          <w:numId w:val="14"/>
        </w:numPr>
        <w:tabs>
          <w:tab w:val="left" w:pos="1094"/>
        </w:tabs>
        <w:spacing w:after="220"/>
        <w:ind w:left="1080" w:hanging="520"/>
        <w:jc w:val="both"/>
      </w:pPr>
      <w:bookmarkStart w:id="106" w:name="bookmark106"/>
      <w:bookmarkEnd w:id="106"/>
      <w:r>
        <w:t>Smluvní strany jsou oprávněny vlastní kontaktní údaje jednostranně měnit, a to písemným oznámením předaným druhé Smluvní straně.</w:t>
      </w:r>
    </w:p>
    <w:p w14:paraId="13CBD970" w14:textId="77777777" w:rsidR="000601AE" w:rsidRDefault="00C57E93">
      <w:pPr>
        <w:pStyle w:val="Nadpis20"/>
        <w:keepNext/>
        <w:keepLines/>
        <w:numPr>
          <w:ilvl w:val="0"/>
          <w:numId w:val="5"/>
        </w:numPr>
        <w:tabs>
          <w:tab w:val="left" w:pos="545"/>
        </w:tabs>
        <w:spacing w:after="60"/>
        <w:jc w:val="both"/>
      </w:pPr>
      <w:bookmarkStart w:id="107" w:name="bookmark109"/>
      <w:bookmarkStart w:id="108" w:name="bookmark107"/>
      <w:bookmarkStart w:id="109" w:name="bookmark108"/>
      <w:bookmarkStart w:id="110" w:name="bookmark110"/>
      <w:bookmarkEnd w:id="107"/>
      <w:r>
        <w:t>Zánik smlouvy</w:t>
      </w:r>
      <w:bookmarkEnd w:id="108"/>
      <w:bookmarkEnd w:id="109"/>
      <w:bookmarkEnd w:id="110"/>
    </w:p>
    <w:p w14:paraId="0E616998" w14:textId="77777777" w:rsidR="000601AE" w:rsidRDefault="00C57E93">
      <w:pPr>
        <w:pStyle w:val="Zkladntext1"/>
        <w:numPr>
          <w:ilvl w:val="0"/>
          <w:numId w:val="15"/>
        </w:numPr>
        <w:tabs>
          <w:tab w:val="left" w:pos="1094"/>
        </w:tabs>
        <w:ind w:firstLine="540"/>
        <w:jc w:val="both"/>
      </w:pPr>
      <w:bookmarkStart w:id="111" w:name="bookmark111"/>
      <w:bookmarkEnd w:id="111"/>
      <w:r>
        <w:t>Smluvní strany mohou Smlouvu ukončit písemnou dohodou.</w:t>
      </w:r>
    </w:p>
    <w:p w14:paraId="4A1C9FC5" w14:textId="77777777" w:rsidR="000601AE" w:rsidRDefault="00C57E93">
      <w:pPr>
        <w:pStyle w:val="Zkladntext1"/>
        <w:numPr>
          <w:ilvl w:val="0"/>
          <w:numId w:val="15"/>
        </w:numPr>
        <w:tabs>
          <w:tab w:val="left" w:pos="1094"/>
        </w:tabs>
        <w:ind w:firstLine="540"/>
        <w:jc w:val="both"/>
      </w:pPr>
      <w:bookmarkStart w:id="112" w:name="bookmark112"/>
      <w:bookmarkEnd w:id="112"/>
      <w:r>
        <w:t>Odběratel je oprávněn vypovědět Smlouvu bez výpovědní doby v případě, že:</w:t>
      </w:r>
    </w:p>
    <w:p w14:paraId="472A2135" w14:textId="77777777" w:rsidR="000601AE" w:rsidRDefault="00C57E93">
      <w:pPr>
        <w:pStyle w:val="Zkladntext1"/>
        <w:numPr>
          <w:ilvl w:val="0"/>
          <w:numId w:val="16"/>
        </w:numPr>
        <w:tabs>
          <w:tab w:val="left" w:pos="1648"/>
        </w:tabs>
        <w:ind w:left="1640" w:hanging="540"/>
        <w:jc w:val="both"/>
      </w:pPr>
      <w:bookmarkStart w:id="113" w:name="bookmark113"/>
      <w:bookmarkEnd w:id="113"/>
      <w:r>
        <w:t xml:space="preserve">do kteréhokoli odběrného místa nebude včas zahájena dodávka Plynu nebo bude přerušena dodávka Plynu, vyjma případů, kdy se bude jednat o mimořádnou nepředvídatelnou a nepřekonatelnou překážku vzniklou nezávisle na vůli Dodavatele (§ 2913 odst. 2 </w:t>
      </w:r>
      <w:proofErr w:type="spellStart"/>
      <w:r>
        <w:t>obč</w:t>
      </w:r>
      <w:proofErr w:type="spellEnd"/>
      <w:r>
        <w:t>. zák.) nebo o situaci, kdy je dle zákona Dodavatel oprávněn přerušit nebo omezit dodávku Plynu,</w:t>
      </w:r>
    </w:p>
    <w:p w14:paraId="3648C386" w14:textId="77777777" w:rsidR="000601AE" w:rsidRDefault="00C57E93">
      <w:pPr>
        <w:pStyle w:val="Zkladntext1"/>
        <w:numPr>
          <w:ilvl w:val="0"/>
          <w:numId w:val="16"/>
        </w:numPr>
        <w:tabs>
          <w:tab w:val="left" w:pos="1648"/>
        </w:tabs>
        <w:ind w:left="1640" w:hanging="540"/>
        <w:jc w:val="both"/>
      </w:pPr>
      <w:bookmarkStart w:id="114" w:name="bookmark114"/>
      <w:bookmarkEnd w:id="114"/>
      <w:r>
        <w:lastRenderedPageBreak/>
        <w:t>nebude plnění dle Smlouvy Dodavatelem zajišťováno v souladu s ustanovením Smlouvy, popř. v souladu se zvláštními právními předpisy, a zároveň nebude zjednána náprava ani po písemném upozornění Odběratelem, který stanoví lhůtu, ve které je povinen Dodavatel nápravu sjednat.</w:t>
      </w:r>
    </w:p>
    <w:p w14:paraId="2081BA48" w14:textId="77777777" w:rsidR="000601AE" w:rsidRDefault="00C57E93">
      <w:pPr>
        <w:pStyle w:val="Zkladntext1"/>
        <w:numPr>
          <w:ilvl w:val="0"/>
          <w:numId w:val="16"/>
        </w:numPr>
        <w:tabs>
          <w:tab w:val="left" w:pos="1648"/>
        </w:tabs>
        <w:ind w:left="1640" w:hanging="540"/>
        <w:jc w:val="both"/>
      </w:pPr>
      <w:bookmarkStart w:id="115" w:name="bookmark115"/>
      <w:bookmarkEnd w:id="115"/>
      <w:r>
        <w:t>bylo soudem rozhodnuto o úpadku Dodavatele a jeho řešení konkursem nebo oddlužením, nebo o zamítnutí insolvenčního návrhu pro nedostatek majetku Dodavatele anebo o zrušení konkursu, protože majetek Dodavatele je zcela nepostačující podle zák. č. 182/2006 Sb., o úpadku a způsobech jeho řešení.</w:t>
      </w:r>
    </w:p>
    <w:p w14:paraId="2BD42464" w14:textId="77777777" w:rsidR="000601AE" w:rsidRDefault="00C57E93">
      <w:pPr>
        <w:pStyle w:val="Zkladntext1"/>
        <w:numPr>
          <w:ilvl w:val="0"/>
          <w:numId w:val="16"/>
        </w:numPr>
        <w:tabs>
          <w:tab w:val="left" w:pos="1648"/>
        </w:tabs>
        <w:ind w:left="1080"/>
        <w:jc w:val="both"/>
      </w:pPr>
      <w:bookmarkStart w:id="116" w:name="bookmark116"/>
      <w:bookmarkEnd w:id="116"/>
      <w:r>
        <w:t>dojde ke ztrátě způsobilosti nebo schopnosti Dodavatele dodávat Plyn.</w:t>
      </w:r>
    </w:p>
    <w:p w14:paraId="0484C7B4" w14:textId="77777777" w:rsidR="000601AE" w:rsidRDefault="00C57E93">
      <w:pPr>
        <w:pStyle w:val="Zkladntext1"/>
        <w:numPr>
          <w:ilvl w:val="0"/>
          <w:numId w:val="16"/>
        </w:numPr>
        <w:tabs>
          <w:tab w:val="left" w:pos="1648"/>
        </w:tabs>
        <w:ind w:left="1640" w:hanging="540"/>
        <w:jc w:val="both"/>
      </w:pPr>
      <w:bookmarkStart w:id="117" w:name="bookmark117"/>
      <w:bookmarkEnd w:id="117"/>
      <w:r>
        <w:t>Dodavatel se nepřizpůsobí požadavku Odběratele na změnu počtu odběrných míst dle Smlouvy nebo předpokládanému množství odběru tak, že nebude moci být zajištěn účel Smlouvy.</w:t>
      </w:r>
    </w:p>
    <w:p w14:paraId="74EE00C8" w14:textId="77777777" w:rsidR="000601AE" w:rsidRDefault="00C57E93">
      <w:pPr>
        <w:pStyle w:val="Zkladntext1"/>
        <w:numPr>
          <w:ilvl w:val="0"/>
          <w:numId w:val="15"/>
        </w:numPr>
        <w:tabs>
          <w:tab w:val="left" w:pos="1094"/>
        </w:tabs>
        <w:ind w:firstLine="540"/>
        <w:jc w:val="both"/>
      </w:pPr>
      <w:bookmarkStart w:id="118" w:name="bookmark118"/>
      <w:bookmarkEnd w:id="118"/>
      <w:r>
        <w:t>Dodavatel je oprávněn vypovědět Smlouvu bez výpovědní doby pokud,</w:t>
      </w:r>
    </w:p>
    <w:p w14:paraId="69A0E1EE" w14:textId="77777777" w:rsidR="000601AE" w:rsidRDefault="00C57E93">
      <w:pPr>
        <w:pStyle w:val="Zkladntext1"/>
        <w:numPr>
          <w:ilvl w:val="0"/>
          <w:numId w:val="17"/>
        </w:numPr>
        <w:tabs>
          <w:tab w:val="left" w:pos="1648"/>
        </w:tabs>
        <w:ind w:left="1640" w:hanging="540"/>
        <w:jc w:val="both"/>
      </w:pPr>
      <w:bookmarkStart w:id="119" w:name="bookmark119"/>
      <w:bookmarkEnd w:id="119"/>
      <w:r>
        <w:t>bude Odběratel v prodlení se zaplacením Dodavateli déle než 30 kalendářních dnů,</w:t>
      </w:r>
    </w:p>
    <w:p w14:paraId="5C08493E" w14:textId="77777777" w:rsidR="000601AE" w:rsidRDefault="00C57E93">
      <w:pPr>
        <w:pStyle w:val="Zkladntext1"/>
        <w:numPr>
          <w:ilvl w:val="0"/>
          <w:numId w:val="17"/>
        </w:numPr>
        <w:tabs>
          <w:tab w:val="left" w:pos="1648"/>
        </w:tabs>
        <w:ind w:left="1640" w:hanging="540"/>
        <w:jc w:val="both"/>
      </w:pPr>
      <w:bookmarkStart w:id="120" w:name="bookmark120"/>
      <w:bookmarkEnd w:id="120"/>
      <w:r>
        <w:t>Odběratel opakovaně neposkytne součinnost nezbytnou pro řádné plnění závazků Dodavatelem, a to i přesto, že byl Dodavatelem písemně upozorněn a nebude Odběratelem sjednána náprava ani v dodatečně poskytnuté přiměřené lhůtě,</w:t>
      </w:r>
    </w:p>
    <w:p w14:paraId="44EEAAF0" w14:textId="77777777" w:rsidR="000601AE" w:rsidRDefault="00C57E93">
      <w:pPr>
        <w:pStyle w:val="Zkladntext1"/>
        <w:numPr>
          <w:ilvl w:val="0"/>
          <w:numId w:val="17"/>
        </w:numPr>
        <w:tabs>
          <w:tab w:val="left" w:pos="1648"/>
        </w:tabs>
        <w:ind w:left="1640" w:hanging="540"/>
        <w:jc w:val="both"/>
      </w:pPr>
      <w:bookmarkStart w:id="121" w:name="bookmark121"/>
      <w:bookmarkEnd w:id="121"/>
      <w:r>
        <w:t>bylo soudem rozhodnuto o úpadku Odběratele a jeho řešení konkursem nebo oddlužením, nebo o zamítnutí insolvenčního návrhu pro nedostatek majetku Odběratele anebo o zrušení konkursu, protože majetek Odběratele je zcela nepostačující podle zák. č. 182/2006 Sb., o úpadku a způsobech jeho řešení.</w:t>
      </w:r>
    </w:p>
    <w:p w14:paraId="132083BF" w14:textId="77777777" w:rsidR="000601AE" w:rsidRDefault="00C57E93">
      <w:pPr>
        <w:pStyle w:val="Zkladntext1"/>
        <w:numPr>
          <w:ilvl w:val="0"/>
          <w:numId w:val="15"/>
        </w:numPr>
        <w:tabs>
          <w:tab w:val="left" w:pos="1094"/>
        </w:tabs>
        <w:spacing w:after="220"/>
        <w:ind w:firstLine="540"/>
        <w:jc w:val="both"/>
      </w:pPr>
      <w:bookmarkStart w:id="122" w:name="bookmark122"/>
      <w:bookmarkEnd w:id="122"/>
      <w:r>
        <w:t>Účinky výpovědi Smlouvy nastávají doručením písemného sdělení o výpovědi.</w:t>
      </w:r>
    </w:p>
    <w:p w14:paraId="616ADF98" w14:textId="77777777" w:rsidR="000601AE" w:rsidRDefault="00C57E93">
      <w:pPr>
        <w:pStyle w:val="Nadpis20"/>
        <w:keepNext/>
        <w:keepLines/>
        <w:numPr>
          <w:ilvl w:val="0"/>
          <w:numId w:val="5"/>
        </w:numPr>
        <w:tabs>
          <w:tab w:val="left" w:pos="545"/>
        </w:tabs>
        <w:spacing w:after="60"/>
        <w:jc w:val="both"/>
      </w:pPr>
      <w:bookmarkStart w:id="123" w:name="bookmark125"/>
      <w:bookmarkStart w:id="124" w:name="bookmark123"/>
      <w:bookmarkStart w:id="125" w:name="bookmark124"/>
      <w:bookmarkStart w:id="126" w:name="bookmark126"/>
      <w:bookmarkEnd w:id="123"/>
      <w:r>
        <w:t>Ostatní ujednání</w:t>
      </w:r>
      <w:bookmarkEnd w:id="124"/>
      <w:bookmarkEnd w:id="125"/>
      <w:bookmarkEnd w:id="126"/>
    </w:p>
    <w:p w14:paraId="5C10C6AC" w14:textId="77777777" w:rsidR="000601AE" w:rsidRDefault="00C57E93">
      <w:pPr>
        <w:pStyle w:val="Zkladntext1"/>
        <w:numPr>
          <w:ilvl w:val="0"/>
          <w:numId w:val="18"/>
        </w:numPr>
        <w:tabs>
          <w:tab w:val="left" w:pos="1094"/>
        </w:tabs>
        <w:ind w:left="1080" w:hanging="520"/>
        <w:jc w:val="both"/>
      </w:pPr>
      <w:bookmarkStart w:id="127" w:name="bookmark127"/>
      <w:bookmarkEnd w:id="127"/>
      <w:r>
        <w:t>Nevyplývá-li ze Smlouvy jinak, může být Smlouva měněna pouze dohodou uzavřenou v písemné formě. Dohoda o změně Smlouvy musí být v souladu s relevantním ustanovením zákona o veřejných zakázkách.</w:t>
      </w:r>
    </w:p>
    <w:p w14:paraId="0AA2A960" w14:textId="4361FEC3" w:rsidR="000601AE" w:rsidRDefault="00C57E93">
      <w:pPr>
        <w:pStyle w:val="Zkladntext1"/>
        <w:numPr>
          <w:ilvl w:val="0"/>
          <w:numId w:val="18"/>
        </w:numPr>
        <w:tabs>
          <w:tab w:val="left" w:pos="1094"/>
        </w:tabs>
        <w:ind w:left="1080" w:hanging="520"/>
        <w:jc w:val="both"/>
      </w:pPr>
      <w:bookmarkStart w:id="128" w:name="bookmark128"/>
      <w:bookmarkEnd w:id="128"/>
      <w:r>
        <w:t>Veškerá korespondence, tj. zejména výzvy, výpověď Smlouvy, jakož i další jednostranné úkony provedené jednou ze Smluvních stran podle Smlouvy nebo podle zákona vůči Smluvní straně druhé se považují za doručené nejpozději pátým pracovním dnem poté, co jej Smluvní strana úkon činící podala ve formě doporučené listovní zásilky směřující na adresu bydliště či sídla druhé Smluvní strany touto Smluvní stranou deklarovanou v Poptávce/Nabídce (nebo později písemně oznámenou) k poštovní přepravě osobě s poštovní licencí, pokud si druhá Smluvní strana zásilku v úložní době minimálně pěti pracovních dnů nepřevezme a tato se vrátí zpět odesílateli.</w:t>
      </w:r>
    </w:p>
    <w:p w14:paraId="21774B6B" w14:textId="789513C5" w:rsidR="00C57E93" w:rsidRDefault="00C57E93" w:rsidP="00C57E93">
      <w:pPr>
        <w:pStyle w:val="Zkladntext1"/>
        <w:tabs>
          <w:tab w:val="left" w:pos="1094"/>
        </w:tabs>
        <w:jc w:val="both"/>
      </w:pPr>
    </w:p>
    <w:p w14:paraId="0A246CD9" w14:textId="3270731C" w:rsidR="00C57E93" w:rsidRDefault="00C57E93" w:rsidP="00C57E93">
      <w:pPr>
        <w:pStyle w:val="Zkladntext1"/>
        <w:tabs>
          <w:tab w:val="left" w:pos="1094"/>
        </w:tabs>
        <w:jc w:val="both"/>
      </w:pPr>
    </w:p>
    <w:p w14:paraId="1EFCCE71" w14:textId="638893A6" w:rsidR="00C57E93" w:rsidRDefault="00C57E93" w:rsidP="00C57E93">
      <w:pPr>
        <w:pStyle w:val="Zkladntext1"/>
        <w:tabs>
          <w:tab w:val="left" w:pos="1094"/>
        </w:tabs>
        <w:jc w:val="both"/>
      </w:pPr>
    </w:p>
    <w:p w14:paraId="099535E7" w14:textId="3C41964A" w:rsidR="00C57E93" w:rsidRDefault="00C57E93" w:rsidP="00C57E93">
      <w:pPr>
        <w:pStyle w:val="Zkladntext1"/>
        <w:tabs>
          <w:tab w:val="left" w:pos="1094"/>
        </w:tabs>
        <w:jc w:val="both"/>
      </w:pPr>
    </w:p>
    <w:p w14:paraId="3B2F77A4" w14:textId="09EEB679" w:rsidR="00C57E93" w:rsidRDefault="00C57E93" w:rsidP="00C57E93">
      <w:pPr>
        <w:pStyle w:val="Zkladntext1"/>
        <w:tabs>
          <w:tab w:val="left" w:pos="1094"/>
        </w:tabs>
        <w:jc w:val="both"/>
      </w:pPr>
    </w:p>
    <w:sectPr w:rsidR="00C57E93">
      <w:headerReference w:type="default" r:id="rId17"/>
      <w:footerReference w:type="default" r:id="rId18"/>
      <w:pgSz w:w="11900" w:h="16840"/>
      <w:pgMar w:top="2376" w:right="1660" w:bottom="1936" w:left="1452" w:header="0" w:footer="150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8314" w14:textId="77777777" w:rsidR="005D7F5A" w:rsidRDefault="005D7F5A">
      <w:r>
        <w:separator/>
      </w:r>
    </w:p>
  </w:endnote>
  <w:endnote w:type="continuationSeparator" w:id="0">
    <w:p w14:paraId="629BC348" w14:textId="77777777" w:rsidR="005D7F5A" w:rsidRDefault="005D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22F" w14:textId="77777777" w:rsidR="000601AE" w:rsidRDefault="00C57E93">
    <w:pPr>
      <w:spacing w:line="1" w:lineRule="exact"/>
    </w:pPr>
    <w:r>
      <w:rPr>
        <w:noProof/>
      </w:rPr>
      <mc:AlternateContent>
        <mc:Choice Requires="wps">
          <w:drawing>
            <wp:anchor distT="0" distB="0" distL="0" distR="0" simplePos="0" relativeHeight="62914692" behindDoc="1" locked="0" layoutInCell="1" allowOverlap="1" wp14:anchorId="71FB4CD5" wp14:editId="50BF74C6">
              <wp:simplePos x="0" y="0"/>
              <wp:positionH relativeFrom="page">
                <wp:posOffset>3474085</wp:posOffset>
              </wp:positionH>
              <wp:positionV relativeFrom="page">
                <wp:posOffset>10062845</wp:posOffset>
              </wp:positionV>
              <wp:extent cx="25273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252730" cy="91440"/>
                      </a:xfrm>
                      <a:prstGeom prst="rect">
                        <a:avLst/>
                      </a:prstGeom>
                      <a:noFill/>
                    </wps:spPr>
                    <wps:txbx>
                      <w:txbxContent>
                        <w:p w14:paraId="59158760"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z7</w:t>
                          </w:r>
                        </w:p>
                      </w:txbxContent>
                    </wps:txbx>
                    <wps:bodyPr wrap="none" lIns="0" tIns="0" rIns="0" bIns="0">
                      <a:spAutoFit/>
                    </wps:bodyPr>
                  </wps:wsp>
                </a:graphicData>
              </a:graphic>
            </wp:anchor>
          </w:drawing>
        </mc:Choice>
        <mc:Fallback>
          <w:pict>
            <v:shapetype w14:anchorId="71FB4CD5" id="_x0000_t202" coordsize="21600,21600" o:spt="202" path="m,l,21600r21600,l21600,xe">
              <v:stroke joinstyle="miter"/>
              <v:path gradientshapeok="t" o:connecttype="rect"/>
            </v:shapetype>
            <v:shape id="Shape 5" o:spid="_x0000_s1034" type="#_x0000_t202" style="position:absolute;margin-left:273.55pt;margin-top:792.35pt;width:19.9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" filled="f" stroked="f">
              <v:textbox style="mso-fit-shape-to-text:t" inset="0,0,0,0">
                <w:txbxContent>
                  <w:p w14:paraId="59158760"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7ECC" w14:textId="77777777" w:rsidR="000601AE" w:rsidRDefault="00C57E93">
    <w:pPr>
      <w:spacing w:line="1" w:lineRule="exact"/>
    </w:pPr>
    <w:r>
      <w:rPr>
        <w:noProof/>
      </w:rPr>
      <mc:AlternateContent>
        <mc:Choice Requires="wps">
          <w:drawing>
            <wp:anchor distT="0" distB="0" distL="0" distR="0" simplePos="0" relativeHeight="62914696" behindDoc="1" locked="0" layoutInCell="1" allowOverlap="1" wp14:anchorId="0BD3A69F" wp14:editId="51ABC8B9">
              <wp:simplePos x="0" y="0"/>
              <wp:positionH relativeFrom="page">
                <wp:posOffset>3578860</wp:posOffset>
              </wp:positionH>
              <wp:positionV relativeFrom="page">
                <wp:posOffset>10035540</wp:posOffset>
              </wp:positionV>
              <wp:extent cx="24384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243840" cy="91440"/>
                      </a:xfrm>
                      <a:prstGeom prst="rect">
                        <a:avLst/>
                      </a:prstGeom>
                      <a:noFill/>
                    </wps:spPr>
                    <wps:txbx>
                      <w:txbxContent>
                        <w:p w14:paraId="56AEADB7"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7</w:t>
                          </w:r>
                        </w:p>
                      </w:txbxContent>
                    </wps:txbx>
                    <wps:bodyPr wrap="none" lIns="0" tIns="0" rIns="0" bIns="0">
                      <a:spAutoFit/>
                    </wps:bodyPr>
                  </wps:wsp>
                </a:graphicData>
              </a:graphic>
            </wp:anchor>
          </w:drawing>
        </mc:Choice>
        <mc:Fallback>
          <w:pict>
            <v:shapetype w14:anchorId="0BD3A69F" id="_x0000_t202" coordsize="21600,21600" o:spt="202" path="m,l,21600r21600,l21600,xe">
              <v:stroke joinstyle="miter"/>
              <v:path gradientshapeok="t" o:connecttype="rect"/>
            </v:shapetype>
            <v:shape id="Shape 9" o:spid="_x0000_s1036" type="#_x0000_t202" style="position:absolute;margin-left:281.8pt;margin-top:790.2pt;width:19.2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" filled="f" stroked="f">
              <v:textbox style="mso-fit-shape-to-text:t" inset="0,0,0,0">
                <w:txbxContent>
                  <w:p w14:paraId="56AEADB7"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47BE" w14:textId="77777777" w:rsidR="000601AE" w:rsidRDefault="00C57E93">
    <w:pPr>
      <w:spacing w:line="1" w:lineRule="exact"/>
    </w:pPr>
    <w:r>
      <w:rPr>
        <w:noProof/>
      </w:rPr>
      <mc:AlternateContent>
        <mc:Choice Requires="wps">
          <w:drawing>
            <wp:anchor distT="0" distB="0" distL="0" distR="0" simplePos="0" relativeHeight="62914700" behindDoc="1" locked="0" layoutInCell="1" allowOverlap="1" wp14:anchorId="239EBBEE" wp14:editId="1B9C71E1">
              <wp:simplePos x="0" y="0"/>
              <wp:positionH relativeFrom="page">
                <wp:posOffset>3474085</wp:posOffset>
              </wp:positionH>
              <wp:positionV relativeFrom="page">
                <wp:posOffset>10062845</wp:posOffset>
              </wp:positionV>
              <wp:extent cx="25273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252730" cy="91440"/>
                      </a:xfrm>
                      <a:prstGeom prst="rect">
                        <a:avLst/>
                      </a:prstGeom>
                      <a:noFill/>
                    </wps:spPr>
                    <wps:txbx>
                      <w:txbxContent>
                        <w:p w14:paraId="1214D4BD"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z7</w:t>
                          </w:r>
                        </w:p>
                      </w:txbxContent>
                    </wps:txbx>
                    <wps:bodyPr wrap="none" lIns="0" tIns="0" rIns="0" bIns="0">
                      <a:spAutoFit/>
                    </wps:bodyPr>
                  </wps:wsp>
                </a:graphicData>
              </a:graphic>
            </wp:anchor>
          </w:drawing>
        </mc:Choice>
        <mc:Fallback>
          <w:pict>
            <v:shapetype w14:anchorId="239EBBEE" id="_x0000_t202" coordsize="21600,21600" o:spt="202" path="m,l,21600r21600,l21600,xe">
              <v:stroke joinstyle="miter"/>
              <v:path gradientshapeok="t" o:connecttype="rect"/>
            </v:shapetype>
            <v:shape id="Shape 25" o:spid="_x0000_s1038" type="#_x0000_t202" style="position:absolute;margin-left:273.55pt;margin-top:792.35pt;width:19.9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" filled="f" stroked="f">
              <v:textbox style="mso-fit-shape-to-text:t" inset="0,0,0,0">
                <w:txbxContent>
                  <w:p w14:paraId="1214D4BD"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10BB" w14:textId="77777777" w:rsidR="000601AE" w:rsidRDefault="00C57E93">
    <w:pPr>
      <w:spacing w:line="1" w:lineRule="exact"/>
    </w:pPr>
    <w:r>
      <w:rPr>
        <w:noProof/>
      </w:rPr>
      <mc:AlternateContent>
        <mc:Choice Requires="wps">
          <w:drawing>
            <wp:anchor distT="0" distB="0" distL="0" distR="0" simplePos="0" relativeHeight="62914702" behindDoc="1" locked="0" layoutInCell="1" allowOverlap="1" wp14:anchorId="5BC9851A" wp14:editId="5D041168">
              <wp:simplePos x="0" y="0"/>
              <wp:positionH relativeFrom="page">
                <wp:posOffset>3479800</wp:posOffset>
              </wp:positionH>
              <wp:positionV relativeFrom="page">
                <wp:posOffset>10024745</wp:posOffset>
              </wp:positionV>
              <wp:extent cx="255905" cy="88265"/>
              <wp:effectExtent l="0" t="0" r="0" b="0"/>
              <wp:wrapNone/>
              <wp:docPr id="27" name="Shape 27"/>
              <wp:cNvGraphicFramePr/>
              <a:graphic xmlns:a="http://schemas.openxmlformats.org/drawingml/2006/main">
                <a:graphicData uri="http://schemas.microsoft.com/office/word/2010/wordprocessingShape">
                  <wps:wsp>
                    <wps:cNvSpPr txBox="1"/>
                    <wps:spPr>
                      <a:xfrm>
                        <a:off x="0" y="0"/>
                        <a:ext cx="255905" cy="88265"/>
                      </a:xfrm>
                      <a:prstGeom prst="rect">
                        <a:avLst/>
                      </a:prstGeom>
                      <a:noFill/>
                    </wps:spPr>
                    <wps:txbx>
                      <w:txbxContent>
                        <w:p w14:paraId="514B14E6"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z7</w:t>
                          </w:r>
                        </w:p>
                      </w:txbxContent>
                    </wps:txbx>
                    <wps:bodyPr wrap="none" lIns="0" tIns="0" rIns="0" bIns="0">
                      <a:spAutoFit/>
                    </wps:bodyPr>
                  </wps:wsp>
                </a:graphicData>
              </a:graphic>
            </wp:anchor>
          </w:drawing>
        </mc:Choice>
        <mc:Fallback>
          <w:pict>
            <v:shapetype w14:anchorId="5BC9851A" id="_x0000_t202" coordsize="21600,21600" o:spt="202" path="m,l,21600r21600,l21600,xe">
              <v:stroke joinstyle="miter"/>
              <v:path gradientshapeok="t" o:connecttype="rect"/>
            </v:shapetype>
            <v:shape id="Shape 27" o:spid="_x0000_s1039" type="#_x0000_t202" style="position:absolute;margin-left:274pt;margin-top:789.35pt;width:20.15pt;height:6.9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" filled="f" stroked="f">
              <v:textbox style="mso-fit-shape-to-text:t" inset="0,0,0,0">
                <w:txbxContent>
                  <w:p w14:paraId="514B14E6" w14:textId="77777777" w:rsidR="000601AE" w:rsidRDefault="00C57E93">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C8C6" w14:textId="77777777" w:rsidR="000601AE" w:rsidRDefault="000601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9FC3" w14:textId="77777777" w:rsidR="005D7F5A" w:rsidRDefault="005D7F5A"/>
  </w:footnote>
  <w:footnote w:type="continuationSeparator" w:id="0">
    <w:p w14:paraId="4BD91508" w14:textId="77777777" w:rsidR="005D7F5A" w:rsidRDefault="005D7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0A5B" w14:textId="77777777" w:rsidR="000601AE" w:rsidRDefault="00C57E93">
    <w:pPr>
      <w:spacing w:line="1" w:lineRule="exact"/>
    </w:pPr>
    <w:r>
      <w:rPr>
        <w:noProof/>
      </w:rPr>
      <mc:AlternateContent>
        <mc:Choice Requires="wps">
          <w:drawing>
            <wp:anchor distT="0" distB="0" distL="0" distR="0" simplePos="0" relativeHeight="62914690" behindDoc="1" locked="0" layoutInCell="1" allowOverlap="1" wp14:anchorId="77C485FF" wp14:editId="49558C7C">
              <wp:simplePos x="0" y="0"/>
              <wp:positionH relativeFrom="page">
                <wp:posOffset>5921375</wp:posOffset>
              </wp:positionH>
              <wp:positionV relativeFrom="page">
                <wp:posOffset>618490</wp:posOffset>
              </wp:positionV>
              <wp:extent cx="737870" cy="292735"/>
              <wp:effectExtent l="0" t="0" r="0" b="0"/>
              <wp:wrapNone/>
              <wp:docPr id="3" name="Shape 3"/>
              <wp:cNvGraphicFramePr/>
              <a:graphic xmlns:a="http://schemas.openxmlformats.org/drawingml/2006/main">
                <a:graphicData uri="http://schemas.microsoft.com/office/word/2010/wordprocessingShape">
                  <wps:wsp>
                    <wps:cNvSpPr txBox="1"/>
                    <wps:spPr>
                      <a:xfrm>
                        <a:off x="0" y="0"/>
                        <a:ext cx="737870" cy="292735"/>
                      </a:xfrm>
                      <a:prstGeom prst="rect">
                        <a:avLst/>
                      </a:prstGeom>
                      <a:noFill/>
                    </wps:spPr>
                    <wps:txbx>
                      <w:txbxContent>
                        <w:p w14:paraId="6622B75F" w14:textId="77777777" w:rsidR="000601AE" w:rsidRDefault="00C57E93">
                          <w:pPr>
                            <w:pStyle w:val="Zhlavnebozpat20"/>
                            <w:rPr>
                              <w:sz w:val="50"/>
                              <w:szCs w:val="50"/>
                            </w:rPr>
                          </w:pPr>
                          <w:proofErr w:type="gramStart"/>
                          <w:r>
                            <w:rPr>
                              <w:rFonts w:ascii="Arial" w:eastAsia="Arial" w:hAnsi="Arial" w:cs="Arial"/>
                              <w:b/>
                              <w:bCs/>
                              <w:color w:val="60506A"/>
                              <w:sz w:val="50"/>
                              <w:szCs w:val="50"/>
                            </w:rPr>
                            <w:t>&gt;</w:t>
                          </w:r>
                          <w:proofErr w:type="spellStart"/>
                          <w:r>
                            <w:rPr>
                              <w:rFonts w:ascii="Arial" w:eastAsia="Arial" w:hAnsi="Arial" w:cs="Arial"/>
                              <w:b/>
                              <w:bCs/>
                              <w:color w:val="60506A"/>
                              <w:sz w:val="50"/>
                              <w:szCs w:val="50"/>
                            </w:rPr>
                            <w:t>pxe</w:t>
                          </w:r>
                          <w:proofErr w:type="spellEnd"/>
                          <w:proofErr w:type="gramEnd"/>
                        </w:p>
                      </w:txbxContent>
                    </wps:txbx>
                    <wps:bodyPr wrap="none" lIns="0" tIns="0" rIns="0" bIns="0">
                      <a:spAutoFit/>
                    </wps:bodyPr>
                  </wps:wsp>
                </a:graphicData>
              </a:graphic>
            </wp:anchor>
          </w:drawing>
        </mc:Choice>
        <mc:Fallback>
          <w:pict>
            <v:shapetype w14:anchorId="77C485FF" id="_x0000_t202" coordsize="21600,21600" o:spt="202" path="m,l,21600r21600,l21600,xe">
              <v:stroke joinstyle="miter"/>
              <v:path gradientshapeok="t" o:connecttype="rect"/>
            </v:shapetype>
            <v:shape id="Shape 3" o:spid="_x0000_s1033" type="#_x0000_t202" style="position:absolute;margin-left:466.25pt;margin-top:48.7pt;width:58.1pt;height:23.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" filled="f" stroked="f">
              <v:textbox style="mso-fit-shape-to-text:t" inset="0,0,0,0">
                <w:txbxContent>
                  <w:p w14:paraId="6622B75F" w14:textId="77777777" w:rsidR="000601AE" w:rsidRDefault="00C57E93">
                    <w:pPr>
                      <w:pStyle w:val="Zhlavnebozpat20"/>
                      <w:rPr>
                        <w:sz w:val="50"/>
                        <w:szCs w:val="50"/>
                      </w:rPr>
                    </w:pPr>
                    <w:r>
                      <w:rPr>
                        <w:rFonts w:ascii="Arial" w:eastAsia="Arial" w:hAnsi="Arial" w:cs="Arial"/>
                        <w:b/>
                        <w:bCs/>
                        <w:color w:val="60506A"/>
                        <w:sz w:val="50"/>
                        <w:szCs w:val="50"/>
                      </w:rPr>
                      <w:t>&gt;pxe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1634" w14:textId="77777777" w:rsidR="000601AE" w:rsidRDefault="00C57E93">
    <w:pPr>
      <w:spacing w:line="1" w:lineRule="exact"/>
    </w:pPr>
    <w:r>
      <w:rPr>
        <w:noProof/>
      </w:rPr>
      <mc:AlternateContent>
        <mc:Choice Requires="wps">
          <w:drawing>
            <wp:anchor distT="0" distB="0" distL="0" distR="0" simplePos="0" relativeHeight="62914694" behindDoc="1" locked="0" layoutInCell="1" allowOverlap="1" wp14:anchorId="5BEFB143" wp14:editId="15702F4F">
              <wp:simplePos x="0" y="0"/>
              <wp:positionH relativeFrom="page">
                <wp:posOffset>6004560</wp:posOffset>
              </wp:positionH>
              <wp:positionV relativeFrom="page">
                <wp:posOffset>635635</wp:posOffset>
              </wp:positionV>
              <wp:extent cx="737870" cy="298450"/>
              <wp:effectExtent l="0" t="0" r="0" b="0"/>
              <wp:wrapNone/>
              <wp:docPr id="7" name="Shape 7"/>
              <wp:cNvGraphicFramePr/>
              <a:graphic xmlns:a="http://schemas.openxmlformats.org/drawingml/2006/main">
                <a:graphicData uri="http://schemas.microsoft.com/office/word/2010/wordprocessingShape">
                  <wps:wsp>
                    <wps:cNvSpPr txBox="1"/>
                    <wps:spPr>
                      <a:xfrm>
                        <a:off x="0" y="0"/>
                        <a:ext cx="737870" cy="298450"/>
                      </a:xfrm>
                      <a:prstGeom prst="rect">
                        <a:avLst/>
                      </a:prstGeom>
                      <a:noFill/>
                    </wps:spPr>
                    <wps:txbx>
                      <w:txbxContent>
                        <w:p w14:paraId="132753E0" w14:textId="77777777" w:rsidR="000601AE" w:rsidRDefault="00C57E93">
                          <w:pPr>
                            <w:pStyle w:val="Zhlavnebozpat20"/>
                            <w:rPr>
                              <w:sz w:val="50"/>
                              <w:szCs w:val="50"/>
                            </w:rPr>
                          </w:pPr>
                          <w:proofErr w:type="gramStart"/>
                          <w:r>
                            <w:rPr>
                              <w:rFonts w:ascii="Arial" w:eastAsia="Arial" w:hAnsi="Arial" w:cs="Arial"/>
                              <w:b/>
                              <w:bCs/>
                              <w:color w:val="60506A"/>
                              <w:sz w:val="50"/>
                              <w:szCs w:val="50"/>
                            </w:rPr>
                            <w:t>&gt;</w:t>
                          </w:r>
                          <w:proofErr w:type="spellStart"/>
                          <w:r>
                            <w:rPr>
                              <w:rFonts w:ascii="Arial" w:eastAsia="Arial" w:hAnsi="Arial" w:cs="Arial"/>
                              <w:b/>
                              <w:bCs/>
                              <w:color w:val="60506A"/>
                              <w:sz w:val="50"/>
                              <w:szCs w:val="50"/>
                            </w:rPr>
                            <w:t>pxe</w:t>
                          </w:r>
                          <w:proofErr w:type="spellEnd"/>
                          <w:proofErr w:type="gramEnd"/>
                        </w:p>
                      </w:txbxContent>
                    </wps:txbx>
                    <wps:bodyPr wrap="none" lIns="0" tIns="0" rIns="0" bIns="0">
                      <a:spAutoFit/>
                    </wps:bodyPr>
                  </wps:wsp>
                </a:graphicData>
              </a:graphic>
            </wp:anchor>
          </w:drawing>
        </mc:Choice>
        <mc:Fallback>
          <w:pict>
            <v:shapetype w14:anchorId="5BEFB143" id="_x0000_t202" coordsize="21600,21600" o:spt="202" path="m,l,21600r21600,l21600,xe">
              <v:stroke joinstyle="miter"/>
              <v:path gradientshapeok="t" o:connecttype="rect"/>
            </v:shapetype>
            <v:shape id="Shape 7" o:spid="_x0000_s1035" type="#_x0000_t202" style="position:absolute;margin-left:472.8pt;margin-top:50.05pt;width:58.1pt;height:2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" filled="f" stroked="f">
              <v:textbox style="mso-fit-shape-to-text:t" inset="0,0,0,0">
                <w:txbxContent>
                  <w:p w14:paraId="132753E0" w14:textId="77777777" w:rsidR="000601AE" w:rsidRDefault="00C57E93">
                    <w:pPr>
                      <w:pStyle w:val="Zhlavnebozpat20"/>
                      <w:rPr>
                        <w:sz w:val="50"/>
                        <w:szCs w:val="50"/>
                      </w:rPr>
                    </w:pPr>
                    <w:r>
                      <w:rPr>
                        <w:rFonts w:ascii="Arial" w:eastAsia="Arial" w:hAnsi="Arial" w:cs="Arial"/>
                        <w:b/>
                        <w:bCs/>
                        <w:color w:val="60506A"/>
                        <w:sz w:val="50"/>
                        <w:szCs w:val="50"/>
                      </w:rPr>
                      <w:t>&gt;pxe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8C91" w14:textId="77777777" w:rsidR="000601AE" w:rsidRDefault="00C57E93">
    <w:pPr>
      <w:spacing w:line="1" w:lineRule="exact"/>
    </w:pPr>
    <w:r>
      <w:rPr>
        <w:noProof/>
      </w:rPr>
      <mc:AlternateContent>
        <mc:Choice Requires="wps">
          <w:drawing>
            <wp:anchor distT="0" distB="0" distL="0" distR="0" simplePos="0" relativeHeight="62914698" behindDoc="1" locked="0" layoutInCell="1" allowOverlap="1" wp14:anchorId="46404C6E" wp14:editId="2BC0EF07">
              <wp:simplePos x="0" y="0"/>
              <wp:positionH relativeFrom="page">
                <wp:posOffset>5921375</wp:posOffset>
              </wp:positionH>
              <wp:positionV relativeFrom="page">
                <wp:posOffset>618490</wp:posOffset>
              </wp:positionV>
              <wp:extent cx="737870" cy="292735"/>
              <wp:effectExtent l="0" t="0" r="0" b="0"/>
              <wp:wrapNone/>
              <wp:docPr id="23" name="Shape 23"/>
              <wp:cNvGraphicFramePr/>
              <a:graphic xmlns:a="http://schemas.openxmlformats.org/drawingml/2006/main">
                <a:graphicData uri="http://schemas.microsoft.com/office/word/2010/wordprocessingShape">
                  <wps:wsp>
                    <wps:cNvSpPr txBox="1"/>
                    <wps:spPr>
                      <a:xfrm>
                        <a:off x="0" y="0"/>
                        <a:ext cx="737870" cy="292735"/>
                      </a:xfrm>
                      <a:prstGeom prst="rect">
                        <a:avLst/>
                      </a:prstGeom>
                      <a:noFill/>
                    </wps:spPr>
                    <wps:txbx>
                      <w:txbxContent>
                        <w:p w14:paraId="09E96AE1" w14:textId="77777777" w:rsidR="000601AE" w:rsidRDefault="00C57E93">
                          <w:pPr>
                            <w:pStyle w:val="Zhlavnebozpat20"/>
                            <w:rPr>
                              <w:sz w:val="50"/>
                              <w:szCs w:val="50"/>
                            </w:rPr>
                          </w:pPr>
                          <w:proofErr w:type="gramStart"/>
                          <w:r>
                            <w:rPr>
                              <w:rFonts w:ascii="Arial" w:eastAsia="Arial" w:hAnsi="Arial" w:cs="Arial"/>
                              <w:b/>
                              <w:bCs/>
                              <w:color w:val="60506A"/>
                              <w:sz w:val="50"/>
                              <w:szCs w:val="50"/>
                            </w:rPr>
                            <w:t>&gt;</w:t>
                          </w:r>
                          <w:proofErr w:type="spellStart"/>
                          <w:r>
                            <w:rPr>
                              <w:rFonts w:ascii="Arial" w:eastAsia="Arial" w:hAnsi="Arial" w:cs="Arial"/>
                              <w:b/>
                              <w:bCs/>
                              <w:color w:val="60506A"/>
                              <w:sz w:val="50"/>
                              <w:szCs w:val="50"/>
                            </w:rPr>
                            <w:t>pxe</w:t>
                          </w:r>
                          <w:proofErr w:type="spellEnd"/>
                          <w:proofErr w:type="gramEnd"/>
                        </w:p>
                      </w:txbxContent>
                    </wps:txbx>
                    <wps:bodyPr wrap="none" lIns="0" tIns="0" rIns="0" bIns="0">
                      <a:spAutoFit/>
                    </wps:bodyPr>
                  </wps:wsp>
                </a:graphicData>
              </a:graphic>
            </wp:anchor>
          </w:drawing>
        </mc:Choice>
        <mc:Fallback>
          <w:pict>
            <v:shapetype w14:anchorId="46404C6E" id="_x0000_t202" coordsize="21600,21600" o:spt="202" path="m,l,21600r21600,l21600,xe">
              <v:stroke joinstyle="miter"/>
              <v:path gradientshapeok="t" o:connecttype="rect"/>
            </v:shapetype>
            <v:shape id="Shape 23" o:spid="_x0000_s1037" type="#_x0000_t202" style="position:absolute;margin-left:466.25pt;margin-top:48.7pt;width:58.1pt;height:23.0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" filled="f" stroked="f">
              <v:textbox style="mso-fit-shape-to-text:t" inset="0,0,0,0">
                <w:txbxContent>
                  <w:p w14:paraId="09E96AE1" w14:textId="77777777" w:rsidR="000601AE" w:rsidRDefault="00C57E93">
                    <w:pPr>
                      <w:pStyle w:val="Zhlavnebozpat20"/>
                      <w:rPr>
                        <w:sz w:val="50"/>
                        <w:szCs w:val="50"/>
                      </w:rPr>
                    </w:pPr>
                    <w:r>
                      <w:rPr>
                        <w:rFonts w:ascii="Arial" w:eastAsia="Arial" w:hAnsi="Arial" w:cs="Arial"/>
                        <w:b/>
                        <w:bCs/>
                        <w:color w:val="60506A"/>
                        <w:sz w:val="50"/>
                        <w:szCs w:val="50"/>
                      </w:rPr>
                      <w:t>&gt;pxe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BF7C" w14:textId="77777777" w:rsidR="000601AE" w:rsidRDefault="000601A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731D" w14:textId="77777777" w:rsidR="000601AE" w:rsidRDefault="00C57E93">
    <w:pPr>
      <w:spacing w:line="1" w:lineRule="exact"/>
    </w:pPr>
    <w:r>
      <w:rPr>
        <w:noProof/>
      </w:rPr>
      <mc:AlternateContent>
        <mc:Choice Requires="wps">
          <w:drawing>
            <wp:anchor distT="0" distB="0" distL="0" distR="0" simplePos="0" relativeHeight="62914704" behindDoc="1" locked="0" layoutInCell="1" allowOverlap="1" wp14:anchorId="001CB041" wp14:editId="67A26F8C">
              <wp:simplePos x="0" y="0"/>
              <wp:positionH relativeFrom="page">
                <wp:posOffset>955675</wp:posOffset>
              </wp:positionH>
              <wp:positionV relativeFrom="page">
                <wp:posOffset>609600</wp:posOffset>
              </wp:positionV>
              <wp:extent cx="5330825" cy="292735"/>
              <wp:effectExtent l="0" t="0" r="0" b="0"/>
              <wp:wrapNone/>
              <wp:docPr id="29" name="Shape 29"/>
              <wp:cNvGraphicFramePr/>
              <a:graphic xmlns:a="http://schemas.openxmlformats.org/drawingml/2006/main">
                <a:graphicData uri="http://schemas.microsoft.com/office/word/2010/wordprocessingShape">
                  <wps:wsp>
                    <wps:cNvSpPr txBox="1"/>
                    <wps:spPr>
                      <a:xfrm>
                        <a:off x="0" y="0"/>
                        <a:ext cx="5330825" cy="292735"/>
                      </a:xfrm>
                      <a:prstGeom prst="rect">
                        <a:avLst/>
                      </a:prstGeom>
                      <a:noFill/>
                    </wps:spPr>
                    <wps:txbx>
                      <w:txbxContent>
                        <w:p w14:paraId="31E33484" w14:textId="77777777" w:rsidR="000601AE" w:rsidRDefault="00C57E93">
                          <w:pPr>
                            <w:pStyle w:val="Zhlavnebozpat20"/>
                            <w:tabs>
                              <w:tab w:val="right" w:pos="8395"/>
                            </w:tabs>
                            <w:rPr>
                              <w:sz w:val="50"/>
                              <w:szCs w:val="50"/>
                            </w:rPr>
                          </w:pPr>
                          <w:r>
                            <w:rPr>
                              <w:rFonts w:ascii="Arial" w:eastAsia="Arial" w:hAnsi="Arial" w:cs="Arial"/>
                              <w:b/>
                              <w:bCs/>
                              <w:sz w:val="22"/>
                              <w:szCs w:val="22"/>
                            </w:rPr>
                            <w:t>Příloha - Referenční podmínky dodávky plynu</w:t>
                          </w:r>
                          <w:proofErr w:type="gramStart"/>
                          <w:r>
                            <w:rPr>
                              <w:rFonts w:ascii="Arial" w:eastAsia="Arial" w:hAnsi="Arial" w:cs="Arial"/>
                              <w:b/>
                              <w:bCs/>
                              <w:sz w:val="22"/>
                              <w:szCs w:val="22"/>
                            </w:rPr>
                            <w:tab/>
                          </w:r>
                          <w:r>
                            <w:rPr>
                              <w:rFonts w:ascii="Arial" w:eastAsia="Arial" w:hAnsi="Arial" w:cs="Arial"/>
                              <w:b/>
                              <w:bCs/>
                              <w:color w:val="60506A"/>
                              <w:sz w:val="50"/>
                              <w:szCs w:val="50"/>
                            </w:rPr>
                            <w:t>&gt;</w:t>
                          </w:r>
                          <w:proofErr w:type="spellStart"/>
                          <w:r>
                            <w:rPr>
                              <w:rFonts w:ascii="Arial" w:eastAsia="Arial" w:hAnsi="Arial" w:cs="Arial"/>
                              <w:b/>
                              <w:bCs/>
                              <w:color w:val="60506A"/>
                              <w:sz w:val="50"/>
                              <w:szCs w:val="50"/>
                            </w:rPr>
                            <w:t>pxe</w:t>
                          </w:r>
                          <w:proofErr w:type="spellEnd"/>
                          <w:proofErr w:type="gramEnd"/>
                        </w:p>
                      </w:txbxContent>
                    </wps:txbx>
                    <wps:bodyPr lIns="0" tIns="0" rIns="0" bIns="0">
                      <a:spAutoFit/>
                    </wps:bodyPr>
                  </wps:wsp>
                </a:graphicData>
              </a:graphic>
            </wp:anchor>
          </w:drawing>
        </mc:Choice>
        <mc:Fallback>
          <w:pict>
            <v:shapetype w14:anchorId="001CB041" id="_x0000_t202" coordsize="21600,21600" o:spt="202" path="m,l,21600r21600,l21600,xe">
              <v:stroke joinstyle="miter"/>
              <v:path gradientshapeok="t" o:connecttype="rect"/>
            </v:shapetype>
            <v:shape id="Shape 29" o:spid="_x0000_s1040" type="#_x0000_t202" style="position:absolute;margin-left:75.25pt;margin-top:48pt;width:419.75pt;height:23.0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" filled="f" stroked="f">
              <v:textbox style="mso-fit-shape-to-text:t" inset="0,0,0,0">
                <w:txbxContent>
                  <w:p w14:paraId="31E33484" w14:textId="77777777" w:rsidR="000601AE" w:rsidRDefault="00C57E93">
                    <w:pPr>
                      <w:pStyle w:val="Zhlavnebozpat20"/>
                      <w:tabs>
                        <w:tab w:val="right" w:pos="8395"/>
                      </w:tabs>
                      <w:rPr>
                        <w:sz w:val="50"/>
                        <w:szCs w:val="50"/>
                      </w:rPr>
                    </w:pPr>
                    <w:r>
                      <w:rPr>
                        <w:rFonts w:ascii="Arial" w:eastAsia="Arial" w:hAnsi="Arial" w:cs="Arial"/>
                        <w:b/>
                        <w:bCs/>
                        <w:sz w:val="22"/>
                        <w:szCs w:val="22"/>
                      </w:rPr>
                      <w:t>Příloha - Referenční podmínky dodávky plynu</w:t>
                    </w:r>
                    <w:r>
                      <w:rPr>
                        <w:rFonts w:ascii="Arial" w:eastAsia="Arial" w:hAnsi="Arial" w:cs="Arial"/>
                        <w:b/>
                        <w:bCs/>
                        <w:sz w:val="22"/>
                        <w:szCs w:val="22"/>
                      </w:rPr>
                      <w:tab/>
                    </w:r>
                    <w:r>
                      <w:rPr>
                        <w:rFonts w:ascii="Arial" w:eastAsia="Arial" w:hAnsi="Arial" w:cs="Arial"/>
                        <w:b/>
                        <w:bCs/>
                        <w:color w:val="60506A"/>
                        <w:sz w:val="50"/>
                        <w:szCs w:val="50"/>
                      </w:rPr>
                      <w:t>&gt;pxe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1C"/>
    <w:multiLevelType w:val="multilevel"/>
    <w:tmpl w:val="073E1C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2764E"/>
    <w:multiLevelType w:val="multilevel"/>
    <w:tmpl w:val="C2360E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65B83"/>
    <w:multiLevelType w:val="multilevel"/>
    <w:tmpl w:val="0A40B1E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72138"/>
    <w:multiLevelType w:val="multilevel"/>
    <w:tmpl w:val="189C65A4"/>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EF40C6"/>
    <w:multiLevelType w:val="multilevel"/>
    <w:tmpl w:val="692A00E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81213D"/>
    <w:multiLevelType w:val="multilevel"/>
    <w:tmpl w:val="BCE2D0E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04592F"/>
    <w:multiLevelType w:val="multilevel"/>
    <w:tmpl w:val="6136AC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4E0C26"/>
    <w:multiLevelType w:val="multilevel"/>
    <w:tmpl w:val="91E6998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E46663"/>
    <w:multiLevelType w:val="multilevel"/>
    <w:tmpl w:val="4D6A7284"/>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BB0813"/>
    <w:multiLevelType w:val="multilevel"/>
    <w:tmpl w:val="ED847034"/>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363577"/>
    <w:multiLevelType w:val="multilevel"/>
    <w:tmpl w:val="A9C095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01FD3"/>
    <w:multiLevelType w:val="multilevel"/>
    <w:tmpl w:val="36E2F6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C053B2"/>
    <w:multiLevelType w:val="multilevel"/>
    <w:tmpl w:val="2422A2E2"/>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FF273A"/>
    <w:multiLevelType w:val="multilevel"/>
    <w:tmpl w:val="33D0F8F8"/>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813BC0"/>
    <w:multiLevelType w:val="multilevel"/>
    <w:tmpl w:val="E1E0D214"/>
    <w:lvl w:ilvl="0">
      <w:start w:val="5"/>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ED62A7"/>
    <w:multiLevelType w:val="multilevel"/>
    <w:tmpl w:val="C31A59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0758F8"/>
    <w:multiLevelType w:val="multilevel"/>
    <w:tmpl w:val="F4E8EA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123E16"/>
    <w:multiLevelType w:val="multilevel"/>
    <w:tmpl w:val="456A57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5"/>
  </w:num>
  <w:num w:numId="4">
    <w:abstractNumId w:val="1"/>
  </w:num>
  <w:num w:numId="5">
    <w:abstractNumId w:val="3"/>
  </w:num>
  <w:num w:numId="6">
    <w:abstractNumId w:val="7"/>
  </w:num>
  <w:num w:numId="7">
    <w:abstractNumId w:val="8"/>
  </w:num>
  <w:num w:numId="8">
    <w:abstractNumId w:val="10"/>
  </w:num>
  <w:num w:numId="9">
    <w:abstractNumId w:val="5"/>
  </w:num>
  <w:num w:numId="10">
    <w:abstractNumId w:val="11"/>
  </w:num>
  <w:num w:numId="11">
    <w:abstractNumId w:val="4"/>
  </w:num>
  <w:num w:numId="12">
    <w:abstractNumId w:val="0"/>
  </w:num>
  <w:num w:numId="13">
    <w:abstractNumId w:val="6"/>
  </w:num>
  <w:num w:numId="14">
    <w:abstractNumId w:val="2"/>
  </w:num>
  <w:num w:numId="15">
    <w:abstractNumId w:val="9"/>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AE"/>
    <w:rsid w:val="000601AE"/>
    <w:rsid w:val="005D7F5A"/>
    <w:rsid w:val="00643BD0"/>
    <w:rsid w:val="0080330A"/>
    <w:rsid w:val="00C57E93"/>
    <w:rsid w:val="00CE6065"/>
    <w:rsid w:val="00DB3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917C"/>
  <w15:docId w15:val="{B65A4BC6-B2C0-4298-90D2-29C845CA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shd w:val="clear" w:color="auto" w:fill="auto"/>
    </w:rPr>
  </w:style>
  <w:style w:type="paragraph" w:customStyle="1" w:styleId="Zkladntext20">
    <w:name w:val="Základní text (2)"/>
    <w:basedOn w:val="Normln"/>
    <w:link w:val="Zkladntext2"/>
    <w:pPr>
      <w:spacing w:after="160"/>
    </w:pPr>
    <w:rPr>
      <w:rFonts w:ascii="Arial" w:eastAsia="Arial" w:hAnsi="Arial" w:cs="Arial"/>
      <w:sz w:val="22"/>
      <w:szCs w:val="22"/>
    </w:rPr>
  </w:style>
  <w:style w:type="paragraph" w:customStyle="1" w:styleId="Zkladntext1">
    <w:name w:val="Základní text1"/>
    <w:basedOn w:val="Normln"/>
    <w:link w:val="Zkladntext"/>
    <w:pPr>
      <w:spacing w:after="60"/>
    </w:pPr>
    <w:rPr>
      <w:rFonts w:ascii="Arial" w:eastAsia="Arial" w:hAnsi="Arial" w:cs="Arial"/>
      <w:sz w:val="19"/>
      <w:szCs w:val="19"/>
    </w:rPr>
  </w:style>
  <w:style w:type="paragraph" w:customStyle="1" w:styleId="Nadpis10">
    <w:name w:val="Nadpis #1"/>
    <w:basedOn w:val="Normln"/>
    <w:link w:val="Nadpis1"/>
    <w:pPr>
      <w:spacing w:after="80"/>
      <w:outlineLvl w:val="0"/>
    </w:pPr>
    <w:rPr>
      <w:rFonts w:ascii="Arial" w:eastAsia="Arial" w:hAnsi="Arial" w:cs="Arial"/>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40"/>
      <w:outlineLvl w:val="1"/>
    </w:pPr>
    <w:rPr>
      <w:rFonts w:ascii="Arial" w:eastAsia="Arial" w:hAnsi="Arial" w:cs="Arial"/>
      <w:b/>
      <w:bCs/>
      <w:sz w:val="19"/>
      <w:szCs w:val="19"/>
    </w:rPr>
  </w:style>
  <w:style w:type="paragraph" w:customStyle="1" w:styleId="Titulektabulky0">
    <w:name w:val="Titulek tabulky"/>
    <w:basedOn w:val="Normln"/>
    <w:link w:val="Titulektabulky"/>
    <w:rPr>
      <w:rFonts w:ascii="Arial" w:eastAsia="Arial" w:hAnsi="Arial" w:cs="Arial"/>
      <w:sz w:val="19"/>
      <w:szCs w:val="19"/>
    </w:rPr>
  </w:style>
  <w:style w:type="paragraph" w:customStyle="1" w:styleId="Jin0">
    <w:name w:val="Jiné"/>
    <w:basedOn w:val="Normln"/>
    <w:link w:val="Jin"/>
    <w:pPr>
      <w:spacing w:after="60"/>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faktury@cdv.cz"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cdv.cz"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3972</Words>
  <Characters>23438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2022-03-15T07:36:00Z</dcterms:created>
  <dcterms:modified xsi:type="dcterms:W3CDTF">2022-03-15T07:45:00Z</dcterms:modified>
</cp:coreProperties>
</file>