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60" w:type="dxa"/>
        <w:tblCellMar>
          <w:left w:w="70" w:type="dxa"/>
          <w:right w:w="70" w:type="dxa"/>
        </w:tblCellMar>
        <w:tblLook w:val="04A0" w:firstRow="1" w:lastRow="0" w:firstColumn="1" w:lastColumn="0" w:noHBand="0" w:noVBand="1"/>
      </w:tblPr>
      <w:tblGrid>
        <w:gridCol w:w="1370"/>
        <w:gridCol w:w="1000"/>
        <w:gridCol w:w="4800"/>
        <w:gridCol w:w="420"/>
        <w:gridCol w:w="800"/>
        <w:gridCol w:w="980"/>
        <w:gridCol w:w="1140"/>
        <w:gridCol w:w="2320"/>
        <w:gridCol w:w="1940"/>
      </w:tblGrid>
      <w:tr w:rsidR="00821440" w:rsidRPr="00821440" w:rsidTr="00821440">
        <w:trPr>
          <w:trHeight w:val="360"/>
        </w:trPr>
        <w:tc>
          <w:tcPr>
            <w:tcW w:w="1260" w:type="dxa"/>
            <w:tcBorders>
              <w:top w:val="nil"/>
              <w:left w:val="nil"/>
              <w:bottom w:val="nil"/>
              <w:right w:val="nil"/>
            </w:tcBorders>
            <w:shd w:val="clear" w:color="FFFFFF" w:fill="FFFFCC"/>
            <w:noWrap/>
            <w:vAlign w:val="bottom"/>
            <w:hideMark/>
          </w:tcPr>
          <w:p w:rsidR="00821440" w:rsidRPr="00821440" w:rsidRDefault="00821440" w:rsidP="00821440">
            <w:pPr>
              <w:spacing w:after="0" w:line="240" w:lineRule="auto"/>
              <w:rPr>
                <w:rFonts w:ascii="Arial CE" w:eastAsia="Times New Roman" w:hAnsi="Arial CE" w:cs="Arial CE"/>
                <w:b/>
                <w:bCs/>
                <w:color w:val="FF0000"/>
                <w:sz w:val="28"/>
                <w:szCs w:val="28"/>
                <w:lang w:eastAsia="cs-CZ"/>
              </w:rPr>
            </w:pPr>
            <w:bookmarkStart w:id="0" w:name="RANGE!A1:N78"/>
            <w:r w:rsidRPr="00821440">
              <w:rPr>
                <w:rFonts w:ascii="Arial CE" w:eastAsia="Times New Roman" w:hAnsi="Arial CE" w:cs="Arial CE"/>
                <w:b/>
                <w:bCs/>
                <w:color w:val="FF0000"/>
                <w:sz w:val="28"/>
                <w:szCs w:val="28"/>
                <w:lang w:eastAsia="cs-CZ"/>
              </w:rPr>
              <w:t xml:space="preserve">SOUPIS PRACÍ pro Změnový list  </w:t>
            </w:r>
            <w:proofErr w:type="gramStart"/>
            <w:r w:rsidRPr="00821440">
              <w:rPr>
                <w:rFonts w:ascii="Arial CE" w:eastAsia="Times New Roman" w:hAnsi="Arial CE" w:cs="Arial CE"/>
                <w:b/>
                <w:bCs/>
                <w:color w:val="FF0000"/>
                <w:sz w:val="28"/>
                <w:szCs w:val="28"/>
                <w:lang w:eastAsia="cs-CZ"/>
              </w:rPr>
              <w:t>č.2</w:t>
            </w:r>
            <w:bookmarkEnd w:id="0"/>
            <w:proofErr w:type="gramEnd"/>
          </w:p>
        </w:tc>
        <w:tc>
          <w:tcPr>
            <w:tcW w:w="10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4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jc w:val="center"/>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126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Stavba:</w:t>
            </w:r>
          </w:p>
        </w:tc>
        <w:tc>
          <w:tcPr>
            <w:tcW w:w="5800" w:type="dxa"/>
            <w:gridSpan w:val="2"/>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b/>
                <w:bCs/>
                <w:sz w:val="16"/>
                <w:szCs w:val="16"/>
                <w:lang w:eastAsia="cs-CZ"/>
              </w:rPr>
            </w:pPr>
            <w:r w:rsidRPr="00821440">
              <w:rPr>
                <w:rFonts w:ascii="Arial CE" w:eastAsia="Times New Roman" w:hAnsi="Arial CE" w:cs="Arial CE"/>
                <w:b/>
                <w:bCs/>
                <w:sz w:val="16"/>
                <w:szCs w:val="16"/>
                <w:lang w:eastAsia="cs-CZ"/>
              </w:rPr>
              <w:t xml:space="preserve">    RUDOLFINUM</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126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Oblast:</w:t>
            </w:r>
          </w:p>
        </w:tc>
        <w:tc>
          <w:tcPr>
            <w:tcW w:w="5800" w:type="dxa"/>
            <w:gridSpan w:val="2"/>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b/>
                <w:bCs/>
                <w:sz w:val="16"/>
                <w:szCs w:val="16"/>
                <w:lang w:eastAsia="cs-CZ"/>
              </w:rPr>
            </w:pPr>
            <w:r w:rsidRPr="00821440">
              <w:rPr>
                <w:rFonts w:ascii="Arial CE" w:eastAsia="Times New Roman" w:hAnsi="Arial CE" w:cs="Arial CE"/>
                <w:b/>
                <w:bCs/>
                <w:sz w:val="16"/>
                <w:szCs w:val="16"/>
                <w:lang w:eastAsia="cs-CZ"/>
              </w:rPr>
              <w:t xml:space="preserve">    Edukační centrum</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126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xml:space="preserve">Část:   </w:t>
            </w:r>
          </w:p>
        </w:tc>
        <w:tc>
          <w:tcPr>
            <w:tcW w:w="5800" w:type="dxa"/>
            <w:gridSpan w:val="2"/>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b/>
                <w:bCs/>
                <w:sz w:val="16"/>
                <w:szCs w:val="16"/>
                <w:lang w:eastAsia="cs-CZ"/>
              </w:rPr>
            </w:pPr>
            <w:r w:rsidRPr="00821440">
              <w:rPr>
                <w:rFonts w:ascii="Arial CE" w:eastAsia="Times New Roman" w:hAnsi="Arial CE" w:cs="Arial CE"/>
                <w:b/>
                <w:bCs/>
                <w:sz w:val="16"/>
                <w:szCs w:val="16"/>
                <w:lang w:eastAsia="cs-CZ"/>
              </w:rPr>
              <w:t xml:space="preserve">    Interiér, Prostorová akustika, TZB</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7060" w:type="dxa"/>
            <w:gridSpan w:val="3"/>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Objednatel:       Česká filharmonie, příspěvková organizace, IČO:00023264</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7060" w:type="dxa"/>
            <w:gridSpan w:val="3"/>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xml:space="preserve">Zhotovitel:         Ekols Praha </w:t>
            </w:r>
            <w:proofErr w:type="spellStart"/>
            <w:proofErr w:type="gramStart"/>
            <w:r w:rsidRPr="00821440">
              <w:rPr>
                <w:rFonts w:ascii="Arial CE" w:eastAsia="Times New Roman" w:hAnsi="Arial CE" w:cs="Arial CE"/>
                <w:sz w:val="16"/>
                <w:szCs w:val="16"/>
                <w:lang w:eastAsia="cs-CZ"/>
              </w:rPr>
              <w:t>spol.s</w:t>
            </w:r>
            <w:proofErr w:type="spellEnd"/>
            <w:r w:rsidRPr="00821440">
              <w:rPr>
                <w:rFonts w:ascii="Arial CE" w:eastAsia="Times New Roman" w:hAnsi="Arial CE" w:cs="Arial CE"/>
                <w:sz w:val="16"/>
                <w:szCs w:val="16"/>
                <w:lang w:eastAsia="cs-CZ"/>
              </w:rPr>
              <w:t xml:space="preserve"> r.</w:t>
            </w:r>
            <w:proofErr w:type="gramEnd"/>
            <w:r w:rsidRPr="00821440">
              <w:rPr>
                <w:rFonts w:ascii="Arial CE" w:eastAsia="Times New Roman" w:hAnsi="Arial CE" w:cs="Arial CE"/>
                <w:sz w:val="16"/>
                <w:szCs w:val="16"/>
                <w:lang w:eastAsia="cs-CZ"/>
              </w:rPr>
              <w:t>o., IČO: 25092553</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1260" w:type="dxa"/>
            <w:tcBorders>
              <w:top w:val="nil"/>
              <w:left w:val="nil"/>
              <w:bottom w:val="nil"/>
              <w:right w:val="nil"/>
            </w:tcBorders>
            <w:shd w:val="clear" w:color="000000" w:fill="FFFFCC"/>
            <w:noWrap/>
            <w:vAlign w:val="bottom"/>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xml:space="preserve">JKSO:   </w:t>
            </w:r>
          </w:p>
        </w:tc>
        <w:tc>
          <w:tcPr>
            <w:tcW w:w="1000" w:type="dxa"/>
            <w:tcBorders>
              <w:top w:val="nil"/>
              <w:left w:val="nil"/>
              <w:bottom w:val="nil"/>
              <w:right w:val="nil"/>
            </w:tcBorders>
            <w:shd w:val="clear" w:color="FFFFFF" w:fill="FFFFCC"/>
            <w:noWrap/>
            <w:vAlign w:val="bottom"/>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4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jc w:val="center"/>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r w:rsidRPr="00821440">
              <w:rPr>
                <w:rFonts w:ascii="Arial CE" w:eastAsia="Times New Roman" w:hAnsi="Arial CE" w:cs="Arial CE"/>
                <w:sz w:val="16"/>
                <w:szCs w:val="16"/>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450"/>
        </w:trPr>
        <w:tc>
          <w:tcPr>
            <w:tcW w:w="126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proofErr w:type="gramStart"/>
            <w:r w:rsidRPr="00821440">
              <w:rPr>
                <w:rFonts w:ascii="Arial CYR" w:eastAsia="Times New Roman" w:hAnsi="Arial CYR" w:cs="Arial CYR"/>
                <w:sz w:val="16"/>
                <w:szCs w:val="16"/>
                <w:lang w:eastAsia="cs-CZ"/>
              </w:rPr>
              <w:t>P.Č.</w:t>
            </w:r>
            <w:proofErr w:type="gramEnd"/>
          </w:p>
        </w:tc>
        <w:tc>
          <w:tcPr>
            <w:tcW w:w="100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Kód položky</w:t>
            </w:r>
          </w:p>
        </w:tc>
        <w:tc>
          <w:tcPr>
            <w:tcW w:w="480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Popis</w:t>
            </w:r>
          </w:p>
        </w:tc>
        <w:tc>
          <w:tcPr>
            <w:tcW w:w="42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MJ</w:t>
            </w:r>
          </w:p>
        </w:tc>
        <w:tc>
          <w:tcPr>
            <w:tcW w:w="80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Množství celkem</w:t>
            </w:r>
          </w:p>
        </w:tc>
        <w:tc>
          <w:tcPr>
            <w:tcW w:w="98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w:eastAsia="Times New Roman" w:hAnsi="Arial" w:cs="Arial"/>
                <w:sz w:val="16"/>
                <w:szCs w:val="16"/>
                <w:lang w:eastAsia="cs-CZ"/>
              </w:rPr>
            </w:pPr>
            <w:r w:rsidRPr="00821440">
              <w:rPr>
                <w:rFonts w:ascii="Arial" w:eastAsia="Times New Roman" w:hAnsi="Arial" w:cs="Arial"/>
                <w:sz w:val="16"/>
                <w:szCs w:val="16"/>
                <w:lang w:eastAsia="cs-CZ"/>
              </w:rPr>
              <w:t>Jednotková cena</w:t>
            </w:r>
          </w:p>
        </w:tc>
        <w:tc>
          <w:tcPr>
            <w:tcW w:w="1140" w:type="dxa"/>
            <w:tcBorders>
              <w:top w:val="single" w:sz="4" w:space="0" w:color="000000"/>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Cena celkem</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25"/>
        </w:trPr>
        <w:tc>
          <w:tcPr>
            <w:tcW w:w="1260" w:type="dxa"/>
            <w:tcBorders>
              <w:top w:val="nil"/>
              <w:left w:val="single" w:sz="4" w:space="0" w:color="000000"/>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1</w:t>
            </w:r>
          </w:p>
        </w:tc>
        <w:tc>
          <w:tcPr>
            <w:tcW w:w="100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2</w:t>
            </w:r>
          </w:p>
        </w:tc>
        <w:tc>
          <w:tcPr>
            <w:tcW w:w="480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3</w:t>
            </w:r>
          </w:p>
        </w:tc>
        <w:tc>
          <w:tcPr>
            <w:tcW w:w="42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4</w:t>
            </w:r>
          </w:p>
        </w:tc>
        <w:tc>
          <w:tcPr>
            <w:tcW w:w="80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5</w:t>
            </w:r>
          </w:p>
        </w:tc>
        <w:tc>
          <w:tcPr>
            <w:tcW w:w="98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6</w:t>
            </w:r>
          </w:p>
        </w:tc>
        <w:tc>
          <w:tcPr>
            <w:tcW w:w="1140" w:type="dxa"/>
            <w:tcBorders>
              <w:top w:val="nil"/>
              <w:left w:val="nil"/>
              <w:bottom w:val="single" w:sz="4" w:space="0" w:color="000000"/>
              <w:right w:val="single" w:sz="4" w:space="0" w:color="000000"/>
            </w:tcBorders>
            <w:shd w:val="clear" w:color="000000" w:fill="FFFF00"/>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r w:rsidRPr="00821440">
              <w:rPr>
                <w:rFonts w:ascii="Arial CYR" w:eastAsia="Times New Roman" w:hAnsi="Arial CYR" w:cs="Arial CYR"/>
                <w:sz w:val="16"/>
                <w:szCs w:val="16"/>
                <w:lang w:eastAsia="cs-CZ"/>
              </w:rPr>
              <w:t>7</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center"/>
              <w:rPr>
                <w:rFonts w:ascii="Arial CYR" w:eastAsia="Times New Roman" w:hAnsi="Arial CYR" w:cs="Arial CYR"/>
                <w:sz w:val="16"/>
                <w:szCs w:val="16"/>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10"/>
        </w:trPr>
        <w:tc>
          <w:tcPr>
            <w:tcW w:w="126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10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4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42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jc w:val="center"/>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80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98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CC"/>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r w:rsidRPr="00821440">
              <w:rPr>
                <w:rFonts w:ascii="Arial CE" w:eastAsia="Times New Roman" w:hAnsi="Arial CE" w:cs="Arial CE"/>
                <w:sz w:val="14"/>
                <w:szCs w:val="14"/>
                <w:lang w:eastAsia="cs-CZ"/>
              </w:rPr>
              <w:t> </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sz w:val="14"/>
                <w:szCs w:val="14"/>
                <w:lang w:eastAsia="cs-CZ"/>
              </w:rPr>
            </w:pP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r>
      <w:tr w:rsidR="00821440" w:rsidRPr="00821440" w:rsidTr="00821440">
        <w:trPr>
          <w:trHeight w:val="240"/>
        </w:trPr>
        <w:tc>
          <w:tcPr>
            <w:tcW w:w="1260" w:type="dxa"/>
            <w:tcBorders>
              <w:top w:val="nil"/>
              <w:left w:val="nil"/>
              <w:bottom w:val="nil"/>
              <w:right w:val="nil"/>
            </w:tcBorders>
            <w:shd w:val="clear" w:color="000000" w:fill="BFBFBF"/>
            <w:noWrap/>
            <w:vAlign w:val="center"/>
            <w:hideMark/>
          </w:tcPr>
          <w:p w:rsidR="00821440" w:rsidRPr="00821440" w:rsidRDefault="00821440" w:rsidP="00821440">
            <w:pPr>
              <w:spacing w:after="0" w:line="240" w:lineRule="auto"/>
              <w:jc w:val="center"/>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 </w:t>
            </w:r>
          </w:p>
        </w:tc>
        <w:tc>
          <w:tcPr>
            <w:tcW w:w="1000" w:type="dxa"/>
            <w:tcBorders>
              <w:top w:val="nil"/>
              <w:left w:val="nil"/>
              <w:bottom w:val="nil"/>
              <w:right w:val="nil"/>
            </w:tcBorders>
            <w:shd w:val="clear" w:color="000000" w:fill="BFBFBF"/>
            <w:vAlign w:val="center"/>
            <w:hideMark/>
          </w:tcPr>
          <w:p w:rsidR="00821440" w:rsidRPr="00821440" w:rsidRDefault="00821440" w:rsidP="00821440">
            <w:pPr>
              <w:spacing w:after="0" w:line="240" w:lineRule="auto"/>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 </w:t>
            </w:r>
          </w:p>
        </w:tc>
        <w:tc>
          <w:tcPr>
            <w:tcW w:w="4800" w:type="dxa"/>
            <w:tcBorders>
              <w:top w:val="nil"/>
              <w:left w:val="nil"/>
              <w:bottom w:val="nil"/>
              <w:right w:val="nil"/>
            </w:tcBorders>
            <w:shd w:val="clear" w:color="000000" w:fill="BFBFBF"/>
            <w:vAlign w:val="center"/>
            <w:hideMark/>
          </w:tcPr>
          <w:p w:rsidR="00821440" w:rsidRPr="00821440" w:rsidRDefault="00821440" w:rsidP="00821440">
            <w:pPr>
              <w:spacing w:after="0" w:line="240" w:lineRule="auto"/>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Celkem přípočty a odpočty</w:t>
            </w:r>
          </w:p>
        </w:tc>
        <w:tc>
          <w:tcPr>
            <w:tcW w:w="420" w:type="dxa"/>
            <w:tcBorders>
              <w:top w:val="nil"/>
              <w:left w:val="nil"/>
              <w:bottom w:val="nil"/>
              <w:right w:val="nil"/>
            </w:tcBorders>
            <w:shd w:val="clear" w:color="000000" w:fill="BFBFBF"/>
            <w:vAlign w:val="center"/>
            <w:hideMark/>
          </w:tcPr>
          <w:p w:rsidR="00821440" w:rsidRPr="00821440" w:rsidRDefault="00821440" w:rsidP="00821440">
            <w:pPr>
              <w:spacing w:after="0" w:line="240" w:lineRule="auto"/>
              <w:jc w:val="center"/>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 </w:t>
            </w:r>
          </w:p>
        </w:tc>
        <w:tc>
          <w:tcPr>
            <w:tcW w:w="800" w:type="dxa"/>
            <w:tcBorders>
              <w:top w:val="nil"/>
              <w:left w:val="nil"/>
              <w:bottom w:val="nil"/>
              <w:right w:val="nil"/>
            </w:tcBorders>
            <w:shd w:val="clear" w:color="000000" w:fill="BFBFBF"/>
            <w:noWrap/>
            <w:vAlign w:val="center"/>
            <w:hideMark/>
          </w:tcPr>
          <w:p w:rsidR="00821440" w:rsidRPr="00821440" w:rsidRDefault="00821440" w:rsidP="00821440">
            <w:pPr>
              <w:spacing w:after="0" w:line="240" w:lineRule="auto"/>
              <w:jc w:val="right"/>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 </w:t>
            </w:r>
          </w:p>
        </w:tc>
        <w:tc>
          <w:tcPr>
            <w:tcW w:w="980" w:type="dxa"/>
            <w:tcBorders>
              <w:top w:val="nil"/>
              <w:left w:val="nil"/>
              <w:bottom w:val="nil"/>
              <w:right w:val="nil"/>
            </w:tcBorders>
            <w:shd w:val="clear" w:color="000000" w:fill="BFBFBF"/>
            <w:noWrap/>
            <w:vAlign w:val="center"/>
            <w:hideMark/>
          </w:tcPr>
          <w:p w:rsidR="00821440" w:rsidRPr="00821440" w:rsidRDefault="00821440" w:rsidP="00821440">
            <w:pPr>
              <w:spacing w:after="0" w:line="240" w:lineRule="auto"/>
              <w:jc w:val="right"/>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 </w:t>
            </w:r>
          </w:p>
        </w:tc>
        <w:tc>
          <w:tcPr>
            <w:tcW w:w="1140" w:type="dxa"/>
            <w:tcBorders>
              <w:top w:val="nil"/>
              <w:left w:val="nil"/>
              <w:bottom w:val="nil"/>
              <w:right w:val="nil"/>
            </w:tcBorders>
            <w:shd w:val="clear" w:color="000000" w:fill="BFBFBF"/>
            <w:noWrap/>
            <w:vAlign w:val="center"/>
            <w:hideMark/>
          </w:tcPr>
          <w:p w:rsidR="00821440" w:rsidRPr="00821440" w:rsidRDefault="00821440" w:rsidP="00821440">
            <w:pPr>
              <w:spacing w:after="0" w:line="240" w:lineRule="auto"/>
              <w:jc w:val="right"/>
              <w:rPr>
                <w:rFonts w:ascii="Arial CE" w:eastAsia="Times New Roman" w:hAnsi="Arial CE" w:cs="Arial CE"/>
                <w:b/>
                <w:bCs/>
                <w:color w:val="0033CC"/>
                <w:sz w:val="18"/>
                <w:szCs w:val="18"/>
                <w:lang w:eastAsia="cs-CZ"/>
              </w:rPr>
            </w:pPr>
            <w:r w:rsidRPr="00821440">
              <w:rPr>
                <w:rFonts w:ascii="Arial CE" w:eastAsia="Times New Roman" w:hAnsi="Arial CE" w:cs="Arial CE"/>
                <w:b/>
                <w:bCs/>
                <w:color w:val="0033CC"/>
                <w:sz w:val="18"/>
                <w:szCs w:val="18"/>
                <w:lang w:eastAsia="cs-CZ"/>
              </w:rPr>
              <w:t>299 755,99</w:t>
            </w:r>
          </w:p>
        </w:tc>
        <w:tc>
          <w:tcPr>
            <w:tcW w:w="23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popis</w:t>
            </w:r>
          </w:p>
        </w:tc>
        <w:tc>
          <w:tcPr>
            <w:tcW w:w="19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časová dotace ve dnech</w:t>
            </w:r>
          </w:p>
        </w:tc>
      </w:tr>
      <w:tr w:rsidR="00821440" w:rsidRPr="00821440" w:rsidTr="00821440">
        <w:trPr>
          <w:trHeight w:val="495"/>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776</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Podlahy povlakové</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34 403,41</w:t>
            </w:r>
          </w:p>
        </w:tc>
        <w:tc>
          <w:tcPr>
            <w:tcW w:w="232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 </w:t>
            </w:r>
          </w:p>
        </w:tc>
        <w:tc>
          <w:tcPr>
            <w:tcW w:w="19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15</w:t>
            </w:r>
          </w:p>
        </w:tc>
      </w:tr>
      <w:tr w:rsidR="00821440" w:rsidRPr="00821440" w:rsidTr="00821440">
        <w:trPr>
          <w:trHeight w:val="25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776111111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Broušení anhydritového podkladu povlakových podlah</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55,72</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668,64</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 xml:space="preserve">práce na přání investora v prostoru skladu </w:t>
            </w:r>
            <w:proofErr w:type="spellStart"/>
            <w:r w:rsidRPr="00821440">
              <w:rPr>
                <w:rFonts w:ascii="Arial" w:eastAsia="Times New Roman" w:hAnsi="Arial" w:cs="Arial"/>
                <w:color w:val="0033CC"/>
                <w:sz w:val="16"/>
                <w:szCs w:val="16"/>
                <w:lang w:eastAsia="cs-CZ"/>
              </w:rPr>
              <w:t>educentra</w:t>
            </w:r>
            <w:proofErr w:type="spellEnd"/>
            <w:r w:rsidRPr="00821440">
              <w:rPr>
                <w:rFonts w:ascii="Arial" w:eastAsia="Times New Roman" w:hAnsi="Arial" w:cs="Arial"/>
                <w:color w:val="0033CC"/>
                <w:sz w:val="16"/>
                <w:szCs w:val="16"/>
                <w:lang w:eastAsia="cs-CZ"/>
              </w:rPr>
              <w:t>, které nebyly v projektu</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w:eastAsia="Times New Roman" w:hAnsi="Arial" w:cs="Arial"/>
                <w:color w:val="0033CC"/>
                <w:sz w:val="20"/>
                <w:szCs w:val="20"/>
                <w:lang w:eastAsia="cs-CZ"/>
              </w:rPr>
            </w:pPr>
            <w:r w:rsidRPr="00821440">
              <w:rPr>
                <w:rFonts w:ascii="Arial" w:eastAsia="Times New Roman" w:hAnsi="Arial" w:cs="Arial"/>
                <w:color w:val="0033CC"/>
                <w:sz w:val="20"/>
                <w:szCs w:val="20"/>
                <w:lang w:eastAsia="cs-CZ"/>
              </w:rPr>
              <w:t>2</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776111311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Vysátí podkladu povlakových podlah</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18,00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216,00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776121321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Vodou ředitelná penetrace savého podkladu povlakových podlah neředěná</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66,50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797,98</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776141121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Vyrovnání podkladu povlakových podlah stěrkou pevnosti 30 </w:t>
            </w:r>
            <w:proofErr w:type="spellStart"/>
            <w:r w:rsidRPr="00821440">
              <w:rPr>
                <w:rFonts w:ascii="Arial CE" w:eastAsia="Times New Roman" w:hAnsi="Arial CE" w:cs="Arial CE"/>
                <w:color w:val="0033CC"/>
                <w:sz w:val="16"/>
                <w:szCs w:val="16"/>
                <w:lang w:eastAsia="cs-CZ"/>
              </w:rPr>
              <w:t>MPa</w:t>
            </w:r>
            <w:proofErr w:type="spellEnd"/>
            <w:r w:rsidRPr="00821440">
              <w:rPr>
                <w:rFonts w:ascii="Arial CE" w:eastAsia="Times New Roman" w:hAnsi="Arial CE" w:cs="Arial CE"/>
                <w:color w:val="0033CC"/>
                <w:sz w:val="16"/>
                <w:szCs w:val="16"/>
                <w:lang w:eastAsia="cs-CZ"/>
              </w:rPr>
              <w:t xml:space="preserve"> </w:t>
            </w:r>
            <w:proofErr w:type="spellStart"/>
            <w:r w:rsidRPr="00821440">
              <w:rPr>
                <w:rFonts w:ascii="Arial CE" w:eastAsia="Times New Roman" w:hAnsi="Arial CE" w:cs="Arial CE"/>
                <w:color w:val="0033CC"/>
                <w:sz w:val="16"/>
                <w:szCs w:val="16"/>
                <w:lang w:eastAsia="cs-CZ"/>
              </w:rPr>
              <w:t>tl</w:t>
            </w:r>
            <w:proofErr w:type="spellEnd"/>
            <w:r w:rsidRPr="00821440">
              <w:rPr>
                <w:rFonts w:ascii="Arial CE" w:eastAsia="Times New Roman" w:hAnsi="Arial CE" w:cs="Arial CE"/>
                <w:color w:val="0033CC"/>
                <w:sz w:val="16"/>
                <w:szCs w:val="16"/>
                <w:lang w:eastAsia="cs-CZ"/>
              </w:rPr>
              <w:t xml:space="preserve"> 3 mm</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233,68</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2 804,21</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776262111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Lepení pásů z pryže 2-složkovým lepidlem</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315,00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3 780,00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28411085</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kaučuková podlahovina červená </w:t>
            </w:r>
            <w:proofErr w:type="spellStart"/>
            <w:r w:rsidRPr="00821440">
              <w:rPr>
                <w:rFonts w:ascii="Arial CE" w:eastAsia="Times New Roman" w:hAnsi="Arial CE" w:cs="Arial CE"/>
                <w:color w:val="0033CC"/>
                <w:sz w:val="16"/>
                <w:szCs w:val="16"/>
                <w:lang w:eastAsia="cs-CZ"/>
              </w:rPr>
              <w:t>tl</w:t>
            </w:r>
            <w:proofErr w:type="spellEnd"/>
            <w:r w:rsidRPr="00821440">
              <w:rPr>
                <w:rFonts w:ascii="Arial CE" w:eastAsia="Times New Roman" w:hAnsi="Arial CE" w:cs="Arial CE"/>
                <w:color w:val="0033CC"/>
                <w:sz w:val="16"/>
                <w:szCs w:val="16"/>
                <w:lang w:eastAsia="cs-CZ"/>
              </w:rPr>
              <w:t xml:space="preserve">. 3 mm, PRO, 10*10 Ohm, 90+/- 5 </w:t>
            </w:r>
            <w:proofErr w:type="spellStart"/>
            <w:r w:rsidRPr="00821440">
              <w:rPr>
                <w:rFonts w:ascii="Arial CE" w:eastAsia="Times New Roman" w:hAnsi="Arial CE" w:cs="Arial CE"/>
                <w:color w:val="0033CC"/>
                <w:sz w:val="16"/>
                <w:szCs w:val="16"/>
                <w:lang w:eastAsia="cs-CZ"/>
              </w:rPr>
              <w:t>ShA</w:t>
            </w:r>
            <w:proofErr w:type="spellEnd"/>
            <w:r w:rsidRPr="00821440">
              <w:rPr>
                <w:rFonts w:ascii="Arial CE" w:eastAsia="Times New Roman" w:hAnsi="Arial CE" w:cs="Arial CE"/>
                <w:color w:val="0033CC"/>
                <w:sz w:val="16"/>
                <w:szCs w:val="16"/>
                <w:lang w:eastAsia="cs-CZ"/>
              </w:rPr>
              <w:t xml:space="preserve"> (R12)</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13,20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1 263,00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16 671,60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229"/>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p>
        </w:tc>
        <w:tc>
          <w:tcPr>
            <w:tcW w:w="4800" w:type="dxa"/>
            <w:tcBorders>
              <w:top w:val="nil"/>
              <w:left w:val="nil"/>
              <w:bottom w:val="nil"/>
              <w:right w:val="nil"/>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505050"/>
                <w:sz w:val="14"/>
                <w:szCs w:val="14"/>
                <w:lang w:eastAsia="cs-CZ"/>
              </w:rPr>
            </w:pPr>
            <w:r w:rsidRPr="00821440">
              <w:rPr>
                <w:rFonts w:ascii="Arial CE" w:eastAsia="Times New Roman" w:hAnsi="Arial CE" w:cs="Arial CE"/>
                <w:color w:val="505050"/>
                <w:sz w:val="14"/>
                <w:szCs w:val="14"/>
                <w:lang w:eastAsia="cs-CZ"/>
              </w:rPr>
              <w:t>12*1,1 'Přepočtené koeficientem množství</w:t>
            </w:r>
          </w:p>
        </w:tc>
        <w:tc>
          <w:tcPr>
            <w:tcW w:w="4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color w:val="505050"/>
                <w:sz w:val="14"/>
                <w:szCs w:val="14"/>
                <w:lang w:eastAsia="cs-CZ"/>
              </w:rPr>
            </w:pPr>
          </w:p>
        </w:tc>
        <w:tc>
          <w:tcPr>
            <w:tcW w:w="80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505050"/>
                <w:sz w:val="14"/>
                <w:szCs w:val="14"/>
                <w:lang w:eastAsia="cs-CZ"/>
              </w:rPr>
            </w:pPr>
            <w:r w:rsidRPr="00821440">
              <w:rPr>
                <w:rFonts w:ascii="Arial CE" w:eastAsia="Times New Roman" w:hAnsi="Arial CE" w:cs="Arial CE"/>
                <w:color w:val="505050"/>
                <w:sz w:val="14"/>
                <w:szCs w:val="14"/>
                <w:lang w:eastAsia="cs-CZ"/>
              </w:rPr>
              <w:t>13,200</w:t>
            </w:r>
          </w:p>
        </w:tc>
        <w:tc>
          <w:tcPr>
            <w:tcW w:w="98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505050"/>
                <w:sz w:val="14"/>
                <w:szCs w:val="14"/>
                <w:lang w:eastAsia="cs-CZ"/>
              </w:rPr>
            </w:pPr>
          </w:p>
        </w:tc>
        <w:tc>
          <w:tcPr>
            <w:tcW w:w="11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776991121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Základní čištění nově položených podlahovin vysátím a setřením vlhkým mopem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37,11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445,30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Sešívání prasklin </w:t>
            </w:r>
            <w:proofErr w:type="spellStart"/>
            <w:r w:rsidRPr="00821440">
              <w:rPr>
                <w:rFonts w:ascii="Arial CE" w:eastAsia="Times New Roman" w:hAnsi="Arial CE" w:cs="Arial CE"/>
                <w:color w:val="0033CC"/>
                <w:sz w:val="16"/>
                <w:szCs w:val="16"/>
                <w:lang w:eastAsia="cs-CZ"/>
              </w:rPr>
              <w:t>bet.podlahy</w:t>
            </w:r>
            <w:proofErr w:type="spellEnd"/>
            <w:r w:rsidRPr="00821440">
              <w:rPr>
                <w:rFonts w:ascii="Arial CE" w:eastAsia="Times New Roman" w:hAnsi="Arial CE" w:cs="Arial CE"/>
                <w:color w:val="0033CC"/>
                <w:sz w:val="16"/>
                <w:szCs w:val="16"/>
                <w:lang w:eastAsia="cs-CZ"/>
              </w:rPr>
              <w:t xml:space="preserve"> sponami a </w:t>
            </w:r>
            <w:proofErr w:type="spellStart"/>
            <w:r w:rsidRPr="00821440">
              <w:rPr>
                <w:rFonts w:ascii="Arial CE" w:eastAsia="Times New Roman" w:hAnsi="Arial CE" w:cs="Arial CE"/>
                <w:color w:val="0033CC"/>
                <w:sz w:val="16"/>
                <w:szCs w:val="16"/>
                <w:lang w:eastAsia="cs-CZ"/>
              </w:rPr>
              <w:t>epox</w:t>
            </w:r>
            <w:proofErr w:type="spellEnd"/>
            <w:r w:rsidRPr="00821440">
              <w:rPr>
                <w:rFonts w:ascii="Arial CE" w:eastAsia="Times New Roman" w:hAnsi="Arial CE" w:cs="Arial CE"/>
                <w:color w:val="0033CC"/>
                <w:sz w:val="16"/>
                <w:szCs w:val="16"/>
                <w:lang w:eastAsia="cs-CZ"/>
              </w:rPr>
              <w:t xml:space="preserve">. do 5%, </w:t>
            </w:r>
            <w:proofErr w:type="spellStart"/>
            <w:proofErr w:type="gramStart"/>
            <w:r w:rsidRPr="00821440">
              <w:rPr>
                <w:rFonts w:ascii="Arial CE" w:eastAsia="Times New Roman" w:hAnsi="Arial CE" w:cs="Arial CE"/>
                <w:color w:val="0033CC"/>
                <w:sz w:val="16"/>
                <w:szCs w:val="16"/>
                <w:lang w:eastAsia="cs-CZ"/>
              </w:rPr>
              <w:t>m.č</w:t>
            </w:r>
            <w:proofErr w:type="spellEnd"/>
            <w:r w:rsidRPr="00821440">
              <w:rPr>
                <w:rFonts w:ascii="Arial CE" w:eastAsia="Times New Roman" w:hAnsi="Arial CE" w:cs="Arial CE"/>
                <w:color w:val="0033CC"/>
                <w:sz w:val="16"/>
                <w:szCs w:val="16"/>
                <w:lang w:eastAsia="cs-CZ"/>
              </w:rPr>
              <w:t>.</w:t>
            </w:r>
            <w:proofErr w:type="gramEnd"/>
            <w:r w:rsidRPr="00821440">
              <w:rPr>
                <w:rFonts w:ascii="Arial CE" w:eastAsia="Times New Roman" w:hAnsi="Arial CE" w:cs="Arial CE"/>
                <w:color w:val="0033CC"/>
                <w:sz w:val="16"/>
                <w:szCs w:val="16"/>
                <w:lang w:eastAsia="cs-CZ"/>
              </w:rPr>
              <w:t xml:space="preserve"> 1028 a </w:t>
            </w:r>
            <w:proofErr w:type="spellStart"/>
            <w:r w:rsidRPr="00821440">
              <w:rPr>
                <w:rFonts w:ascii="Arial CE" w:eastAsia="Times New Roman" w:hAnsi="Arial CE" w:cs="Arial CE"/>
                <w:color w:val="0033CC"/>
                <w:sz w:val="16"/>
                <w:szCs w:val="16"/>
                <w:lang w:eastAsia="cs-CZ"/>
              </w:rPr>
              <w:t>mč</w:t>
            </w:r>
            <w:proofErr w:type="spellEnd"/>
            <w:r w:rsidRPr="00821440">
              <w:rPr>
                <w:rFonts w:ascii="Arial CE" w:eastAsia="Times New Roman" w:hAnsi="Arial CE" w:cs="Arial CE"/>
                <w:color w:val="0033CC"/>
                <w:sz w:val="16"/>
                <w:szCs w:val="16"/>
                <w:lang w:eastAsia="cs-CZ"/>
              </w:rPr>
              <w:t>. 1052</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68,80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131,10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9 019,68</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p>
        </w:tc>
      </w:tr>
      <w:tr w:rsidR="00821440" w:rsidRPr="00821440" w:rsidTr="00821440">
        <w:trPr>
          <w:trHeight w:val="240"/>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89"/>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782</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Dokončovací práce - nátěry podlah</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41 764,22</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Broušení původního podkladu nátěru podlah</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72,70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4 260,22</w:t>
            </w:r>
          </w:p>
        </w:tc>
        <w:tc>
          <w:tcPr>
            <w:tcW w:w="23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21440" w:rsidRPr="00821440" w:rsidRDefault="00821440" w:rsidP="00821440">
            <w:pPr>
              <w:spacing w:after="0" w:line="240" w:lineRule="auto"/>
              <w:jc w:val="center"/>
              <w:rPr>
                <w:rFonts w:ascii="Arial" w:eastAsia="Times New Roman" w:hAnsi="Arial" w:cs="Arial"/>
                <w:color w:val="0033CC"/>
                <w:sz w:val="16"/>
                <w:szCs w:val="16"/>
                <w:lang w:eastAsia="cs-CZ"/>
              </w:rPr>
            </w:pPr>
            <w:proofErr w:type="gramStart"/>
            <w:r w:rsidRPr="00821440">
              <w:rPr>
                <w:rFonts w:ascii="Arial" w:eastAsia="Times New Roman" w:hAnsi="Arial" w:cs="Arial"/>
                <w:color w:val="0033CC"/>
                <w:sz w:val="16"/>
                <w:szCs w:val="16"/>
                <w:lang w:eastAsia="cs-CZ"/>
              </w:rPr>
              <w:t>práce , které</w:t>
            </w:r>
            <w:proofErr w:type="gramEnd"/>
            <w:r w:rsidRPr="00821440">
              <w:rPr>
                <w:rFonts w:ascii="Arial" w:eastAsia="Times New Roman" w:hAnsi="Arial" w:cs="Arial"/>
                <w:color w:val="0033CC"/>
                <w:sz w:val="16"/>
                <w:szCs w:val="16"/>
                <w:lang w:eastAsia="cs-CZ"/>
              </w:rPr>
              <w:t xml:space="preserve"> nebyly ve VV, jsou nutné pro dokončení díla</w:t>
            </w:r>
          </w:p>
        </w:tc>
        <w:tc>
          <w:tcPr>
            <w:tcW w:w="1940" w:type="dxa"/>
            <w:vMerge w:val="restart"/>
            <w:tcBorders>
              <w:top w:val="single" w:sz="4" w:space="0" w:color="auto"/>
              <w:left w:val="nil"/>
              <w:bottom w:val="single" w:sz="4" w:space="0" w:color="000000"/>
              <w:right w:val="single" w:sz="4" w:space="0" w:color="auto"/>
            </w:tcBorders>
            <w:shd w:val="clear" w:color="000000" w:fill="FFFFFF"/>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1</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Nátěr penetrační podlah</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58,60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86,40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5 063,04</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nil"/>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Strojní čištění odmaštění povrchu aktivním čističem</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58,60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43,60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2 554,96</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nil"/>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Nátěr ve 2vrstv. podlahy materiál 2K </w:t>
            </w:r>
            <w:proofErr w:type="spellStart"/>
            <w:r w:rsidRPr="00821440">
              <w:rPr>
                <w:rFonts w:ascii="Arial CE" w:eastAsia="Times New Roman" w:hAnsi="Arial CE" w:cs="Arial CE"/>
                <w:color w:val="0033CC"/>
                <w:sz w:val="16"/>
                <w:szCs w:val="16"/>
                <w:lang w:eastAsia="cs-CZ"/>
              </w:rPr>
              <w:t>epox</w:t>
            </w:r>
            <w:proofErr w:type="spellEnd"/>
            <w:r w:rsidRPr="00821440">
              <w:rPr>
                <w:rFonts w:ascii="Arial CE" w:eastAsia="Times New Roman" w:hAnsi="Arial CE" w:cs="Arial CE"/>
                <w:color w:val="0033CC"/>
                <w:sz w:val="16"/>
                <w:szCs w:val="16"/>
                <w:lang w:eastAsia="cs-CZ"/>
              </w:rPr>
              <w:t>. difúzní nátěr Art EP 3020</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58,60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510,00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29 886,00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nil"/>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40"/>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89"/>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763</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Konstrukce suché výstavby</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15 341,09</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lastRenderedPageBreak/>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763135101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Montáž SDK kazetového podhledu z kazet 600x600 mm na zavěšenou viditelnou nosnou konstrukci</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3,06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900,00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2 754,00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18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p>
        </w:tc>
        <w:tc>
          <w:tcPr>
            <w:tcW w:w="4800" w:type="dxa"/>
            <w:tcBorders>
              <w:top w:val="nil"/>
              <w:left w:val="nil"/>
              <w:bottom w:val="nil"/>
              <w:right w:val="nil"/>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505050"/>
                <w:sz w:val="14"/>
                <w:szCs w:val="14"/>
                <w:lang w:eastAsia="cs-CZ"/>
              </w:rPr>
            </w:pPr>
            <w:r w:rsidRPr="00821440">
              <w:rPr>
                <w:rFonts w:ascii="Arial CE" w:eastAsia="Times New Roman" w:hAnsi="Arial CE" w:cs="Arial CE"/>
                <w:color w:val="505050"/>
                <w:sz w:val="14"/>
                <w:szCs w:val="14"/>
                <w:lang w:eastAsia="cs-CZ"/>
              </w:rPr>
              <w:t xml:space="preserve">Doplnění části stropu na chodbě </w:t>
            </w:r>
            <w:proofErr w:type="gramStart"/>
            <w:r w:rsidRPr="00821440">
              <w:rPr>
                <w:rFonts w:ascii="Arial CE" w:eastAsia="Times New Roman" w:hAnsi="Arial CE" w:cs="Arial CE"/>
                <w:color w:val="505050"/>
                <w:sz w:val="14"/>
                <w:szCs w:val="14"/>
                <w:lang w:eastAsia="cs-CZ"/>
              </w:rPr>
              <w:t>m.č.</w:t>
            </w:r>
            <w:proofErr w:type="gramEnd"/>
            <w:r w:rsidRPr="00821440">
              <w:rPr>
                <w:rFonts w:ascii="Arial CE" w:eastAsia="Times New Roman" w:hAnsi="Arial CE" w:cs="Arial CE"/>
                <w:color w:val="505050"/>
                <w:sz w:val="14"/>
                <w:szCs w:val="14"/>
                <w:lang w:eastAsia="cs-CZ"/>
              </w:rPr>
              <w:t>1043a  podle kazet. podhledu</w:t>
            </w:r>
          </w:p>
        </w:tc>
        <w:tc>
          <w:tcPr>
            <w:tcW w:w="42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color w:val="505050"/>
                <w:sz w:val="14"/>
                <w:szCs w:val="14"/>
                <w:lang w:eastAsia="cs-CZ"/>
              </w:rPr>
            </w:pPr>
          </w:p>
        </w:tc>
        <w:tc>
          <w:tcPr>
            <w:tcW w:w="80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c>
          <w:tcPr>
            <w:tcW w:w="98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c>
          <w:tcPr>
            <w:tcW w:w="114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Times New Roman" w:eastAsia="Times New Roman" w:hAnsi="Times New Roman" w:cs="Times New Roman"/>
                <w:sz w:val="20"/>
                <w:szCs w:val="20"/>
                <w:lang w:eastAsia="cs-CZ"/>
              </w:rPr>
            </w:pP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59030570</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SP1 - podhled kazetový bez děrování viditelný rastr </w:t>
            </w:r>
            <w:proofErr w:type="spellStart"/>
            <w:r w:rsidRPr="00821440">
              <w:rPr>
                <w:rFonts w:ascii="Arial CE" w:eastAsia="Times New Roman" w:hAnsi="Arial CE" w:cs="Arial CE"/>
                <w:color w:val="0033CC"/>
                <w:sz w:val="16"/>
                <w:szCs w:val="16"/>
                <w:lang w:eastAsia="cs-CZ"/>
              </w:rPr>
              <w:t>tl</w:t>
            </w:r>
            <w:proofErr w:type="spellEnd"/>
            <w:r w:rsidRPr="00821440">
              <w:rPr>
                <w:rFonts w:ascii="Arial CE" w:eastAsia="Times New Roman" w:hAnsi="Arial CE" w:cs="Arial CE"/>
                <w:color w:val="0033CC"/>
                <w:sz w:val="16"/>
                <w:szCs w:val="16"/>
                <w:lang w:eastAsia="cs-CZ"/>
              </w:rPr>
              <w:t xml:space="preserve"> 10mm 600x600mm - dle stávajícího podhledu</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960,00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11 520,00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763431801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Demontáž minerálního podhledu zavěšeného na viditelném roštu vč. </w:t>
            </w:r>
            <w:proofErr w:type="spellStart"/>
            <w:r w:rsidRPr="00821440">
              <w:rPr>
                <w:rFonts w:ascii="Arial CE" w:eastAsia="Times New Roman" w:hAnsi="Arial CE" w:cs="Arial CE"/>
                <w:color w:val="0033CC"/>
                <w:sz w:val="16"/>
                <w:szCs w:val="16"/>
                <w:lang w:eastAsia="cs-CZ"/>
              </w:rPr>
              <w:t>uožení</w:t>
            </w:r>
            <w:proofErr w:type="spellEnd"/>
            <w:r w:rsidRPr="00821440">
              <w:rPr>
                <w:rFonts w:ascii="Arial CE" w:eastAsia="Times New Roman" w:hAnsi="Arial CE" w:cs="Arial CE"/>
                <w:color w:val="0033CC"/>
                <w:sz w:val="16"/>
                <w:szCs w:val="16"/>
                <w:lang w:eastAsia="cs-CZ"/>
              </w:rPr>
              <w:t xml:space="preserve"> do skladu</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m2</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7,77</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137,33</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1 067,09</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40"/>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89"/>
        </w:trPr>
        <w:tc>
          <w:tcPr>
            <w:tcW w:w="126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767</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Konstrukce zámečnické - Auditorium II</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27 460,00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767810114</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Montáž mřížek větracích čtyřhranných průřezu do 0,09 m2 (PV3, PV4, PV5, PV6, PV11, PV12,PV13)</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-8,00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1 450,00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-11 600,00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67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55350021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PV3 - mosazný kryt větracího nasávání obkladu </w:t>
            </w:r>
            <w:proofErr w:type="spellStart"/>
            <w:r w:rsidRPr="00821440">
              <w:rPr>
                <w:rFonts w:ascii="Arial CE" w:eastAsia="Times New Roman" w:hAnsi="Arial CE" w:cs="Arial CE"/>
                <w:color w:val="FF0000"/>
                <w:sz w:val="16"/>
                <w:szCs w:val="16"/>
                <w:lang w:eastAsia="cs-CZ"/>
              </w:rPr>
              <w:t>ráměček</w:t>
            </w:r>
            <w:proofErr w:type="spellEnd"/>
            <w:r w:rsidRPr="00821440">
              <w:rPr>
                <w:rFonts w:ascii="Arial CE" w:eastAsia="Times New Roman" w:hAnsi="Arial CE" w:cs="Arial CE"/>
                <w:color w:val="FF0000"/>
                <w:sz w:val="16"/>
                <w:szCs w:val="16"/>
                <w:lang w:eastAsia="cs-CZ"/>
              </w:rPr>
              <w:t xml:space="preserve"> + výplň 190x440 mm vč.  - specifikace viz </w:t>
            </w:r>
            <w:proofErr w:type="spellStart"/>
            <w:r w:rsidRPr="00821440">
              <w:rPr>
                <w:rFonts w:ascii="Arial CE" w:eastAsia="Times New Roman" w:hAnsi="Arial CE" w:cs="Arial CE"/>
                <w:color w:val="FF0000"/>
                <w:sz w:val="16"/>
                <w:szCs w:val="16"/>
                <w:lang w:eastAsia="cs-CZ"/>
              </w:rPr>
              <w:t>výkáz</w:t>
            </w:r>
            <w:proofErr w:type="spellEnd"/>
            <w:r w:rsidRPr="00821440">
              <w:rPr>
                <w:rFonts w:ascii="Arial CE" w:eastAsia="Times New Roman" w:hAnsi="Arial CE" w:cs="Arial CE"/>
                <w:color w:val="FF0000"/>
                <w:sz w:val="16"/>
                <w:szCs w:val="16"/>
                <w:lang w:eastAsia="cs-CZ"/>
              </w:rPr>
              <w:t xml:space="preserve"> pasířských výrobků</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-4,00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3 800,00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-15 200,00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55350023</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PV4 - mosazný kryt topení  </w:t>
            </w:r>
            <w:proofErr w:type="spellStart"/>
            <w:r w:rsidRPr="00821440">
              <w:rPr>
                <w:rFonts w:ascii="Arial CE" w:eastAsia="Times New Roman" w:hAnsi="Arial CE" w:cs="Arial CE"/>
                <w:color w:val="FF0000"/>
                <w:sz w:val="16"/>
                <w:szCs w:val="16"/>
                <w:lang w:eastAsia="cs-CZ"/>
              </w:rPr>
              <w:t>ráměček</w:t>
            </w:r>
            <w:proofErr w:type="spellEnd"/>
            <w:r w:rsidRPr="00821440">
              <w:rPr>
                <w:rFonts w:ascii="Arial CE" w:eastAsia="Times New Roman" w:hAnsi="Arial CE" w:cs="Arial CE"/>
                <w:color w:val="FF0000"/>
                <w:sz w:val="16"/>
                <w:szCs w:val="16"/>
                <w:lang w:eastAsia="cs-CZ"/>
              </w:rPr>
              <w:t xml:space="preserve"> + výplň 1495x410 mm vč.  - specifikace viz </w:t>
            </w:r>
            <w:proofErr w:type="spellStart"/>
            <w:r w:rsidRPr="00821440">
              <w:rPr>
                <w:rFonts w:ascii="Arial CE" w:eastAsia="Times New Roman" w:hAnsi="Arial CE" w:cs="Arial CE"/>
                <w:color w:val="FF0000"/>
                <w:sz w:val="16"/>
                <w:szCs w:val="16"/>
                <w:lang w:eastAsia="cs-CZ"/>
              </w:rPr>
              <w:t>výkáz</w:t>
            </w:r>
            <w:proofErr w:type="spellEnd"/>
            <w:r w:rsidRPr="00821440">
              <w:rPr>
                <w:rFonts w:ascii="Arial CE" w:eastAsia="Times New Roman" w:hAnsi="Arial CE" w:cs="Arial CE"/>
                <w:color w:val="FF0000"/>
                <w:sz w:val="16"/>
                <w:szCs w:val="16"/>
                <w:lang w:eastAsia="cs-CZ"/>
              </w:rPr>
              <w:t xml:space="preserve"> pasířských výrobků</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5 000,00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-10 000,00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55350025</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PV5 - mosazný kryt topení, </w:t>
            </w:r>
            <w:proofErr w:type="spellStart"/>
            <w:r w:rsidRPr="00821440">
              <w:rPr>
                <w:rFonts w:ascii="Arial CE" w:eastAsia="Times New Roman" w:hAnsi="Arial CE" w:cs="Arial CE"/>
                <w:color w:val="FF0000"/>
                <w:sz w:val="16"/>
                <w:szCs w:val="16"/>
                <w:lang w:eastAsia="cs-CZ"/>
              </w:rPr>
              <w:t>ráměček</w:t>
            </w:r>
            <w:proofErr w:type="spellEnd"/>
            <w:r w:rsidRPr="00821440">
              <w:rPr>
                <w:rFonts w:ascii="Arial CE" w:eastAsia="Times New Roman" w:hAnsi="Arial CE" w:cs="Arial CE"/>
                <w:color w:val="FF0000"/>
                <w:sz w:val="16"/>
                <w:szCs w:val="16"/>
                <w:lang w:eastAsia="cs-CZ"/>
              </w:rPr>
              <w:t xml:space="preserve"> + výplň 1495x285 mm vč.  - specifikace viz </w:t>
            </w:r>
            <w:proofErr w:type="spellStart"/>
            <w:r w:rsidRPr="00821440">
              <w:rPr>
                <w:rFonts w:ascii="Arial CE" w:eastAsia="Times New Roman" w:hAnsi="Arial CE" w:cs="Arial CE"/>
                <w:color w:val="FF0000"/>
                <w:sz w:val="16"/>
                <w:szCs w:val="16"/>
                <w:lang w:eastAsia="cs-CZ"/>
              </w:rPr>
              <w:t>výkáz</w:t>
            </w:r>
            <w:proofErr w:type="spellEnd"/>
            <w:r w:rsidRPr="00821440">
              <w:rPr>
                <w:rFonts w:ascii="Arial CE" w:eastAsia="Times New Roman" w:hAnsi="Arial CE" w:cs="Arial CE"/>
                <w:color w:val="FF0000"/>
                <w:sz w:val="16"/>
                <w:szCs w:val="16"/>
                <w:lang w:eastAsia="cs-CZ"/>
              </w:rPr>
              <w:t xml:space="preserve"> pasířských výrobků</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5 000,00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-5 000,00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55350027</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PV6 - mosazný kryt topení, </w:t>
            </w:r>
            <w:proofErr w:type="spellStart"/>
            <w:r w:rsidRPr="00821440">
              <w:rPr>
                <w:rFonts w:ascii="Arial CE" w:eastAsia="Times New Roman" w:hAnsi="Arial CE" w:cs="Arial CE"/>
                <w:color w:val="FF0000"/>
                <w:sz w:val="16"/>
                <w:szCs w:val="16"/>
                <w:lang w:eastAsia="cs-CZ"/>
              </w:rPr>
              <w:t>ráměček</w:t>
            </w:r>
            <w:proofErr w:type="spellEnd"/>
            <w:r w:rsidRPr="00821440">
              <w:rPr>
                <w:rFonts w:ascii="Arial CE" w:eastAsia="Times New Roman" w:hAnsi="Arial CE" w:cs="Arial CE"/>
                <w:color w:val="FF0000"/>
                <w:sz w:val="16"/>
                <w:szCs w:val="16"/>
                <w:lang w:eastAsia="cs-CZ"/>
              </w:rPr>
              <w:t xml:space="preserve"> + výplň 1495x375 mm vč.  - specifikace viz </w:t>
            </w:r>
            <w:proofErr w:type="spellStart"/>
            <w:r w:rsidRPr="00821440">
              <w:rPr>
                <w:rFonts w:ascii="Arial CE" w:eastAsia="Times New Roman" w:hAnsi="Arial CE" w:cs="Arial CE"/>
                <w:color w:val="FF0000"/>
                <w:sz w:val="16"/>
                <w:szCs w:val="16"/>
                <w:lang w:eastAsia="cs-CZ"/>
              </w:rPr>
              <w:t>výkáz</w:t>
            </w:r>
            <w:proofErr w:type="spellEnd"/>
            <w:r w:rsidRPr="00821440">
              <w:rPr>
                <w:rFonts w:ascii="Arial CE" w:eastAsia="Times New Roman" w:hAnsi="Arial CE" w:cs="Arial CE"/>
                <w:color w:val="FF0000"/>
                <w:sz w:val="16"/>
                <w:szCs w:val="16"/>
                <w:lang w:eastAsia="cs-CZ"/>
              </w:rPr>
              <w:t xml:space="preserve"> pasířských výrobků</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5 000,00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-5 000,00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767810114</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Montáž mřížek větracích čtyřhranných průřezu do 0,09 m2 (PV)</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1 450,00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14 500,00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667 x 328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3 -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5 750,00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11 500,00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1458 x 186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3 -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7 680,00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7 680,00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400 x 150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3 -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5 350,00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10 700,00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657 x 238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2 -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5 750,00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11 500,00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1438 x 281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2 -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7 680,00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7 680,00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PV 400 x 150 </w:t>
            </w:r>
            <w:proofErr w:type="spellStart"/>
            <w:proofErr w:type="gramStart"/>
            <w:r w:rsidRPr="00821440">
              <w:rPr>
                <w:rFonts w:ascii="Arial CE" w:eastAsia="Times New Roman" w:hAnsi="Arial CE" w:cs="Arial CE"/>
                <w:color w:val="0033CC"/>
                <w:sz w:val="16"/>
                <w:szCs w:val="16"/>
                <w:lang w:eastAsia="cs-CZ"/>
              </w:rPr>
              <w:t>mm,Stěna</w:t>
            </w:r>
            <w:proofErr w:type="spellEnd"/>
            <w:proofErr w:type="gramEnd"/>
            <w:r w:rsidRPr="00821440">
              <w:rPr>
                <w:rFonts w:ascii="Arial CE" w:eastAsia="Times New Roman" w:hAnsi="Arial CE" w:cs="Arial CE"/>
                <w:color w:val="0033CC"/>
                <w:sz w:val="16"/>
                <w:szCs w:val="16"/>
                <w:lang w:eastAsia="cs-CZ"/>
              </w:rPr>
              <w:t xml:space="preserve"> 2 - mosazný kryt větracího nasávání obkladu </w:t>
            </w:r>
            <w:proofErr w:type="spellStart"/>
            <w:r w:rsidRPr="00821440">
              <w:rPr>
                <w:rFonts w:ascii="Arial CE" w:eastAsia="Times New Roman" w:hAnsi="Arial CE" w:cs="Arial CE"/>
                <w:color w:val="0033CC"/>
                <w:sz w:val="16"/>
                <w:szCs w:val="16"/>
                <w:lang w:eastAsia="cs-CZ"/>
              </w:rPr>
              <w:t>ráměček</w:t>
            </w:r>
            <w:proofErr w:type="spellEnd"/>
            <w:r w:rsidRPr="00821440">
              <w:rPr>
                <w:rFonts w:ascii="Arial CE" w:eastAsia="Times New Roman" w:hAnsi="Arial CE" w:cs="Arial CE"/>
                <w:color w:val="0033CC"/>
                <w:sz w:val="16"/>
                <w:szCs w:val="16"/>
                <w:lang w:eastAsia="cs-CZ"/>
              </w:rPr>
              <w:t xml:space="preserve"> + výplň </w:t>
            </w:r>
            <w:proofErr w:type="spellStart"/>
            <w:r w:rsidRPr="00821440">
              <w:rPr>
                <w:rFonts w:ascii="Arial CE" w:eastAsia="Times New Roman" w:hAnsi="Arial CE" w:cs="Arial CE"/>
                <w:color w:val="0033CC"/>
                <w:sz w:val="16"/>
                <w:szCs w:val="16"/>
                <w:lang w:eastAsia="cs-CZ"/>
              </w:rPr>
              <w:t>tahokov</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5 350,00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10 700,00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0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8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2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80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98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714</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Prostorová akustika - interiér</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165 933,00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Dvířka v </w:t>
            </w:r>
            <w:proofErr w:type="spellStart"/>
            <w:r w:rsidRPr="00821440">
              <w:rPr>
                <w:rFonts w:ascii="Arial CE" w:eastAsia="Times New Roman" w:hAnsi="Arial CE" w:cs="Arial CE"/>
                <w:color w:val="0033CC"/>
                <w:sz w:val="16"/>
                <w:szCs w:val="16"/>
                <w:lang w:eastAsia="cs-CZ"/>
              </w:rPr>
              <w:t>dif</w:t>
            </w:r>
            <w:proofErr w:type="spellEnd"/>
            <w:r w:rsidRPr="00821440">
              <w:rPr>
                <w:rFonts w:ascii="Arial CE" w:eastAsia="Times New Roman" w:hAnsi="Arial CE" w:cs="Arial CE"/>
                <w:color w:val="0033CC"/>
                <w:sz w:val="16"/>
                <w:szCs w:val="16"/>
                <w:lang w:eastAsia="cs-CZ"/>
              </w:rPr>
              <w:t>. obkladu, Auditorium 1</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12 648,00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12 648,00</w:t>
            </w:r>
          </w:p>
        </w:tc>
        <w:tc>
          <w:tcPr>
            <w:tcW w:w="23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21440" w:rsidRPr="00821440" w:rsidRDefault="00821440" w:rsidP="00821440">
            <w:pPr>
              <w:spacing w:after="0" w:line="240" w:lineRule="auto"/>
              <w:jc w:val="center"/>
              <w:rPr>
                <w:rFonts w:ascii="Arial" w:eastAsia="Times New Roman" w:hAnsi="Arial" w:cs="Arial"/>
                <w:color w:val="0033CC"/>
                <w:sz w:val="16"/>
                <w:szCs w:val="16"/>
                <w:lang w:eastAsia="cs-CZ"/>
              </w:rPr>
            </w:pPr>
            <w:r w:rsidRPr="00821440">
              <w:rPr>
                <w:rFonts w:ascii="Arial" w:eastAsia="Times New Roman" w:hAnsi="Arial" w:cs="Arial"/>
                <w:color w:val="0033CC"/>
                <w:sz w:val="16"/>
                <w:szCs w:val="16"/>
                <w:lang w:eastAsia="cs-CZ"/>
              </w:rPr>
              <w:t>změna technologie, nutnost vzorkování a potřeba osobní přítomnosti architektů při výrobě</w:t>
            </w:r>
          </w:p>
        </w:tc>
        <w:tc>
          <w:tcPr>
            <w:tcW w:w="19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12</w:t>
            </w:r>
          </w:p>
        </w:tc>
      </w:tr>
      <w:tr w:rsidR="00821440" w:rsidRPr="00821440" w:rsidTr="00821440">
        <w:trPr>
          <w:trHeight w:val="33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vMerge w:val="restart"/>
            <w:tcBorders>
              <w:top w:val="nil"/>
              <w:left w:val="single" w:sz="4" w:space="0" w:color="auto"/>
              <w:bottom w:val="single" w:sz="4" w:space="0" w:color="000000"/>
              <w:right w:val="single" w:sz="4" w:space="0" w:color="auto"/>
            </w:tcBorders>
            <w:shd w:val="clear" w:color="auto" w:fill="auto"/>
            <w:textDirection w:val="tbLrV"/>
            <w:vAlign w:val="center"/>
            <w:hideMark/>
          </w:tcPr>
          <w:p w:rsidR="00821440" w:rsidRPr="00821440" w:rsidRDefault="00821440" w:rsidP="00821440">
            <w:pPr>
              <w:spacing w:after="0" w:line="240" w:lineRule="auto"/>
              <w:jc w:val="center"/>
              <w:rPr>
                <w:rFonts w:ascii="Arial CE" w:eastAsia="Times New Roman" w:hAnsi="Arial CE" w:cs="Arial CE"/>
                <w:color w:val="0033CC"/>
                <w:lang w:eastAsia="cs-CZ"/>
              </w:rPr>
            </w:pPr>
            <w:r w:rsidRPr="00821440">
              <w:rPr>
                <w:rFonts w:ascii="Arial CE" w:eastAsia="Times New Roman" w:hAnsi="Arial CE" w:cs="Arial CE"/>
                <w:color w:val="0033CC"/>
                <w:lang w:eastAsia="cs-CZ"/>
              </w:rPr>
              <w:t>Tubusy</w:t>
            </w:r>
          </w:p>
        </w:tc>
        <w:tc>
          <w:tcPr>
            <w:tcW w:w="7000" w:type="dxa"/>
            <w:gridSpan w:val="4"/>
            <w:tcBorders>
              <w:top w:val="single" w:sz="4" w:space="0" w:color="auto"/>
              <w:left w:val="nil"/>
              <w:bottom w:val="single" w:sz="4" w:space="0" w:color="auto"/>
              <w:right w:val="single" w:sz="4" w:space="0" w:color="000000"/>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Tubusy - změna provedení - upraveno na DB dýha zlatá, výrobně  materiálově náročnější proces</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7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vMerge/>
            <w:tcBorders>
              <w:top w:val="nil"/>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lang w:eastAsia="cs-CZ"/>
              </w:rPr>
            </w:pP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Výběr a třídění dýhy</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6 890,00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34 450,00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7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vMerge/>
            <w:tcBorders>
              <w:top w:val="nil"/>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lang w:eastAsia="cs-CZ"/>
              </w:rPr>
            </w:pP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Atypické formátovaní listů+ zalisovaní</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14 860,00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74 300,00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7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vMerge/>
            <w:tcBorders>
              <w:top w:val="nil"/>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lang w:eastAsia="cs-CZ"/>
              </w:rPr>
            </w:pP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Metalický lak + kartáčovaní</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7 710,00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38 550,00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168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lastRenderedPageBreak/>
              <w:t> </w:t>
            </w:r>
          </w:p>
        </w:tc>
        <w:tc>
          <w:tcPr>
            <w:tcW w:w="1000" w:type="dxa"/>
            <w:vMerge/>
            <w:tcBorders>
              <w:top w:val="nil"/>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lang w:eastAsia="cs-CZ"/>
              </w:rPr>
            </w:pPr>
          </w:p>
        </w:tc>
        <w:tc>
          <w:tcPr>
            <w:tcW w:w="7000" w:type="dxa"/>
            <w:gridSpan w:val="4"/>
            <w:tcBorders>
              <w:top w:val="single" w:sz="4" w:space="0" w:color="auto"/>
              <w:left w:val="nil"/>
              <w:bottom w:val="single" w:sz="4" w:space="0" w:color="auto"/>
              <w:right w:val="single" w:sz="4" w:space="0" w:color="000000"/>
            </w:tcBorders>
            <w:shd w:val="clear" w:color="auto" w:fill="auto"/>
            <w:hideMark/>
          </w:tcPr>
          <w:p w:rsidR="00821440" w:rsidRPr="00821440" w:rsidRDefault="00821440" w:rsidP="00821440">
            <w:pPr>
              <w:spacing w:after="0" w:line="240" w:lineRule="auto"/>
              <w:rPr>
                <w:rFonts w:ascii="Arial CE" w:eastAsia="Times New Roman" w:hAnsi="Arial CE" w:cs="Arial CE"/>
                <w:color w:val="505050"/>
                <w:sz w:val="16"/>
                <w:szCs w:val="16"/>
                <w:lang w:eastAsia="cs-CZ"/>
              </w:rPr>
            </w:pPr>
            <w:r w:rsidRPr="00821440">
              <w:rPr>
                <w:rFonts w:ascii="Arial CE" w:eastAsia="Times New Roman" w:hAnsi="Arial CE" w:cs="Arial CE"/>
                <w:color w:val="505050"/>
                <w:sz w:val="16"/>
                <w:szCs w:val="16"/>
                <w:lang w:eastAsia="cs-CZ"/>
              </w:rPr>
              <w:t xml:space="preserve">Pro standardní dýhované obklady se používá již z výroby </w:t>
            </w:r>
            <w:proofErr w:type="spellStart"/>
            <w:r w:rsidRPr="00821440">
              <w:rPr>
                <w:rFonts w:ascii="Arial CE" w:eastAsia="Times New Roman" w:hAnsi="Arial CE" w:cs="Arial CE"/>
                <w:color w:val="505050"/>
                <w:sz w:val="16"/>
                <w:szCs w:val="16"/>
                <w:lang w:eastAsia="cs-CZ"/>
              </w:rPr>
              <w:t>zadýhovaná</w:t>
            </w:r>
            <w:proofErr w:type="spellEnd"/>
            <w:r w:rsidRPr="00821440">
              <w:rPr>
                <w:rFonts w:ascii="Arial CE" w:eastAsia="Times New Roman" w:hAnsi="Arial CE" w:cs="Arial CE"/>
                <w:color w:val="505050"/>
                <w:sz w:val="16"/>
                <w:szCs w:val="16"/>
                <w:lang w:eastAsia="cs-CZ"/>
              </w:rPr>
              <w:t xml:space="preserve"> deska, v tomto případě se kvůli trychtýřovitému stočení tubusů skladba listů dýhy upravuje na míru. Tak aby léta dýhy co nejlépe navazovali na boční rovné díly tubusu. Jednotlivé listy se třídí, formátují na kosodélníky a teprve poté probíhá zalisování. Dle zápisu z KD a změn záměru bude použita dubová </w:t>
            </w:r>
            <w:proofErr w:type="spellStart"/>
            <w:r w:rsidRPr="00821440">
              <w:rPr>
                <w:rFonts w:ascii="Arial CE" w:eastAsia="Times New Roman" w:hAnsi="Arial CE" w:cs="Arial CE"/>
                <w:color w:val="505050"/>
                <w:sz w:val="16"/>
                <w:szCs w:val="16"/>
                <w:lang w:eastAsia="cs-CZ"/>
              </w:rPr>
              <w:t>rovnoletá</w:t>
            </w:r>
            <w:proofErr w:type="spellEnd"/>
            <w:r w:rsidRPr="00821440">
              <w:rPr>
                <w:rFonts w:ascii="Arial CE" w:eastAsia="Times New Roman" w:hAnsi="Arial CE" w:cs="Arial CE"/>
                <w:color w:val="505050"/>
                <w:sz w:val="16"/>
                <w:szCs w:val="16"/>
                <w:lang w:eastAsia="cs-CZ"/>
              </w:rPr>
              <w:t xml:space="preserve"> dýha s horizontální orientací. Skladba listů dýhy na ohýbaných dílech bude řešena vějířovitým způsobem. </w:t>
            </w:r>
            <w:r w:rsidRPr="00821440">
              <w:rPr>
                <w:rFonts w:ascii="Arial CE" w:eastAsia="Times New Roman" w:hAnsi="Arial CE" w:cs="Arial CE"/>
                <w:color w:val="505050"/>
                <w:sz w:val="16"/>
                <w:szCs w:val="16"/>
                <w:lang w:eastAsia="cs-CZ"/>
              </w:rPr>
              <w:br/>
              <w:t xml:space="preserve">Po sestavení rámu a </w:t>
            </w:r>
            <w:proofErr w:type="spellStart"/>
            <w:r w:rsidRPr="00821440">
              <w:rPr>
                <w:rFonts w:ascii="Arial CE" w:eastAsia="Times New Roman" w:hAnsi="Arial CE" w:cs="Arial CE"/>
                <w:color w:val="505050"/>
                <w:sz w:val="16"/>
                <w:szCs w:val="16"/>
                <w:lang w:eastAsia="cs-CZ"/>
              </w:rPr>
              <w:t>přikotvení</w:t>
            </w:r>
            <w:proofErr w:type="spellEnd"/>
            <w:r w:rsidRPr="00821440">
              <w:rPr>
                <w:rFonts w:ascii="Arial CE" w:eastAsia="Times New Roman" w:hAnsi="Arial CE" w:cs="Arial CE"/>
                <w:color w:val="505050"/>
                <w:sz w:val="16"/>
                <w:szCs w:val="16"/>
                <w:lang w:eastAsia="cs-CZ"/>
              </w:rPr>
              <w:t xml:space="preserve"> lícových desek probíhá lakování a následné kartáčovaní.</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lastRenderedPageBreak/>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FFFF"/>
                <w:sz w:val="16"/>
                <w:szCs w:val="16"/>
                <w:lang w:eastAsia="cs-CZ"/>
              </w:rPr>
            </w:pPr>
            <w:r w:rsidRPr="00821440">
              <w:rPr>
                <w:rFonts w:ascii="Arial CE" w:eastAsia="Times New Roman" w:hAnsi="Arial CE" w:cs="Arial CE"/>
                <w:color w:val="FFFFFF"/>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Dveře D03 doplnění padacích lišt na 2kř dveře</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5 985,00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5 985,00</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63"/>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595959"/>
                <w:sz w:val="16"/>
                <w:szCs w:val="16"/>
                <w:lang w:eastAsia="cs-CZ"/>
              </w:rPr>
            </w:pPr>
            <w:r w:rsidRPr="00821440">
              <w:rPr>
                <w:rFonts w:ascii="Arial CE" w:eastAsia="Times New Roman" w:hAnsi="Arial CE" w:cs="Arial CE"/>
                <w:color w:val="595959"/>
                <w:sz w:val="16"/>
                <w:szCs w:val="16"/>
                <w:lang w:eastAsia="cs-CZ"/>
              </w:rPr>
              <w:t> </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w:eastAsia="Times New Roman" w:hAnsi="Arial" w:cs="Arial"/>
                <w:color w:val="0033CC"/>
                <w:sz w:val="16"/>
                <w:szCs w:val="16"/>
                <w:lang w:eastAsia="cs-CZ"/>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r>
      <w:tr w:rsidR="00821440" w:rsidRPr="00821440" w:rsidTr="00821440">
        <w:trPr>
          <w:trHeight w:val="255"/>
        </w:trPr>
        <w:tc>
          <w:tcPr>
            <w:tcW w:w="126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0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8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2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80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98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M742</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Elektroinstalace Slaboproud</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2 634,00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69"/>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74200116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Kabelová průchodka rozpojitelná Kabelová zadlabací rozpojitelná průchodka do křídla dveří typ 10314-20. Maximální úhel otevření 180°.</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2 720,00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-2 720,00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63"/>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Kabelová pancéřová přechodka</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584,00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584,00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74200550</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stropní QUAD PIR, 360°/průměr 10-12m při montážní výšce 2,4 až 4,0 m, </w:t>
            </w:r>
            <w:proofErr w:type="spellStart"/>
            <w:r w:rsidRPr="00821440">
              <w:rPr>
                <w:rFonts w:ascii="Arial CE" w:eastAsia="Times New Roman" w:hAnsi="Arial CE" w:cs="Arial CE"/>
                <w:color w:val="FF0000"/>
                <w:sz w:val="16"/>
                <w:szCs w:val="16"/>
                <w:lang w:eastAsia="cs-CZ"/>
              </w:rPr>
              <w:t>digitalní</w:t>
            </w:r>
            <w:proofErr w:type="spellEnd"/>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769,00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-769,00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74200551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duální (PIR+MW) detektor s držákem, vějíř 15m, vestavěné EOL a funkce AM</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977,00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977,00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74200552</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detektor tříštění skla s dosahem 4,5 nebo až 9m</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-4,00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730,00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-2 920,00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74200557</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kompletní kabeláž a drobný instalační materiál</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proofErr w:type="spellStart"/>
            <w:r w:rsidRPr="00821440">
              <w:rPr>
                <w:rFonts w:ascii="Arial CE" w:eastAsia="Times New Roman" w:hAnsi="Arial CE" w:cs="Arial CE"/>
                <w:color w:val="FF0000"/>
                <w:sz w:val="16"/>
                <w:szCs w:val="16"/>
                <w:lang w:eastAsia="cs-CZ"/>
              </w:rPr>
              <w:t>kpl</w:t>
            </w:r>
            <w:proofErr w:type="spellEnd"/>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-0,20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3 840,00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-768,00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742515415</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Instalace a zapojení prvků</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-4,00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450,00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-1 800,00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74200821</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textové digitální hodiny - 60mm , </w:t>
            </w:r>
            <w:proofErr w:type="spellStart"/>
            <w:r w:rsidRPr="00821440">
              <w:rPr>
                <w:rFonts w:ascii="Arial CE" w:eastAsia="Times New Roman" w:hAnsi="Arial CE" w:cs="Arial CE"/>
                <w:color w:val="FF0000"/>
                <w:sz w:val="16"/>
                <w:szCs w:val="16"/>
                <w:lang w:eastAsia="cs-CZ"/>
              </w:rPr>
              <w:t>PoE</w:t>
            </w:r>
            <w:proofErr w:type="spellEnd"/>
            <w:r w:rsidRPr="00821440">
              <w:rPr>
                <w:rFonts w:ascii="Arial CE" w:eastAsia="Times New Roman" w:hAnsi="Arial CE" w:cs="Arial CE"/>
                <w:color w:val="FF0000"/>
                <w:sz w:val="16"/>
                <w:szCs w:val="16"/>
                <w:lang w:eastAsia="cs-CZ"/>
              </w:rPr>
              <w:t xml:space="preserve"> napájení, Bílý text</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10 950,00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-21 900,00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Digitální hodiny HH:MM - 100mm , červené, úprava barevnosti rámečku a </w:t>
            </w:r>
            <w:proofErr w:type="spellStart"/>
            <w:r w:rsidRPr="00821440">
              <w:rPr>
                <w:rFonts w:ascii="Arial CE" w:eastAsia="Times New Roman" w:hAnsi="Arial CE" w:cs="Arial CE"/>
                <w:color w:val="0033CC"/>
                <w:sz w:val="16"/>
                <w:szCs w:val="16"/>
                <w:lang w:eastAsia="cs-CZ"/>
              </w:rPr>
              <w:t>PoE</w:t>
            </w:r>
            <w:proofErr w:type="spellEnd"/>
            <w:r w:rsidRPr="00821440">
              <w:rPr>
                <w:rFonts w:ascii="Arial CE" w:eastAsia="Times New Roman" w:hAnsi="Arial CE" w:cs="Arial CE"/>
                <w:color w:val="0033CC"/>
                <w:sz w:val="16"/>
                <w:szCs w:val="16"/>
                <w:lang w:eastAsia="cs-CZ"/>
              </w:rPr>
              <w:t xml:space="preserve"> napájení</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17 680,00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35 360,00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74200822</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 xml:space="preserve">hlavní (řídící) hodiny - univerzální - s dotekovým </w:t>
            </w:r>
            <w:proofErr w:type="spellStart"/>
            <w:r w:rsidRPr="00821440">
              <w:rPr>
                <w:rFonts w:ascii="Arial CE" w:eastAsia="Times New Roman" w:hAnsi="Arial CE" w:cs="Arial CE"/>
                <w:color w:val="FF0000"/>
                <w:sz w:val="16"/>
                <w:szCs w:val="16"/>
                <w:lang w:eastAsia="cs-CZ"/>
              </w:rPr>
              <w:t>lcd</w:t>
            </w:r>
            <w:proofErr w:type="spellEnd"/>
            <w:r w:rsidRPr="00821440">
              <w:rPr>
                <w:rFonts w:ascii="Arial CE" w:eastAsia="Times New Roman" w:hAnsi="Arial CE" w:cs="Arial CE"/>
                <w:color w:val="FF0000"/>
                <w:sz w:val="16"/>
                <w:szCs w:val="16"/>
                <w:lang w:eastAsia="cs-CZ"/>
              </w:rPr>
              <w:t xml:space="preserve">, včetně GPS </w:t>
            </w:r>
            <w:proofErr w:type="spellStart"/>
            <w:r w:rsidRPr="00821440">
              <w:rPr>
                <w:rFonts w:ascii="Arial CE" w:eastAsia="Times New Roman" w:hAnsi="Arial CE" w:cs="Arial CE"/>
                <w:color w:val="FF0000"/>
                <w:sz w:val="16"/>
                <w:szCs w:val="16"/>
                <w:lang w:eastAsia="cs-CZ"/>
              </w:rPr>
              <w:t>přijímačea</w:t>
            </w:r>
            <w:proofErr w:type="spellEnd"/>
            <w:r w:rsidRPr="00821440">
              <w:rPr>
                <w:rFonts w:ascii="Arial CE" w:eastAsia="Times New Roman" w:hAnsi="Arial CE" w:cs="Arial CE"/>
                <w:color w:val="FF0000"/>
                <w:sz w:val="16"/>
                <w:szCs w:val="16"/>
                <w:lang w:eastAsia="cs-CZ"/>
              </w:rPr>
              <w:t xml:space="preserve"> prodlužovací sady pro vzdálené připojení GPS</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kus</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14 550,00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-14 550,00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742518804</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Úprava konfigurace hlavních hodin a stávajících připojení</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FF0000"/>
                <w:sz w:val="16"/>
                <w:szCs w:val="16"/>
                <w:lang w:eastAsia="cs-CZ"/>
              </w:rPr>
            </w:pPr>
            <w:proofErr w:type="spellStart"/>
            <w:r w:rsidRPr="00821440">
              <w:rPr>
                <w:rFonts w:ascii="Arial CE" w:eastAsia="Times New Roman" w:hAnsi="Arial CE" w:cs="Arial CE"/>
                <w:color w:val="FF0000"/>
                <w:sz w:val="16"/>
                <w:szCs w:val="16"/>
                <w:lang w:eastAsia="cs-CZ"/>
              </w:rPr>
              <w:t>kpl</w:t>
            </w:r>
            <w:proofErr w:type="spellEnd"/>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-0,30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12 000,00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FF0000"/>
                <w:sz w:val="16"/>
                <w:szCs w:val="16"/>
                <w:lang w:eastAsia="cs-CZ"/>
              </w:rPr>
            </w:pPr>
            <w:r w:rsidRPr="00821440">
              <w:rPr>
                <w:rFonts w:ascii="Arial CE" w:eastAsia="Times New Roman" w:hAnsi="Arial CE" w:cs="Arial CE"/>
                <w:color w:val="FF0000"/>
                <w:sz w:val="16"/>
                <w:szCs w:val="16"/>
                <w:lang w:eastAsia="cs-CZ"/>
              </w:rPr>
              <w:t>-3 600,00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4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Oprava a instalace nového </w:t>
            </w:r>
            <w:proofErr w:type="spellStart"/>
            <w:r w:rsidRPr="00821440">
              <w:rPr>
                <w:rFonts w:ascii="Arial CE" w:eastAsia="Times New Roman" w:hAnsi="Arial CE" w:cs="Arial CE"/>
                <w:color w:val="0033CC"/>
                <w:sz w:val="16"/>
                <w:szCs w:val="16"/>
                <w:lang w:eastAsia="cs-CZ"/>
              </w:rPr>
              <w:t>ele</w:t>
            </w:r>
            <w:proofErr w:type="spellEnd"/>
            <w:r w:rsidRPr="00821440">
              <w:rPr>
                <w:rFonts w:ascii="Arial CE" w:eastAsia="Times New Roman" w:hAnsi="Arial CE" w:cs="Arial CE"/>
                <w:color w:val="0033CC"/>
                <w:sz w:val="16"/>
                <w:szCs w:val="16"/>
                <w:lang w:eastAsia="cs-CZ"/>
              </w:rPr>
              <w:t>. přívodu 230V do salonku v patře</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hod</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30,00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450,00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13 500,00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Materiál pro opravy nového přívodu </w:t>
            </w:r>
            <w:proofErr w:type="spellStart"/>
            <w:r w:rsidRPr="00821440">
              <w:rPr>
                <w:rFonts w:ascii="Arial CE" w:eastAsia="Times New Roman" w:hAnsi="Arial CE" w:cs="Arial CE"/>
                <w:color w:val="0033CC"/>
                <w:sz w:val="16"/>
                <w:szCs w:val="16"/>
                <w:lang w:eastAsia="cs-CZ"/>
              </w:rPr>
              <w:t>ele</w:t>
            </w:r>
            <w:proofErr w:type="spellEnd"/>
            <w:r w:rsidRPr="00821440">
              <w:rPr>
                <w:rFonts w:ascii="Arial CE" w:eastAsia="Times New Roman" w:hAnsi="Arial CE" w:cs="Arial CE"/>
                <w:color w:val="0033CC"/>
                <w:sz w:val="16"/>
                <w:szCs w:val="16"/>
                <w:lang w:eastAsia="cs-CZ"/>
              </w:rPr>
              <w:t xml:space="preserve"> do salonku</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proofErr w:type="spellStart"/>
            <w:r w:rsidRPr="00821440">
              <w:rPr>
                <w:rFonts w:ascii="Arial CE" w:eastAsia="Times New Roman" w:hAnsi="Arial CE" w:cs="Arial CE"/>
                <w:color w:val="0033CC"/>
                <w:sz w:val="16"/>
                <w:szCs w:val="16"/>
                <w:lang w:eastAsia="cs-CZ"/>
              </w:rPr>
              <w:t>kpl</w:t>
            </w:r>
            <w:proofErr w:type="spellEnd"/>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1,00</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1 240,00</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1 240,00</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0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8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2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80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98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auto" w:fill="auto"/>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p>
        </w:tc>
        <w:tc>
          <w:tcPr>
            <w:tcW w:w="10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VRN</w:t>
            </w:r>
          </w:p>
        </w:tc>
        <w:tc>
          <w:tcPr>
            <w:tcW w:w="480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Vedlejší rozpočtové náklady</w:t>
            </w:r>
          </w:p>
        </w:tc>
        <w:tc>
          <w:tcPr>
            <w:tcW w:w="420" w:type="dxa"/>
            <w:tcBorders>
              <w:top w:val="nil"/>
              <w:left w:val="nil"/>
              <w:bottom w:val="nil"/>
              <w:right w:val="nil"/>
            </w:tcBorders>
            <w:shd w:val="clear" w:color="000000" w:fill="FFFFFF"/>
            <w:vAlign w:val="bottom"/>
            <w:hideMark/>
          </w:tcPr>
          <w:p w:rsidR="00821440" w:rsidRPr="00821440" w:rsidRDefault="00821440" w:rsidP="00821440">
            <w:pPr>
              <w:spacing w:after="0" w:line="240" w:lineRule="auto"/>
              <w:jc w:val="center"/>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80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 </w:t>
            </w:r>
          </w:p>
        </w:tc>
        <w:tc>
          <w:tcPr>
            <w:tcW w:w="98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rPr>
                <w:rFonts w:ascii="MS Sans Serif" w:eastAsia="Times New Roman" w:hAnsi="MS Sans Serif" w:cs="Arial CE"/>
                <w:color w:val="0033CC"/>
                <w:sz w:val="16"/>
                <w:szCs w:val="16"/>
                <w:lang w:eastAsia="cs-CZ"/>
              </w:rPr>
            </w:pPr>
            <w:r w:rsidRPr="00821440">
              <w:rPr>
                <w:rFonts w:ascii="MS Sans Serif" w:eastAsia="Times New Roman" w:hAnsi="MS Sans Serif" w:cs="Arial CE"/>
                <w:color w:val="0033CC"/>
                <w:sz w:val="16"/>
                <w:szCs w:val="16"/>
                <w:lang w:eastAsia="cs-CZ"/>
              </w:rPr>
              <w:t> </w:t>
            </w:r>
          </w:p>
        </w:tc>
        <w:tc>
          <w:tcPr>
            <w:tcW w:w="1140" w:type="dxa"/>
            <w:tcBorders>
              <w:top w:val="nil"/>
              <w:left w:val="nil"/>
              <w:bottom w:val="nil"/>
              <w:right w:val="nil"/>
            </w:tcBorders>
            <w:shd w:val="clear" w:color="000000" w:fill="FFFFFF"/>
            <w:noWrap/>
            <w:vAlign w:val="bottom"/>
            <w:hideMark/>
          </w:tcPr>
          <w:p w:rsidR="00821440" w:rsidRPr="00821440" w:rsidRDefault="00821440" w:rsidP="00821440">
            <w:pPr>
              <w:spacing w:after="0" w:line="240" w:lineRule="auto"/>
              <w:jc w:val="right"/>
              <w:rPr>
                <w:rFonts w:ascii="Arial CE" w:eastAsia="Times New Roman" w:hAnsi="Arial CE" w:cs="Arial CE"/>
                <w:b/>
                <w:bCs/>
                <w:color w:val="0033CC"/>
                <w:sz w:val="16"/>
                <w:szCs w:val="16"/>
                <w:lang w:eastAsia="cs-CZ"/>
              </w:rPr>
            </w:pPr>
            <w:r w:rsidRPr="00821440">
              <w:rPr>
                <w:rFonts w:ascii="Arial CE" w:eastAsia="Times New Roman" w:hAnsi="Arial CE" w:cs="Arial CE"/>
                <w:b/>
                <w:bCs/>
                <w:color w:val="0033CC"/>
                <w:sz w:val="16"/>
                <w:szCs w:val="16"/>
                <w:lang w:eastAsia="cs-CZ"/>
              </w:rPr>
              <w:t>12 220,27</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xml:space="preserve">1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Vedlejší rozpočtové náklady</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4,25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2 875,36</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12 220,27</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CE" w:eastAsia="Times New Roman" w:hAnsi="Arial CE" w:cs="Arial CE"/>
                <w:color w:val="0033CC"/>
                <w:sz w:val="20"/>
                <w:szCs w:val="20"/>
                <w:lang w:eastAsia="cs-CZ"/>
              </w:rPr>
            </w:pPr>
            <w:r w:rsidRPr="00821440">
              <w:rPr>
                <w:rFonts w:ascii="Arial CE" w:eastAsia="Times New Roman" w:hAnsi="Arial CE" w:cs="Arial CE"/>
                <w:color w:val="0033CC"/>
                <w:sz w:val="20"/>
                <w:szCs w:val="20"/>
                <w:lang w:eastAsia="cs-CZ"/>
              </w:rPr>
              <w:t> </w:t>
            </w:r>
          </w:p>
        </w:tc>
      </w:tr>
      <w:tr w:rsidR="00821440" w:rsidRPr="00821440" w:rsidTr="00821440">
        <w:trPr>
          <w:trHeight w:val="25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80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420" w:type="dxa"/>
            <w:tcBorders>
              <w:top w:val="nil"/>
              <w:left w:val="nil"/>
              <w:bottom w:val="single" w:sz="4" w:space="0" w:color="auto"/>
              <w:right w:val="single" w:sz="4" w:space="0" w:color="auto"/>
            </w:tcBorders>
            <w:shd w:val="clear" w:color="auto" w:fill="auto"/>
            <w:vAlign w:val="center"/>
            <w:hideMark/>
          </w:tcPr>
          <w:p w:rsidR="00821440" w:rsidRPr="00821440" w:rsidRDefault="00821440" w:rsidP="00821440">
            <w:pPr>
              <w:spacing w:after="0" w:line="240" w:lineRule="auto"/>
              <w:jc w:val="center"/>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80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98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1140" w:type="dxa"/>
            <w:tcBorders>
              <w:top w:val="nil"/>
              <w:left w:val="nil"/>
              <w:bottom w:val="single" w:sz="4" w:space="0" w:color="auto"/>
              <w:right w:val="single" w:sz="4" w:space="0" w:color="auto"/>
            </w:tcBorders>
            <w:shd w:val="clear" w:color="auto" w:fill="auto"/>
            <w:noWrap/>
            <w:vAlign w:val="center"/>
            <w:hideMark/>
          </w:tcPr>
          <w:p w:rsidR="00821440" w:rsidRPr="00821440" w:rsidRDefault="00821440" w:rsidP="00821440">
            <w:pPr>
              <w:spacing w:after="0" w:line="240" w:lineRule="auto"/>
              <w:jc w:val="right"/>
              <w:rPr>
                <w:rFonts w:ascii="Arial CE" w:eastAsia="Times New Roman" w:hAnsi="Arial CE" w:cs="Arial CE"/>
                <w:color w:val="0033CC"/>
                <w:sz w:val="16"/>
                <w:szCs w:val="16"/>
                <w:lang w:eastAsia="cs-CZ"/>
              </w:rPr>
            </w:pPr>
            <w:r w:rsidRPr="00821440">
              <w:rPr>
                <w:rFonts w:ascii="Arial CE" w:eastAsia="Times New Roman" w:hAnsi="Arial CE" w:cs="Arial CE"/>
                <w:color w:val="0033CC"/>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r w:rsidRPr="00821440">
              <w:rPr>
                <w:rFonts w:ascii="Arial" w:eastAsia="Times New Roman" w:hAnsi="Arial" w:cs="Arial"/>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r w:rsidRPr="00821440">
              <w:rPr>
                <w:rFonts w:ascii="Arial" w:eastAsia="Times New Roman" w:hAnsi="Arial" w:cs="Arial"/>
                <w:color w:val="0033CC"/>
                <w:sz w:val="20"/>
                <w:szCs w:val="20"/>
                <w:lang w:eastAsia="cs-CZ"/>
              </w:rPr>
              <w:t> </w:t>
            </w:r>
          </w:p>
        </w:tc>
      </w:tr>
      <w:tr w:rsidR="00821440" w:rsidRPr="00821440" w:rsidTr="00821440">
        <w:trPr>
          <w:trHeight w:val="255"/>
        </w:trPr>
        <w:tc>
          <w:tcPr>
            <w:tcW w:w="126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0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80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420" w:type="dxa"/>
            <w:tcBorders>
              <w:top w:val="nil"/>
              <w:left w:val="nil"/>
              <w:bottom w:val="nil"/>
              <w:right w:val="nil"/>
            </w:tcBorders>
            <w:shd w:val="clear" w:color="000000" w:fill="FFFFFF"/>
            <w:vAlign w:val="center"/>
            <w:hideMark/>
          </w:tcPr>
          <w:p w:rsidR="00821440" w:rsidRPr="00821440" w:rsidRDefault="00821440" w:rsidP="00821440">
            <w:pPr>
              <w:spacing w:after="0" w:line="240" w:lineRule="auto"/>
              <w:jc w:val="center"/>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80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98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11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jc w:val="right"/>
              <w:rPr>
                <w:rFonts w:ascii="MS Sans Serif" w:eastAsia="Times New Roman" w:hAnsi="MS Sans Serif" w:cs="Arial CE"/>
                <w:sz w:val="16"/>
                <w:szCs w:val="16"/>
                <w:lang w:eastAsia="cs-CZ"/>
              </w:rPr>
            </w:pPr>
            <w:r w:rsidRPr="00821440">
              <w:rPr>
                <w:rFonts w:ascii="MS Sans Serif" w:eastAsia="Times New Roman" w:hAnsi="MS Sans Serif" w:cs="Arial CE"/>
                <w:sz w:val="16"/>
                <w:szCs w:val="16"/>
                <w:lang w:eastAsia="cs-CZ"/>
              </w:rPr>
              <w:t> </w:t>
            </w:r>
          </w:p>
        </w:tc>
        <w:tc>
          <w:tcPr>
            <w:tcW w:w="232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r w:rsidRPr="00821440">
              <w:rPr>
                <w:rFonts w:ascii="Arial" w:eastAsia="Times New Roman" w:hAnsi="Arial" w:cs="Arial"/>
                <w:color w:val="0033CC"/>
                <w:sz w:val="20"/>
                <w:szCs w:val="20"/>
                <w:lang w:eastAsia="cs-CZ"/>
              </w:rPr>
              <w:t> </w:t>
            </w:r>
          </w:p>
        </w:tc>
        <w:tc>
          <w:tcPr>
            <w:tcW w:w="1940" w:type="dxa"/>
            <w:tcBorders>
              <w:top w:val="nil"/>
              <w:left w:val="nil"/>
              <w:bottom w:val="nil"/>
              <w:right w:val="nil"/>
            </w:tcBorders>
            <w:shd w:val="clear" w:color="000000" w:fill="FFFFFF"/>
            <w:noWrap/>
            <w:vAlign w:val="center"/>
            <w:hideMark/>
          </w:tcPr>
          <w:p w:rsidR="00821440" w:rsidRPr="00821440" w:rsidRDefault="00821440" w:rsidP="00821440">
            <w:pPr>
              <w:spacing w:after="0" w:line="240" w:lineRule="auto"/>
              <w:rPr>
                <w:rFonts w:ascii="Arial" w:eastAsia="Times New Roman" w:hAnsi="Arial" w:cs="Arial"/>
                <w:color w:val="0033CC"/>
                <w:sz w:val="20"/>
                <w:szCs w:val="20"/>
                <w:lang w:eastAsia="cs-CZ"/>
              </w:rPr>
            </w:pPr>
            <w:r w:rsidRPr="00821440">
              <w:rPr>
                <w:rFonts w:ascii="Arial" w:eastAsia="Times New Roman" w:hAnsi="Arial" w:cs="Arial"/>
                <w:color w:val="0033CC"/>
                <w:sz w:val="20"/>
                <w:szCs w:val="20"/>
                <w:lang w:eastAsia="cs-CZ"/>
              </w:rPr>
              <w:t> </w:t>
            </w:r>
          </w:p>
        </w:tc>
      </w:tr>
    </w:tbl>
    <w:p w:rsidR="005A50A2" w:rsidRDefault="00821440">
      <w:bookmarkStart w:id="1" w:name="_GoBack"/>
      <w:bookmarkEnd w:id="1"/>
    </w:p>
    <w:sectPr w:rsidR="005A50A2" w:rsidSect="008214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Arial CYR">
    <w:altName w:val="Arial"/>
    <w:charset w:val="EE"/>
    <w:family w:val="swiss"/>
    <w:pitch w:val="variable"/>
    <w:sig w:usb0="00000000"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40"/>
    <w:rsid w:val="0004740B"/>
    <w:rsid w:val="00821440"/>
    <w:rsid w:val="00B046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70A38-928F-4FAE-BD61-5A0D1B04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3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3" ma:contentTypeDescription="Vytvoří nový dokument" ma:contentTypeScope="" ma:versionID="216723ea26a3c86bdadc233835cc7c04">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e7b7bb3a88e5bcb892c7c539f8fad873"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73F14-58EB-4AD7-A767-E4095FD3C0BC}"/>
</file>

<file path=customXml/itemProps2.xml><?xml version="1.0" encoding="utf-8"?>
<ds:datastoreItem xmlns:ds="http://schemas.openxmlformats.org/officeDocument/2006/customXml" ds:itemID="{5F32B314-F683-4805-8A2E-3428317549BE}"/>
</file>

<file path=customXml/itemProps3.xml><?xml version="1.0" encoding="utf-8"?>
<ds:datastoreItem xmlns:ds="http://schemas.openxmlformats.org/officeDocument/2006/customXml" ds:itemID="{73029DF8-F7AB-45E2-9DFF-7427E2BAC144}"/>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6078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Herčíková Jitka</dc:creator>
  <cp:keywords/>
  <dc:description/>
  <cp:lastModifiedBy>Herčíková Jitka</cp:lastModifiedBy>
  <cp:revision>1</cp:revision>
  <dcterms:created xsi:type="dcterms:W3CDTF">2022-03-03T15:06:00Z</dcterms:created>
  <dcterms:modified xsi:type="dcterms:W3CDTF">2022-03-03T15:07:00Z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ies>
</file>