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341" w:h="326" w:wrap="none" w:hAnchor="page" w:x="4734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b/>
          <w:bCs/>
        </w:rPr>
        <w:t>RÁMCOVÁ KUPNÍ SMLOUVA</w:t>
      </w:r>
      <w:bookmarkEnd w:id="0"/>
    </w:p>
    <w:p>
      <w:pPr>
        <w:pStyle w:val="Style4"/>
        <w:keepNext w:val="0"/>
        <w:keepLines w:val="0"/>
        <w:framePr w:w="926" w:h="206" w:wrap="none" w:hAnchor="page" w:x="928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5"/>
        </w:rPr>
        <w:t>2022001492</w:t>
      </w: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069" w:right="1268" w:bottom="887" w:left="157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28"/>
        <w:keepNext/>
        <w:keepLines/>
        <w:widowControl w:val="0"/>
        <w:shd w:val="clear" w:color="auto" w:fill="auto"/>
        <w:bidi w:val="0"/>
        <w:spacing w:before="0"/>
        <w:ind w:right="0"/>
        <w:jc w:val="left"/>
      </w:pPr>
      <w:bookmarkStart w:id="8" w:name="bookmark8"/>
      <w:r>
        <w:rPr>
          <w:rStyle w:val="CharStyle29"/>
        </w:rPr>
        <w:t>uzavřená v souladu s ustanovením § 2079 a násl. zákona č. 89/2012 Sb., občanský zákoník, mezi níže uvedenými smluvními stranami</w:t>
      </w:r>
      <w:bookmarkEnd w:id="8"/>
    </w:p>
    <w:tbl>
      <w:tblPr>
        <w:tblOverlap w:val="never"/>
        <w:jc w:val="center"/>
        <w:tblLayout w:type="fixed"/>
      </w:tblPr>
      <w:tblGrid>
        <w:gridCol w:w="3067"/>
        <w:gridCol w:w="5981"/>
      </w:tblGrid>
      <w:tr>
        <w:trPr>
          <w:trHeight w:val="4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33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Kamenice 798/1 d, 625 00 Brno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MUDr. Hana Albrechtová, ředitelka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  <w:spacing w:val="4"/>
                <w:shd w:val="clear" w:color="auto" w:fill="000000"/>
              </w:rPr>
              <w:t>........</w:t>
            </w:r>
            <w:r>
              <w:rPr>
                <w:rStyle w:val="CharStyle33"/>
                <w:spacing w:val="5"/>
                <w:shd w:val="clear" w:color="auto" w:fill="000000"/>
              </w:rPr>
              <w:t>..</w:t>
            </w:r>
            <w:r>
              <w:rPr>
                <w:rStyle w:val="CharStyle33"/>
                <w:shd w:val="clear" w:color="auto" w:fill="000000"/>
              </w:rPr>
              <w:t>​</w:t>
            </w:r>
            <w:r>
              <w:rPr>
                <w:rStyle w:val="CharStyle33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33"/>
                <w:u w:val="single"/>
                <w:shd w:val="clear" w:color="auto" w:fill="000000"/>
              </w:rPr>
              <w:t>.</w:t>
            </w:r>
            <w:r>
              <w:rPr>
                <w:rStyle w:val="CharStyle33"/>
                <w:spacing w:val="1"/>
                <w:u w:val="single"/>
                <w:shd w:val="clear" w:color="auto" w:fill="000000"/>
              </w:rPr>
              <w:t>........</w:t>
            </w:r>
            <w:r>
              <w:rPr>
                <w:rStyle w:val="CharStyle33"/>
                <w:u w:val="single"/>
                <w:shd w:val="clear" w:color="auto" w:fill="000000"/>
              </w:rPr>
              <w:t>​</w:t>
            </w:r>
            <w:r>
              <w:rPr>
                <w:rStyle w:val="CharStyle33"/>
                <w:spacing w:val="5"/>
                <w:u w:val="single"/>
                <w:shd w:val="clear" w:color="auto" w:fill="000000"/>
              </w:rPr>
              <w:t>....</w:t>
            </w:r>
            <w:r>
              <w:rPr>
                <w:rStyle w:val="CharStyle33"/>
                <w:spacing w:val="1"/>
                <w:u w:val="single"/>
                <w:shd w:val="clear" w:color="auto" w:fill="000000"/>
              </w:rPr>
              <w:t>..</w:t>
            </w:r>
            <w:r>
              <w:rPr>
                <w:rStyle w:val="CharStyle33"/>
                <w:spacing w:val="2"/>
                <w:u w:val="single"/>
                <w:shd w:val="clear" w:color="auto" w:fill="000000"/>
              </w:rPr>
              <w:t>.............</w:t>
            </w:r>
            <w:r>
              <w:rPr>
                <w:rStyle w:val="CharStyle33"/>
                <w:shd w:val="clear" w:color="auto" w:fill="000000"/>
              </w:rPr>
              <w:t>.</w:t>
            </w:r>
            <w:r>
              <w:rPr>
                <w:rStyle w:val="CharStyle33"/>
                <w:color w:val="3369AB"/>
              </w:rPr>
              <w:t xml:space="preserve"> </w:t>
            </w:r>
            <w:r>
              <w:rPr>
                <w:rStyle w:val="CharStyle33"/>
              </w:rPr>
              <w:t xml:space="preserve">tel. </w:t>
            </w:r>
            <w:r>
              <w:rPr>
                <w:rStyle w:val="CharStyle33"/>
                <w:shd w:val="clear" w:color="auto" w:fill="000000"/>
              </w:rPr>
              <w:t>.......​</w:t>
            </w:r>
            <w:r>
              <w:rPr>
                <w:rStyle w:val="CharStyle33"/>
                <w:spacing w:val="6"/>
                <w:shd w:val="clear" w:color="auto" w:fill="000000"/>
              </w:rPr>
              <w:t>...</w:t>
            </w:r>
            <w:r>
              <w:rPr>
                <w:rStyle w:val="CharStyle33"/>
                <w:spacing w:val="7"/>
                <w:shd w:val="clear" w:color="auto" w:fill="000000"/>
              </w:rPr>
              <w:t>...</w:t>
            </w:r>
            <w:r>
              <w:rPr>
                <w:rStyle w:val="CharStyle33"/>
                <w:shd w:val="clear" w:color="auto" w:fill="000000"/>
              </w:rPr>
              <w:t>​........​</w:t>
            </w:r>
            <w:r>
              <w:rPr>
                <w:rStyle w:val="CharStyle33"/>
                <w:spacing w:val="6"/>
                <w:shd w:val="clear" w:color="auto" w:fill="000000"/>
              </w:rPr>
              <w:t>....</w:t>
            </w:r>
            <w:r>
              <w:rPr>
                <w:rStyle w:val="CharStyle33"/>
                <w:spacing w:val="7"/>
                <w:shd w:val="clear" w:color="auto" w:fill="000000"/>
              </w:rPr>
              <w:t>....</w:t>
            </w:r>
            <w:r>
              <w:rPr>
                <w:rStyle w:val="CharStyle33"/>
                <w:shd w:val="clear" w:color="auto" w:fill="000000"/>
              </w:rPr>
              <w:t>​.......​.......​......</w:t>
            </w:r>
            <w:r>
              <w:rPr>
                <w:rStyle w:val="CharStyle33"/>
              </w:rPr>
              <w:t xml:space="preserve"> 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CZ00346292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Krajský soud v Brně sp. zn. Pr 1245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MONETA Money Bank, a.s, č. ú.</w:t>
            </w:r>
            <w:r>
              <w:rPr>
                <w:rStyle w:val="CharStyle33"/>
                <w:shd w:val="clear" w:color="auto" w:fill="000000"/>
              </w:rPr>
              <w:t>.​...........................</w:t>
            </w: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31"/>
        </w:rPr>
        <w:t>(dále jen ,.kupující“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067"/>
        <w:gridCol w:w="5981"/>
      </w:tblGrid>
      <w:tr>
        <w:trPr>
          <w:trHeight w:val="58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33"/>
                <w:b/>
                <w:bCs/>
                <w:i/>
                <w:iCs/>
                <w:sz w:val="10"/>
                <w:szCs w:val="10"/>
              </w:rPr>
              <w:t>d</w:t>
            </w:r>
          </w:p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  <w:b/>
                <w:bCs/>
              </w:rPr>
              <w:t>CHEIRÓN a.s.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Kukulova 24, 169 00 Praha 6, Břevnov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Ing. Jindřich Petřík, MBA, člen představenstva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  <w:spacing w:val="2"/>
                <w:shd w:val="clear" w:color="auto" w:fill="000000"/>
              </w:rPr>
              <w:t>............</w:t>
            </w:r>
            <w:r>
              <w:rPr>
                <w:rStyle w:val="CharStyle33"/>
                <w:spacing w:val="3"/>
                <w:shd w:val="clear" w:color="auto" w:fill="000000"/>
              </w:rPr>
              <w:t>..</w:t>
            </w:r>
            <w:r>
              <w:rPr>
                <w:rStyle w:val="CharStyle33"/>
                <w:shd w:val="clear" w:color="auto" w:fill="000000"/>
              </w:rPr>
              <w:t>​.....</w:t>
            </w:r>
            <w:r>
              <w:rPr>
                <w:rStyle w:val="CharStyle33"/>
                <w:spacing w:val="1"/>
                <w:shd w:val="clear" w:color="auto" w:fill="000000"/>
              </w:rPr>
              <w:t>.........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IČ: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left"/>
            </w:pPr>
            <w:r>
              <w:rPr>
                <w:rStyle w:val="CharStyle33"/>
                <w:spacing w:val="2"/>
                <w:u w:val="single"/>
                <w:shd w:val="clear" w:color="auto" w:fill="000000"/>
              </w:rPr>
              <w:t>............</w:t>
            </w:r>
            <w:r>
              <w:rPr>
                <w:rStyle w:val="CharStyle33"/>
                <w:spacing w:val="3"/>
                <w:u w:val="single"/>
                <w:shd w:val="clear" w:color="auto" w:fill="000000"/>
              </w:rPr>
              <w:t>..</w:t>
            </w:r>
            <w:r>
              <w:rPr>
                <w:rStyle w:val="CharStyle33"/>
                <w:u w:val="single"/>
                <w:shd w:val="clear" w:color="auto" w:fill="000000"/>
              </w:rPr>
              <w:t>​.............</w:t>
            </w:r>
            <w:r>
              <w:rPr>
                <w:rStyle w:val="CharStyle33"/>
                <w:spacing w:val="1"/>
                <w:u w:val="single"/>
                <w:shd w:val="clear" w:color="auto" w:fill="000000"/>
              </w:rPr>
              <w:t>........</w:t>
            </w:r>
            <w:r>
              <w:rPr>
                <w:rStyle w:val="CharStyle33"/>
                <w:shd w:val="clear" w:color="auto" w:fill="000000"/>
              </w:rPr>
              <w:t>...​</w:t>
            </w:r>
            <w:r>
              <w:rPr>
                <w:rStyle w:val="CharStyle33"/>
                <w:spacing w:val="8"/>
                <w:shd w:val="clear" w:color="auto" w:fill="000000"/>
              </w:rPr>
              <w:t>...</w:t>
            </w:r>
            <w:r>
              <w:rPr>
                <w:rStyle w:val="CharStyle33"/>
                <w:spacing w:val="9"/>
                <w:shd w:val="clear" w:color="auto" w:fill="000000"/>
              </w:rPr>
              <w:t>..</w:t>
            </w:r>
            <w:r>
              <w:rPr>
                <w:rStyle w:val="CharStyle33"/>
                <w:shd w:val="clear" w:color="auto" w:fill="000000"/>
              </w:rPr>
              <w:t>​.......​.......​........​</w:t>
            </w:r>
            <w:r>
              <w:rPr>
                <w:rStyle w:val="CharStyle33"/>
                <w:spacing w:val="6"/>
                <w:shd w:val="clear" w:color="auto" w:fill="000000"/>
              </w:rPr>
              <w:t>....</w:t>
            </w:r>
            <w:r>
              <w:rPr>
                <w:rStyle w:val="CharStyle33"/>
                <w:spacing w:val="7"/>
                <w:shd w:val="clear" w:color="auto" w:fill="000000"/>
              </w:rPr>
              <w:t>....</w:t>
            </w:r>
            <w:r>
              <w:rPr>
                <w:rStyle w:val="CharStyle33"/>
                <w:shd w:val="clear" w:color="auto" w:fill="000000"/>
              </w:rPr>
              <w:t>​.......​.......​......</w:t>
            </w:r>
            <w:r>
              <w:rPr>
                <w:rStyle w:val="CharStyle33"/>
              </w:rPr>
              <w:t xml:space="preserve"> 27094987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CZ27094987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>Městský soud v Praze, oddíl B, vložka 8964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33"/>
              </w:rPr>
              <w:t xml:space="preserve">ČSOB a.s., </w:t>
            </w:r>
            <w:r>
              <w:rPr>
                <w:rStyle w:val="CharStyle33"/>
                <w:shd w:val="clear" w:color="auto" w:fill="000000"/>
              </w:rPr>
              <w:t>...........................</w:t>
            </w:r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</w:rPr>
        <w:t>(dále jen „prodávající“)</w:t>
      </w:r>
    </w:p>
    <w:p>
      <w:pPr>
        <w:widowControl w:val="0"/>
        <w:spacing w:after="69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Prodávající je oprávněn na základě svého vlastnického práva nakládat se zbožím ve formě jednorázových fixačních límců, jejichž specifikace, včetně jejich jednotkových cen, je uvedena v příloze č. 1, která je nedílnou součástí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Součástí dodávky zboží podle čl. 1 této smlouvy je rovněž dodání dokladů, které se k dodávanému zboží vztahují a návody k použití v českém jazyce. Ke zdravotnickým prostředkům musí být vydáno nebo přiloženo ES prohlášení o shodě nebo jiný dokument podle zákona č. 22/1997 Sb., o technických požadavcích na výrobky a o změně a doplnění některých zákonů, ve znění pozdějších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60" w:line="286" w:lineRule="auto"/>
        <w:ind w:left="400" w:right="0" w:hanging="400"/>
        <w:jc w:val="both"/>
      </w:pPr>
      <w:r>
        <w:rPr>
          <w:rStyle w:val="CharStyle11"/>
        </w:rPr>
        <w:t xml:space="preserve">Prodávající se zavazuje plnit svůj závazek k dodání zboží podle čl. 1 této smlouvy vždy nejpozději do </w:t>
      </w:r>
      <w:r>
        <w:rPr>
          <w:rStyle w:val="CharStyle11"/>
          <w:b/>
          <w:bCs/>
        </w:rPr>
        <w:t xml:space="preserve">10 dní </w:t>
      </w:r>
      <w:r>
        <w:rPr>
          <w:rStyle w:val="CharStyle11"/>
        </w:rPr>
        <w:t>ode dne účinnosti příslušné dílčí kupní smlouvy. Tento závazek se bude považovat za splněný po předání a převzetí příslušného zboží formou písemného předávacího protokolu, podepsaného oběma stranami. Místem dodání je centrální sklad v sídle kupujícího dle záhlaví k této smlouvě.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Nebezpečí škody na převáděném zboží podle čl 1 této smlouvy a vlastnické právo k tomuto zboží přechází z prodávajícího na kupujícího dnem faktického převzetí tohoto zboží.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11"/>
        </w:rPr>
        <w:t>Kupující se zavazuje zaplatit prodávajícímu za předmět koupě a prodeje podle čl. 1 této smlouvy cenu ve výši součinu jednotkové kupní ceny a počtu dodaných kusů příslušného zboží. Jednotkové ceny zboží jsou uvedeny v příloze č. 1 této smlouvy. Součástí těchto cen jsou veškeré náklady prodávajícího na splnění jeho závazku k dodáni zboží podle této smlouvy. Výše uvedené ceny se prodávající zavazuje garantovat po dobu podle čl. 21 této smlouvy. Změna ceny je možná pouze v případě zákonné změny sazby DPH.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00" w:right="0" w:hanging="400"/>
        <w:jc w:val="both"/>
      </w:pPr>
      <w:r>
        <w:rPr>
          <w:rStyle w:val="CharStyle11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dokladu/ faktury). Faktura bude doručena elektronicky na email: </w:t>
      </w:r>
      <w:r>
        <w:rPr>
          <w:rStyle w:val="CharStyle11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1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1"/>
          <w:shd w:val="clear" w:color="auto" w:fill="000000"/>
          <w:lang w:val="en-US" w:eastAsia="en-US" w:bidi="en-US"/>
        </w:rPr>
        <w:t>.</w:t>
      </w:r>
      <w:r>
        <w:rPr>
          <w:rStyle w:val="CharStyle11"/>
          <w:shd w:val="clear" w:color="auto" w:fill="000000"/>
        </w:rPr>
        <w:t>​...</w:t>
      </w:r>
      <w:r>
        <w:rPr>
          <w:rStyle w:val="CharStyle11"/>
          <w:u w:val="single"/>
          <w:shd w:val="clear" w:color="auto" w:fill="000000"/>
          <w:lang w:val="en-US" w:eastAsia="en-US" w:bidi="en-US"/>
        </w:rPr>
        <w:t>​...........</w:t>
      </w:r>
      <w:r>
        <w:rPr>
          <w:rStyle w:val="CharStyle11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1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11"/>
          <w:color w:val="3369AB"/>
          <w:lang w:val="en-US" w:eastAsia="en-US" w:bidi="en-US"/>
        </w:rPr>
        <w:t xml:space="preserve"> </w:t>
      </w:r>
      <w:r>
        <w:rPr>
          <w:rStyle w:val="CharStyle11"/>
        </w:rPr>
        <w:t xml:space="preserve">Na faktuře musí být mimo jiné vždy uvedeno toto číslo veřejné zakázky, ke které se faktura vztahuje: </w:t>
      </w:r>
      <w:r>
        <w:rPr>
          <w:rStyle w:val="CharStyle11"/>
          <w:b/>
          <w:bCs/>
        </w:rPr>
        <w:t xml:space="preserve">P22V00000446. </w:t>
      </w:r>
      <w:r>
        <w:rPr>
          <w:rStyle w:val="CharStyle11"/>
        </w:rPr>
        <w:t>Nebude-li faktura splňovat veškeré náležitosti daňového dokladu podle zákona a další náležitosti podle této smlouvy, je kupující oprávněn vrátit takovou fakturu zhotoviteli k opravě, přičemž doba její splatnosti začne znovu celá běžet ode dne doručeni opravené faktury kupujícímu.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S převodem zboží je podle čl. 1 této smlouvy spojena záruka za jeho jakost v trvání doby použitelnosti vyznačené na zboží, nejméně však v trvání minimálně 24 měsíců ode dne dodání příslušného zboží. V rámci záruky se prodávající zavazuje, že zboží podle čl. 1 této smlouvy bude nové, v neporušeném balení s řádným označením, s minimální skladovací životností po celou dobu uvedené záruční lhůty a bude mít po tuto dobu další vlastnosti, které jsou stanoveny právními předpisy nebo technickými normami nebo jsou u zboží tohoto druhu obvyklé, a že bude po dobu záruční lhůty bezplatně odstraňovat vady, které se na zboží podle čl. 1 této smlouvy vyskytnou. Vzhledem k povaze příslušného zboží lze provést odstranění reklamované vady jen výměnou vadného zboží za nové bezvadné, a to nejpozději do 48 hodin od doručení příslušné reklamace kupujícího.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Pro případ prodleni se splněním závazku prodávajícího k dodání zboží ve lhůtě podle čl. 4 této smlouvy se prodávající zavazuje platit kupujícímu smluvní pokutu ve výši 0,1 % z kupní ceny bez DPH zboží podle čl. 7 této smlouvy za každý započatý den tohoto prodlení. Pro případ prodlení s odstraněním vady ve lhůtě podle čl. 9 této smlouvy se prodávající zavazuje platit kupujícímu smluvní pokutu ve výši 0,1% z kupní ceny zboží za každý den prodlení s odstraněním vady. Obě strany se dohodly, že zaplacením smluvní pokuty podle této smlouvy není nijak dotčeno právo kupujícího na náhradu škody v plné výši. Tímto ujednáním se přitom vylučuje aplikace § 2050 na vztah mezi oběma stranami podle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této smlouvy s účinky ex tunc.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74" w:right="1260" w:bottom="1600" w:left="1578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00" w:right="0" w:hanging="400"/>
        <w:jc w:val="both"/>
      </w:pPr>
      <w:r>
        <w:rPr>
          <w:rStyle w:val="CharStyle11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00" w:right="0" w:hanging="400"/>
        <w:jc w:val="both"/>
      </w:pPr>
      <w:r>
        <w:rPr>
          <w:rStyle w:val="CharStyle11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1"/>
        </w:rPr>
        <w:t>Tato smlouva nabývá účinnosti po jejím podpisu oběma smluvními stranami dnem jejího uveřejnění v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00" w:right="0" w:hanging="400"/>
        <w:jc w:val="both"/>
      </w:pPr>
      <w:r>
        <w:rPr>
          <w:rStyle w:val="CharStyle11"/>
        </w:rPr>
        <w:t>Tato smlouva se uzavírá na dobu určitou, a to na dobu jednoho roku od účinnosti této rámcové kupní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0" w:line="252" w:lineRule="auto"/>
        <w:ind w:left="400" w:right="0" w:hanging="400"/>
        <w:jc w:val="both"/>
      </w:pPr>
      <w:r>
        <w:rPr>
          <w:rStyle w:val="CharStyle11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174" w:right="1260" w:bottom="1600" w:left="1578" w:header="746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27685" distB="2121535" distL="0" distR="0" simplePos="0" relativeHeight="125829378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527685</wp:posOffset>
                </wp:positionV>
                <wp:extent cx="655320" cy="1403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9.600000000000009pt;margin-top:41.550000000000004pt;width:51.600000000000001pt;height:11.050000000000001pt;z-index:-125829375;mso-wrap-distance-left:0;mso-wrap-distance-top:41.550000000000004pt;mso-wrap-distance-right:0;mso-wrap-distance-bottom:167.05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93700" distB="2148840" distL="0" distR="0" simplePos="0" relativeHeight="125829380" behindDoc="0" locked="0" layoutInCell="1" allowOverlap="1">
                <wp:simplePos x="0" y="0"/>
                <wp:positionH relativeFrom="page">
                  <wp:posOffset>1964690</wp:posOffset>
                </wp:positionH>
                <wp:positionV relativeFrom="paragraph">
                  <wp:posOffset>393700</wp:posOffset>
                </wp:positionV>
                <wp:extent cx="588010" cy="24701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13"/>
                                <w:i/>
                                <w:iCs/>
                              </w:rPr>
                              <w:t>q.3132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4.70000000000002pt;margin-top:31.pt;width:46.300000000000004pt;height:19.449999999999999pt;z-index:-125829373;mso-wrap-distance-left:0;mso-wrap-distance-top:31.pt;mso-wrap-distance-right:0;mso-wrap-distance-bottom:169.20000000000002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13"/>
                          <w:i/>
                          <w:iCs/>
                        </w:rPr>
                        <w:t>q.3132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9420" distB="2118360" distL="0" distR="0" simplePos="0" relativeHeight="125829382" behindDoc="0" locked="0" layoutInCell="1" allowOverlap="1">
                <wp:simplePos x="0" y="0"/>
                <wp:positionH relativeFrom="page">
                  <wp:posOffset>4375785</wp:posOffset>
                </wp:positionH>
                <wp:positionV relativeFrom="paragraph">
                  <wp:posOffset>439420</wp:posOffset>
                </wp:positionV>
                <wp:extent cx="1764665" cy="2317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466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V Praze dne </w:t>
                            </w:r>
                            <w:r>
                              <w:rPr>
                                <w:rStyle w:val="CharStyle15"/>
                              </w:rPr>
                              <w:t>" 1 "03" 2022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4.55000000000001pt;margin-top:34.600000000000001pt;width:138.95000000000002pt;height:18.25pt;z-index:-125829371;mso-wrap-distance-left:0;mso-wrap-distance-top:34.600000000000001pt;mso-wrap-distance-right:0;mso-wrap-distance-bottom:166.8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rStyle w:val="CharStyle15"/>
                          <w:rFonts w:ascii="Arial" w:eastAsia="Arial" w:hAnsi="Arial" w:cs="Arial"/>
                          <w:sz w:val="19"/>
                          <w:szCs w:val="19"/>
                        </w:rPr>
                        <w:t xml:space="preserve">V Praze dne </w:t>
                      </w:r>
                      <w:r>
                        <w:rPr>
                          <w:rStyle w:val="CharStyle15"/>
                        </w:rPr>
                        <w:t>" 1 "03" 2022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33525" distB="810895" distL="0" distR="0" simplePos="0" relativeHeight="125829384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1533525</wp:posOffset>
                </wp:positionV>
                <wp:extent cx="1417320" cy="4451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732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0.100000000000009pt;margin-top:120.75pt;width:111.60000000000001pt;height:35.050000000000004pt;z-index:-125829369;mso-wrap-distance-left:0;mso-wrap-distance-top:120.75pt;mso-wrap-distance-right:0;mso-wrap-distance-bottom:63.8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MUDr. Hana Albrechtová ředitelka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960755" distB="1021080" distL="0" distR="222250" simplePos="0" relativeHeight="125829386" behindDoc="0" locked="0" layoutInCell="1" allowOverlap="1">
            <wp:simplePos x="0" y="0"/>
            <wp:positionH relativeFrom="page">
              <wp:posOffset>1873250</wp:posOffset>
            </wp:positionH>
            <wp:positionV relativeFrom="paragraph">
              <wp:posOffset>960755</wp:posOffset>
            </wp:positionV>
            <wp:extent cx="1475105" cy="810895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47510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2455545</wp:posOffset>
                </wp:positionH>
                <wp:positionV relativeFrom="paragraph">
                  <wp:posOffset>1746885</wp:posOffset>
                </wp:positionV>
                <wp:extent cx="1112520" cy="45402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color w:val="7ED1E8"/>
                                <w:sz w:val="19"/>
                                <w:szCs w:val="19"/>
                              </w:rPr>
                              <w:t xml:space="preserve">' - záchranná síužba </w:t>
                            </w:r>
                            <w:r>
                              <w:rPr>
                                <w:rStyle w:val="CharStyle19"/>
                                <w:color w:val="7ED1E8"/>
                              </w:rPr>
                              <w:t xml:space="preserve">avského kraje, p.o </w:t>
                            </w:r>
                            <w:r>
                              <w:rPr>
                                <w:rStyle w:val="CharStyle19"/>
                                <w:color w:val="7ED1E8"/>
                                <w:vertAlign w:val="superscript"/>
                              </w:rPr>
                              <w:t>798/1</w:t>
                            </w:r>
                            <w:r>
                              <w:rPr>
                                <w:rStyle w:val="CharStyle19"/>
                                <w:color w:val="7ED1E8"/>
                              </w:rPr>
                              <w:t xml:space="preserve"> 625 00 Brno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93.34999999999999pt;margin-top:137.55000000000001pt;width:87.600000000000009pt;height:35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color w:val="7ED1E8"/>
                          <w:sz w:val="19"/>
                          <w:szCs w:val="19"/>
                        </w:rPr>
                        <w:t xml:space="preserve">' - záchranná síužba </w:t>
                      </w:r>
                      <w:r>
                        <w:rPr>
                          <w:rStyle w:val="CharStyle19"/>
                          <w:color w:val="7ED1E8"/>
                        </w:rPr>
                        <w:t xml:space="preserve">avského kraje, p.o </w:t>
                      </w:r>
                      <w:r>
                        <w:rPr>
                          <w:rStyle w:val="CharStyle19"/>
                          <w:color w:val="7ED1E8"/>
                          <w:vertAlign w:val="superscript"/>
                        </w:rPr>
                        <w:t>798/1</w:t>
                      </w:r>
                      <w:r>
                        <w:rPr>
                          <w:rStyle w:val="CharStyle19"/>
                          <w:color w:val="7ED1E8"/>
                        </w:rPr>
                        <w:t xml:space="preserve"> 625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71195" distB="1316355" distL="21590" distR="0" simplePos="0" relativeHeight="125829387" behindDoc="0" locked="0" layoutInCell="1" allowOverlap="1">
            <wp:simplePos x="0" y="0"/>
            <wp:positionH relativeFrom="page">
              <wp:posOffset>4400550</wp:posOffset>
            </wp:positionH>
            <wp:positionV relativeFrom="paragraph">
              <wp:posOffset>671195</wp:posOffset>
            </wp:positionV>
            <wp:extent cx="1779905" cy="804545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779905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4378960</wp:posOffset>
                </wp:positionH>
                <wp:positionV relativeFrom="paragraph">
                  <wp:posOffset>1530985</wp:posOffset>
                </wp:positionV>
                <wp:extent cx="1273810" cy="44196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</w:rPr>
                              <w:t>Ing. Jindřich Petřík, MBA člen představenstva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  <w:sz w:val="19"/>
                                <w:szCs w:val="19"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44.80000000000001pt;margin-top:120.55pt;width:100.3pt;height:34.8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</w:rPr>
                        <w:t>Ing. Jindřich Petřík, MBA člen představenstva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9"/>
                          <w:b/>
                          <w:bCs/>
                          <w:sz w:val="19"/>
                          <w:szCs w:val="19"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134235" distB="0" distL="0" distR="0" simplePos="0" relativeHeight="125829388" behindDoc="0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2134235</wp:posOffset>
                </wp:positionV>
                <wp:extent cx="1380490" cy="65532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0490" cy="655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0" w:lineRule="atLeast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CharStyle24"/>
                                <w:b/>
                                <w:bCs/>
                              </w:rPr>
                              <w:t>Cheirón O</w:t>
                            </w:r>
                            <w:bookmarkEnd w:id="6"/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110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</w:rPr>
                              <w:t>dýcháme za Vás.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 xml:space="preserve">CHEIRÓN a s . Kukutova </w:t>
                            </w:r>
                            <w:r>
                              <w:rPr>
                                <w:rStyle w:val="CharStyle26"/>
                                <w:b/>
                                <w:bCs/>
                                <w:i/>
                                <w:iCs/>
                              </w:rPr>
                              <w:t>24</w:t>
                            </w:r>
                            <w:r>
                              <w:rPr>
                                <w:rStyle w:val="CharStyle26"/>
                              </w:rPr>
                              <w:t xml:space="preserve"> Břevnov 1S9 00P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Provozovna Republikánská 1102/45. 312 00 PL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Telefon: 377 590 411 Fax: 377 590 435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IČ: 27094987 DIČ: CZ2709498?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69.05000000000001pt;margin-top:168.05000000000001pt;width:108.7pt;height:51.600000000000001pt;z-index:-125829365;mso-wrap-distance-left:0;mso-wrap-distance-top:168.05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0" w:lineRule="atLeast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24"/>
                          <w:b/>
                          <w:bCs/>
                        </w:rPr>
                        <w:t>Cheirón O</w:t>
                      </w:r>
                      <w:bookmarkEnd w:id="6"/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110" w:lineRule="exact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</w:rPr>
                        <w:t>dýcháme za Vás.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 xml:space="preserve">CHEIRÓN a s . Kukutova </w:t>
                      </w:r>
                      <w:r>
                        <w:rPr>
                          <w:rStyle w:val="CharStyle26"/>
                          <w:b/>
                          <w:bCs/>
                          <w:i/>
                          <w:iCs/>
                        </w:rPr>
                        <w:t>24</w:t>
                      </w:r>
                      <w:r>
                        <w:rPr>
                          <w:rStyle w:val="CharStyle26"/>
                        </w:rPr>
                        <w:t xml:space="preserve"> Břevnov 1S9 00P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Provozovna Republikánská 1102/45. 312 00 PL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Telefon: 377 590 411 Fax: 377 590 435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IČ: 27094987 DIČ: CZ2709498?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00" w:right="0" w:firstLine="0"/>
        <w:jc w:val="left"/>
      </w:pPr>
      <w:r>
        <w:rPr>
          <w:rStyle w:val="CharStyle11"/>
        </w:rPr>
        <w:t>Vladěna Levíková vedoucí obch odd.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6" w:right="1305" w:bottom="1903" w:left="1561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4546600</wp:posOffset>
            </wp:positionH>
            <wp:positionV relativeFrom="paragraph">
              <wp:posOffset>0</wp:posOffset>
            </wp:positionV>
            <wp:extent cx="969010" cy="255905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969010" cy="2559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6" w:right="0" w:bottom="119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11"/>
        </w:rPr>
        <w:t>Příloha č. 1 Specifikace, ceník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6" w:right="1305" w:bottom="1196" w:left="1561" w:header="0" w:footer="3" w:gutter="0"/>
          <w:cols w:space="720"/>
          <w:noEndnote/>
          <w:rtlGutter w:val="0"/>
          <w:docGrid w:linePitch="360"/>
        </w:sectPr>
      </w:pPr>
      <w:r>
        <w:rPr>
          <w:rStyle w:val="CharStyle5"/>
        </w:rPr>
        <w:t>věcná správnost: Gabriela Vá)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304800</wp:posOffset>
                </wp:positionV>
                <wp:extent cx="734695" cy="149225"/>
                <wp:wrapSquare wrapText="bothSides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Položka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9.549999999999997pt;margin-top:24.pt;width:57.850000000000001pt;height:11.75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Položka č.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1422400</wp:posOffset>
                </wp:positionV>
                <wp:extent cx="746760" cy="152400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67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Položka č.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69.549999999999997pt;margin-top:112.pt;width:58.800000000000004pt;height:12.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Položka č.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1"/>
          <w:b/>
          <w:bCs/>
        </w:rPr>
        <w:t>Příloha č. 1 Specifikace, ceník</w:t>
      </w:r>
    </w:p>
    <w:tbl>
      <w:tblPr>
        <w:tblOverlap w:val="never"/>
        <w:jc w:val="left"/>
        <w:tblLayout w:type="fixed"/>
      </w:tblPr>
      <w:tblGrid>
        <w:gridCol w:w="5011"/>
        <w:gridCol w:w="3979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framePr w:w="8990" w:h="845" w:vSpace="437" w:wrap="notBeside" w:vAnchor="text" w:hAnchor="text" w:x="176" w:y="438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33"/>
                <w:b/>
                <w:bCs/>
              </w:rPr>
              <w:t>Ambu mini Perfit ACE- baleno jednotlivě Jednotková cena v Kč bez DPH: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framePr w:w="8990" w:h="845" w:vSpace="437" w:wrap="notBeside" w:vAnchor="text" w:hAnchor="text" w:x="176" w:y="438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33"/>
                <w:b/>
                <w:bCs/>
                <w:i/>
                <w:iCs/>
              </w:rPr>
              <w:t>79,13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framePr w:w="8990" w:h="845" w:vSpace="437" w:wrap="notBeside" w:vAnchor="text" w:hAnchor="text" w:x="176" w:y="4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b/>
                <w:bCs/>
              </w:rPr>
              <w:t>Jednotková cena v Kč vč.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framePr w:w="8990" w:h="845" w:vSpace="437" w:wrap="notBeside" w:vAnchor="text" w:hAnchor="text" w:x="176" w:y="438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rStyle w:val="CharStyle33"/>
                <w:b/>
                <w:bCs/>
                <w:i/>
                <w:iCs/>
              </w:rPr>
              <w:t>95,74</w:t>
            </w:r>
          </w:p>
        </w:tc>
      </w:tr>
    </w:tbl>
    <w:p>
      <w:pPr>
        <w:pStyle w:val="Style30"/>
        <w:keepNext w:val="0"/>
        <w:keepLines w:val="0"/>
        <w:framePr w:w="1906" w:h="250" w:hSpace="175" w:wrap="notBeside" w:vAnchor="text" w:hAnchor="text" w:x="151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b/>
          <w:bCs/>
        </w:rPr>
        <w:t>Krční límec pro děti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824"/>
        <w:gridCol w:w="4166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framePr w:w="8990" w:h="787" w:vSpace="374" w:wrap="notBeside" w:vAnchor="text" w:hAnchor="text" w:x="176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b/>
                <w:bCs/>
              </w:rPr>
              <w:t>Ambu Perfit ACE - baleno jednotlivě Jednotková cena v Kč bez DPH: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32"/>
              <w:keepNext w:val="0"/>
              <w:keepLines w:val="0"/>
              <w:framePr w:w="8990" w:h="787" w:vSpace="374" w:wrap="notBeside" w:vAnchor="text" w:hAnchor="text" w:x="176" w:y="375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33"/>
                <w:b/>
                <w:bCs/>
                <w:i/>
                <w:iCs/>
              </w:rPr>
              <w:t>79,13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framePr w:w="8990" w:h="787" w:vSpace="374" w:wrap="notBeside" w:vAnchor="text" w:hAnchor="text" w:x="176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3"/>
                <w:b/>
                <w:bCs/>
              </w:rPr>
              <w:t>Jednotková cena v Kč vč. DPH: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32"/>
              <w:keepNext w:val="0"/>
              <w:keepLines w:val="0"/>
              <w:framePr w:w="8990" w:h="787" w:vSpace="374" w:wrap="notBeside" w:vAnchor="text" w:hAnchor="text" w:x="176" w:y="375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rStyle w:val="CharStyle33"/>
                <w:b/>
                <w:bCs/>
                <w:i/>
                <w:iCs/>
              </w:rPr>
              <w:t>95,74</w:t>
            </w:r>
          </w:p>
        </w:tc>
      </w:tr>
    </w:tbl>
    <w:p>
      <w:pPr>
        <w:pStyle w:val="Style30"/>
        <w:keepNext w:val="0"/>
        <w:keepLines w:val="0"/>
        <w:framePr w:w="2299" w:h="250" w:hSpace="175" w:wrap="notBeside" w:vAnchor="text" w:hAnchor="text" w:x="150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b/>
          <w:bCs/>
        </w:rPr>
        <w:t>Krční límec pro dospělé</w:t>
      </w:r>
    </w:p>
    <w:p>
      <w:pPr>
        <w:widowControl w:val="0"/>
        <w:spacing w:line="1" w:lineRule="exact"/>
      </w:pPr>
    </w:p>
    <w:sectPr>
      <w:footerReference w:type="default" r:id="rId14"/>
      <w:footnotePr>
        <w:pos w:val="pageBottom"/>
        <w:numFmt w:val="decimal"/>
        <w:numRestart w:val="continuous"/>
      </w:footnotePr>
      <w:pgSz w:w="11900" w:h="16840"/>
      <w:pgMar w:top="781" w:right="1169" w:bottom="983" w:left="1391" w:header="35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1032510</wp:posOffset>
              </wp:positionH>
              <wp:positionV relativeFrom="page">
                <wp:posOffset>10047605</wp:posOffset>
              </wp:positionV>
              <wp:extent cx="2298065" cy="1035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9806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06 2022: Fixační krční límce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99999999999997pt;margin-top:791.14999999999998pt;width:180.95000000000002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06 2022: Fixační krční límce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10078720</wp:posOffset>
              </wp:positionV>
              <wp:extent cx="5675630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756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06_2022: Fixační krční límce</w:t>
                            <w:tab/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RS20220023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0.400000000000006pt;margin-top:793.60000000000002pt;width:446.90000000000003pt;height:8.4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06_2022: Fixační krční límce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RS20220023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1047750</wp:posOffset>
              </wp:positionH>
              <wp:positionV relativeFrom="page">
                <wp:posOffset>10057130</wp:posOffset>
              </wp:positionV>
              <wp:extent cx="2298065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9806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062022: Fixační krční límce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2.5pt;margin-top:791.89999999999998pt;width:180.95000000000002pt;height:8.4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062022: Fixační krční límce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10078720</wp:posOffset>
              </wp:positionV>
              <wp:extent cx="5675630" cy="1066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6756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9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06_2022: Fixační krční límce</w:t>
                            <w:tab/>
                          </w:r>
                          <w:r>
                            <w:rPr>
                              <w:rStyle w:val="CharStyle7"/>
                              <w:rFonts w:ascii="Arial" w:eastAsia="Arial" w:hAnsi="Arial" w:cs="Arial"/>
                              <w:i/>
                              <w:iCs/>
                              <w:sz w:val="15"/>
                              <w:szCs w:val="15"/>
                            </w:rPr>
                            <w:t>RS20220023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80.400000000000006pt;margin-top:793.60000000000002pt;width:446.90000000000003pt;height:8.40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06_2022: Fixační krční límce</w:t>
                      <w:tab/>
                    </w:r>
                    <w:r>
                      <w:rPr>
                        <w:rStyle w:val="CharStyle7"/>
                        <w:rFonts w:ascii="Arial" w:eastAsia="Arial" w:hAnsi="Arial" w:cs="Arial"/>
                        <w:i/>
                        <w:iCs/>
                        <w:sz w:val="15"/>
                        <w:szCs w:val="15"/>
                      </w:rPr>
                      <w:t>RS20220023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4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dpis #2_"/>
    <w:basedOn w:val="DefaultParagraphFont"/>
    <w:link w:val="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69AB"/>
      <w:sz w:val="32"/>
      <w:szCs w:val="32"/>
      <w:u w:val="none"/>
    </w:rPr>
  </w:style>
  <w:style w:type="character" w:customStyle="1" w:styleId="CharStyle15">
    <w:name w:val="Nadpis #3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Titulek obrázku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Nadpis #1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8AD2B4"/>
      <w:sz w:val="38"/>
      <w:szCs w:val="38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8AD2B4"/>
      <w:sz w:val="10"/>
      <w:szCs w:val="10"/>
      <w:u w:val="none"/>
    </w:rPr>
  </w:style>
  <w:style w:type="character" w:customStyle="1" w:styleId="CharStyle29">
    <w:name w:val="Nadpis #5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Titulek tabulky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3">
    <w:name w:val="Jiné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dpis #4"/>
    <w:basedOn w:val="Normal"/>
    <w:link w:val="CharStyle3"/>
    <w:pPr>
      <w:widowControl w:val="0"/>
      <w:shd w:val="clear" w:color="auto" w:fill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outlineLvl w:val="1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69AB"/>
      <w:sz w:val="32"/>
      <w:szCs w:val="32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jc w:val="center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Titulek obrázku"/>
    <w:basedOn w:val="Normal"/>
    <w:link w:val="CharStyle19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auto"/>
      <w:spacing w:line="110" w:lineRule="exact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8AD2B4"/>
      <w:sz w:val="38"/>
      <w:szCs w:val="38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auto"/>
      <w:spacing w:after="20" w:line="23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AD2B4"/>
      <w:sz w:val="10"/>
      <w:szCs w:val="10"/>
      <w:u w:val="none"/>
    </w:rPr>
  </w:style>
  <w:style w:type="paragraph" w:customStyle="1" w:styleId="Style28">
    <w:name w:val="Nadpis #5"/>
    <w:basedOn w:val="Normal"/>
    <w:link w:val="CharStyle29"/>
    <w:pPr>
      <w:widowControl w:val="0"/>
      <w:shd w:val="clear" w:color="auto" w:fill="auto"/>
      <w:spacing w:after="480" w:line="262" w:lineRule="auto"/>
      <w:ind w:left="2080" w:hanging="1320"/>
      <w:outlineLvl w:val="4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Titulek tabulky"/>
    <w:basedOn w:val="Normal"/>
    <w:link w:val="CharStyle3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2">
    <w:name w:val="Jiné"/>
    <w:basedOn w:val="Normal"/>
    <w:link w:val="CharStyle3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image" Target="media/image1.jpeg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2.pn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footer" Target="footer4.xml"/></Relationships>
</file>