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98" w:rsidRDefault="00637B09" w:rsidP="00637B09">
      <w:pPr>
        <w:spacing w:line="259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proofErr w:type="spellStart"/>
      <w:r w:rsidRPr="00637B09">
        <w:rPr>
          <w:rFonts w:ascii="Calibri" w:eastAsia="Calibri" w:hAnsi="Calibri" w:cs="Calibri"/>
          <w:b/>
          <w:sz w:val="32"/>
          <w:szCs w:val="32"/>
        </w:rPr>
        <w:t>Trojmezí</w:t>
      </w:r>
      <w:proofErr w:type="spellEnd"/>
    </w:p>
    <w:p w:rsidR="00637B09" w:rsidRPr="00637B09" w:rsidRDefault="00637B09" w:rsidP="00637B09">
      <w:pPr>
        <w:spacing w:line="259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C32C98" w:rsidRDefault="00C32C98" w:rsidP="00637B09">
      <w:pPr>
        <w:spacing w:line="259" w:lineRule="auto"/>
        <w:rPr>
          <w:rFonts w:ascii="Calibri" w:eastAsia="Calibri" w:hAnsi="Calibri" w:cs="Calibri"/>
          <w:b/>
        </w:rPr>
      </w:pPr>
    </w:p>
    <w:p w:rsidR="00C32C98" w:rsidRDefault="00637B09" w:rsidP="00637B09">
      <w:pPr>
        <w:spacing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proofErr w:type="spellStart"/>
      <w:r w:rsidRPr="00637B09">
        <w:rPr>
          <w:rFonts w:ascii="Calibri" w:eastAsia="Calibri" w:hAnsi="Calibri" w:cs="Calibri"/>
          <w:b/>
          <w:sz w:val="24"/>
          <w:szCs w:val="24"/>
        </w:rPr>
        <w:t>Popis</w:t>
      </w:r>
      <w:proofErr w:type="spellEnd"/>
      <w:r w:rsidRPr="00637B09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637B09">
        <w:rPr>
          <w:rFonts w:ascii="Calibri" w:eastAsia="Calibri" w:hAnsi="Calibri" w:cs="Calibri"/>
          <w:b/>
          <w:sz w:val="24"/>
          <w:szCs w:val="24"/>
        </w:rPr>
        <w:t>projektu</w:t>
      </w:r>
      <w:proofErr w:type="spellEnd"/>
      <w:r w:rsidRPr="00637B09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637B09">
        <w:rPr>
          <w:rFonts w:ascii="Calibri" w:eastAsia="Calibri" w:hAnsi="Calibri" w:cs="Calibri"/>
          <w:b/>
          <w:sz w:val="24"/>
          <w:szCs w:val="24"/>
        </w:rPr>
        <w:t>krajinářské</w:t>
      </w:r>
      <w:proofErr w:type="spellEnd"/>
      <w:r w:rsidRPr="00637B09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637B09">
        <w:rPr>
          <w:rFonts w:ascii="Calibri" w:eastAsia="Calibri" w:hAnsi="Calibri" w:cs="Calibri"/>
          <w:b/>
          <w:sz w:val="24"/>
          <w:szCs w:val="24"/>
        </w:rPr>
        <w:t>studie</w:t>
      </w:r>
      <w:proofErr w:type="spellEnd"/>
    </w:p>
    <w:p w:rsidR="00637B09" w:rsidRDefault="00637B09" w:rsidP="00637B09">
      <w:pPr>
        <w:spacing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37B09" w:rsidRDefault="00637B09" w:rsidP="00637B09">
      <w:pPr>
        <w:spacing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37B09" w:rsidRPr="00637B09" w:rsidRDefault="00637B09" w:rsidP="00637B09">
      <w:pPr>
        <w:spacing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32C98" w:rsidRDefault="00C32C98">
      <w:pPr>
        <w:spacing w:after="160" w:line="259" w:lineRule="auto"/>
        <w:rPr>
          <w:rFonts w:ascii="Calibri" w:eastAsia="Calibri" w:hAnsi="Calibri" w:cs="Calibri"/>
          <w:b/>
        </w:rPr>
      </w:pPr>
    </w:p>
    <w:p w:rsidR="00C32C98" w:rsidRPr="00637B09" w:rsidRDefault="00637B09">
      <w:pPr>
        <w:spacing w:after="160" w:line="259" w:lineRule="auto"/>
        <w:rPr>
          <w:rFonts w:asciiTheme="majorHAnsi" w:eastAsia="UnitPro-Light" w:hAnsiTheme="majorHAnsi" w:cstheme="majorHAnsi"/>
          <w:b/>
        </w:rPr>
      </w:pPr>
      <w:proofErr w:type="spellStart"/>
      <w:r w:rsidRPr="00637B09">
        <w:rPr>
          <w:rFonts w:asciiTheme="majorHAnsi" w:eastAsia="UnitPro-Light" w:hAnsiTheme="majorHAnsi" w:cstheme="majorHAnsi"/>
          <w:b/>
        </w:rPr>
        <w:t>Zadání</w:t>
      </w:r>
      <w:proofErr w:type="spellEnd"/>
      <w:r w:rsidRPr="00637B09">
        <w:rPr>
          <w:rFonts w:asciiTheme="majorHAnsi" w:eastAsia="UnitPro-Light" w:hAnsiTheme="majorHAnsi" w:cstheme="majorHAnsi"/>
          <w:b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  <w:b/>
        </w:rPr>
        <w:t>Krajinářské</w:t>
      </w:r>
      <w:proofErr w:type="spellEnd"/>
      <w:r w:rsidRPr="00637B09">
        <w:rPr>
          <w:rFonts w:asciiTheme="majorHAnsi" w:eastAsia="UnitPro-Light" w:hAnsiTheme="majorHAnsi" w:cstheme="majorHAnsi"/>
          <w:b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  <w:b/>
        </w:rPr>
        <w:t>studie</w:t>
      </w:r>
      <w:proofErr w:type="spellEnd"/>
      <w:r w:rsidRPr="00637B09">
        <w:rPr>
          <w:rFonts w:asciiTheme="majorHAnsi" w:eastAsia="UnitPro-Light" w:hAnsiTheme="majorHAnsi" w:cstheme="majorHAnsi"/>
          <w:b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  <w:b/>
        </w:rPr>
        <w:t>Trojmezí</w:t>
      </w:r>
      <w:proofErr w:type="spellEnd"/>
      <w:r w:rsidRPr="00637B09">
        <w:rPr>
          <w:rFonts w:asciiTheme="majorHAnsi" w:eastAsia="UnitPro-Light" w:hAnsiTheme="majorHAnsi" w:cstheme="majorHAnsi"/>
          <w:b/>
        </w:rPr>
        <w:t xml:space="preserve"> </w:t>
      </w:r>
    </w:p>
    <w:p w:rsidR="00C32C98" w:rsidRPr="00637B09" w:rsidRDefault="00637B09">
      <w:pPr>
        <w:spacing w:line="240" w:lineRule="auto"/>
        <w:rPr>
          <w:rFonts w:asciiTheme="majorHAnsi" w:eastAsia="UnitPro-Light" w:hAnsiTheme="majorHAnsi" w:cstheme="majorHAnsi"/>
        </w:rPr>
      </w:pPr>
      <w:proofErr w:type="spellStart"/>
      <w:r w:rsidRPr="00637B09">
        <w:rPr>
          <w:rFonts w:asciiTheme="majorHAnsi" w:eastAsia="UnitPro-Light" w:hAnsiTheme="majorHAnsi" w:cstheme="majorHAnsi"/>
        </w:rPr>
        <w:t>Studie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je </w:t>
      </w:r>
      <w:proofErr w:type="spellStart"/>
      <w:r w:rsidRPr="00637B09">
        <w:rPr>
          <w:rFonts w:asciiTheme="majorHAnsi" w:eastAsia="UnitPro-Light" w:hAnsiTheme="majorHAnsi" w:cstheme="majorHAnsi"/>
        </w:rPr>
        <w:t>zadávána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proofErr w:type="gramStart"/>
      <w:r w:rsidRPr="00637B09">
        <w:rPr>
          <w:rFonts w:asciiTheme="majorHAnsi" w:eastAsia="UnitPro-Light" w:hAnsiTheme="majorHAnsi" w:cstheme="majorHAnsi"/>
        </w:rPr>
        <w:t>na</w:t>
      </w:r>
      <w:proofErr w:type="spellEnd"/>
      <w:proofErr w:type="gram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základě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usnesení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RHMP č. </w:t>
      </w:r>
      <w:proofErr w:type="spellStart"/>
      <w:r w:rsidRPr="00637B09">
        <w:rPr>
          <w:rFonts w:asciiTheme="majorHAnsi" w:eastAsia="UnitPro-Light" w:hAnsiTheme="majorHAnsi" w:cstheme="majorHAnsi"/>
        </w:rPr>
        <w:t>číslo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828 </w:t>
      </w:r>
      <w:proofErr w:type="spellStart"/>
      <w:r w:rsidRPr="00637B09">
        <w:rPr>
          <w:rFonts w:asciiTheme="majorHAnsi" w:eastAsia="UnitPro-Light" w:hAnsiTheme="majorHAnsi" w:cstheme="majorHAnsi"/>
        </w:rPr>
        <w:t>ze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dne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19.4.2021 k </w:t>
      </w:r>
      <w:proofErr w:type="spellStart"/>
      <w:r w:rsidRPr="00637B09">
        <w:rPr>
          <w:rFonts w:asciiTheme="majorHAnsi" w:eastAsia="UnitPro-Light" w:hAnsiTheme="majorHAnsi" w:cstheme="majorHAnsi"/>
        </w:rPr>
        <w:t>návrhu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znění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Memoranda o </w:t>
      </w:r>
      <w:proofErr w:type="spellStart"/>
      <w:r w:rsidRPr="00637B09">
        <w:rPr>
          <w:rFonts w:asciiTheme="majorHAnsi" w:eastAsia="UnitPro-Light" w:hAnsiTheme="majorHAnsi" w:cstheme="majorHAnsi"/>
        </w:rPr>
        <w:t>společném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postupu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při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využití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území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"</w:t>
      </w:r>
      <w:proofErr w:type="spellStart"/>
      <w:r w:rsidRPr="00637B09">
        <w:rPr>
          <w:rFonts w:asciiTheme="majorHAnsi" w:eastAsia="UnitPro-Light" w:hAnsiTheme="majorHAnsi" w:cstheme="majorHAnsi"/>
        </w:rPr>
        <w:t>Trojmezí</w:t>
      </w:r>
      <w:proofErr w:type="spellEnd"/>
      <w:r w:rsidRPr="00637B09">
        <w:rPr>
          <w:rFonts w:asciiTheme="majorHAnsi" w:eastAsia="UnitPro-Light" w:hAnsiTheme="majorHAnsi" w:cstheme="majorHAnsi"/>
        </w:rPr>
        <w:t>". V </w:t>
      </w:r>
      <w:proofErr w:type="spellStart"/>
      <w:r w:rsidRPr="00637B09">
        <w:rPr>
          <w:rFonts w:asciiTheme="majorHAnsi" w:eastAsia="UnitPro-Light" w:hAnsiTheme="majorHAnsi" w:cstheme="majorHAnsi"/>
        </w:rPr>
        <w:t>memorandu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se </w:t>
      </w:r>
      <w:proofErr w:type="spellStart"/>
      <w:r w:rsidRPr="00637B09">
        <w:rPr>
          <w:rFonts w:asciiTheme="majorHAnsi" w:eastAsia="UnitPro-Light" w:hAnsiTheme="majorHAnsi" w:cstheme="majorHAnsi"/>
        </w:rPr>
        <w:t>uvádí</w:t>
      </w:r>
      <w:proofErr w:type="spellEnd"/>
      <w:r w:rsidRPr="00637B09">
        <w:rPr>
          <w:rFonts w:asciiTheme="majorHAnsi" w:eastAsia="UnitPro-Light" w:hAnsiTheme="majorHAnsi" w:cstheme="majorHAnsi"/>
        </w:rPr>
        <w:t>:</w:t>
      </w:r>
      <w:r w:rsidRPr="00637B09">
        <w:rPr>
          <w:rFonts w:asciiTheme="majorHAnsi" w:eastAsia="Arial-ItalicMT" w:hAnsiTheme="majorHAnsi" w:cstheme="majorHAnsi"/>
          <w:i/>
        </w:rPr>
        <w:t xml:space="preserve"> </w:t>
      </w:r>
      <w:r w:rsidRPr="00637B09">
        <w:rPr>
          <w:rFonts w:asciiTheme="majorHAnsi" w:eastAsia="Arial-ItalicMT" w:hAnsiTheme="majorHAnsi" w:cstheme="majorHAnsi"/>
          <w:i/>
          <w:noProof/>
          <w:lang w:val="cs-CZ"/>
        </w:rPr>
        <w:drawing>
          <wp:inline distT="0" distB="0" distL="0" distR="0">
            <wp:extent cx="4480192" cy="97280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0192" cy="972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2C98" w:rsidRPr="00637B09" w:rsidRDefault="00637B09">
      <w:pPr>
        <w:spacing w:line="259" w:lineRule="auto"/>
        <w:jc w:val="both"/>
        <w:rPr>
          <w:rFonts w:asciiTheme="majorHAnsi" w:eastAsia="UnitPro-Light" w:hAnsiTheme="majorHAnsi" w:cstheme="majorHAnsi"/>
        </w:rPr>
      </w:pPr>
      <w:r w:rsidRPr="00637B09">
        <w:rPr>
          <w:rFonts w:asciiTheme="majorHAnsi" w:eastAsia="UnitPro-Light" w:hAnsiTheme="majorHAnsi" w:cstheme="majorHAnsi"/>
        </w:rPr>
        <w:t xml:space="preserve">Tato </w:t>
      </w:r>
      <w:proofErr w:type="spellStart"/>
      <w:r w:rsidRPr="00637B09">
        <w:rPr>
          <w:rFonts w:asciiTheme="majorHAnsi" w:eastAsia="UnitPro-Light" w:hAnsiTheme="majorHAnsi" w:cstheme="majorHAnsi"/>
        </w:rPr>
        <w:t>studie</w:t>
      </w:r>
      <w:proofErr w:type="spellEnd"/>
      <w:r w:rsidR="006312C7">
        <w:rPr>
          <w:rFonts w:asciiTheme="majorHAnsi" w:eastAsia="UnitPro-Light" w:hAnsiTheme="majorHAnsi" w:cstheme="majorHAnsi"/>
        </w:rPr>
        <w:t xml:space="preserve"> je</w:t>
      </w:r>
      <w:bookmarkStart w:id="0" w:name="_GoBack"/>
      <w:bookmarkEnd w:id="0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naplněním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návazného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kroku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- </w:t>
      </w:r>
      <w:proofErr w:type="spellStart"/>
      <w:r w:rsidRPr="00637B09">
        <w:rPr>
          <w:rFonts w:asciiTheme="majorHAnsi" w:eastAsia="UnitPro-Light" w:hAnsiTheme="majorHAnsi" w:cstheme="majorHAnsi"/>
        </w:rPr>
        <w:t>krajinářské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studie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Trojmezí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. </w:t>
      </w:r>
      <w:proofErr w:type="spellStart"/>
      <w:r w:rsidRPr="00637B09">
        <w:rPr>
          <w:rFonts w:asciiTheme="majorHAnsi" w:eastAsia="UnitPro-Light" w:hAnsiTheme="majorHAnsi" w:cstheme="majorHAnsi"/>
        </w:rPr>
        <w:t>Studie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bude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rozdělena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do </w:t>
      </w:r>
      <w:proofErr w:type="spellStart"/>
      <w:r w:rsidRPr="00637B09">
        <w:rPr>
          <w:rFonts w:asciiTheme="majorHAnsi" w:eastAsia="UnitPro-Light" w:hAnsiTheme="majorHAnsi" w:cstheme="majorHAnsi"/>
        </w:rPr>
        <w:t>dvou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proofErr w:type="gramStart"/>
      <w:r w:rsidRPr="00637B09">
        <w:rPr>
          <w:rFonts w:asciiTheme="majorHAnsi" w:eastAsia="UnitPro-Light" w:hAnsiTheme="majorHAnsi" w:cstheme="majorHAnsi"/>
        </w:rPr>
        <w:t>na</w:t>
      </w:r>
      <w:proofErr w:type="spellEnd"/>
      <w:proofErr w:type="gram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sebe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navazujících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fází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: </w:t>
      </w:r>
      <w:proofErr w:type="spellStart"/>
      <w:r w:rsidRPr="00637B09">
        <w:rPr>
          <w:rFonts w:asciiTheme="majorHAnsi" w:eastAsia="UnitPro-Light" w:hAnsiTheme="majorHAnsi" w:cstheme="majorHAnsi"/>
        </w:rPr>
        <w:t>analytické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a </w:t>
      </w:r>
      <w:proofErr w:type="spellStart"/>
      <w:r w:rsidRPr="00637B09">
        <w:rPr>
          <w:rFonts w:asciiTheme="majorHAnsi" w:eastAsia="UnitPro-Light" w:hAnsiTheme="majorHAnsi" w:cstheme="majorHAnsi"/>
        </w:rPr>
        <w:t>návrhové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. </w:t>
      </w:r>
      <w:proofErr w:type="spellStart"/>
      <w:r w:rsidRPr="00637B09">
        <w:rPr>
          <w:rFonts w:asciiTheme="majorHAnsi" w:eastAsia="UnitPro-Light" w:hAnsiTheme="majorHAnsi" w:cstheme="majorHAnsi"/>
        </w:rPr>
        <w:t>Zpracování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obou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fází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bude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rozloženo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do </w:t>
      </w:r>
      <w:proofErr w:type="spellStart"/>
      <w:r w:rsidRPr="00637B09">
        <w:rPr>
          <w:rFonts w:asciiTheme="majorHAnsi" w:eastAsia="UnitPro-Light" w:hAnsiTheme="majorHAnsi" w:cstheme="majorHAnsi"/>
        </w:rPr>
        <w:t>dvou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let. </w:t>
      </w:r>
      <w:proofErr w:type="spellStart"/>
      <w:r w:rsidRPr="00637B09">
        <w:rPr>
          <w:rFonts w:asciiTheme="majorHAnsi" w:eastAsia="UnitPro-Light" w:hAnsiTheme="majorHAnsi" w:cstheme="majorHAnsi"/>
        </w:rPr>
        <w:t>Součástí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zpracování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studie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bude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participační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proces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v </w:t>
      </w:r>
      <w:proofErr w:type="spellStart"/>
      <w:r w:rsidRPr="00637B09">
        <w:rPr>
          <w:rFonts w:asciiTheme="majorHAnsi" w:eastAsia="UnitPro-Light" w:hAnsiTheme="majorHAnsi" w:cstheme="majorHAnsi"/>
        </w:rPr>
        <w:t>průběhu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obou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fází</w:t>
      </w:r>
      <w:proofErr w:type="spellEnd"/>
      <w:r w:rsidRPr="00637B09">
        <w:rPr>
          <w:rFonts w:asciiTheme="majorHAnsi" w:eastAsia="UnitPro-Light" w:hAnsiTheme="majorHAnsi" w:cstheme="majorHAnsi"/>
        </w:rPr>
        <w:t>.</w:t>
      </w:r>
    </w:p>
    <w:p w:rsidR="00C32C98" w:rsidRPr="00637B09" w:rsidRDefault="00C32C98">
      <w:pPr>
        <w:spacing w:line="259" w:lineRule="auto"/>
        <w:jc w:val="both"/>
        <w:rPr>
          <w:rFonts w:asciiTheme="majorHAnsi" w:eastAsia="UnitPro-Light" w:hAnsiTheme="majorHAnsi" w:cstheme="majorHAnsi"/>
        </w:rPr>
      </w:pPr>
    </w:p>
    <w:p w:rsidR="00C32C98" w:rsidRPr="00637B09" w:rsidRDefault="00637B09">
      <w:pPr>
        <w:spacing w:line="259" w:lineRule="auto"/>
        <w:jc w:val="both"/>
        <w:rPr>
          <w:rFonts w:asciiTheme="majorHAnsi" w:eastAsia="UnitPro-Light" w:hAnsiTheme="majorHAnsi" w:cstheme="majorHAnsi"/>
          <w:b/>
        </w:rPr>
      </w:pPr>
      <w:proofErr w:type="spellStart"/>
      <w:r w:rsidRPr="00637B09">
        <w:rPr>
          <w:rFonts w:asciiTheme="majorHAnsi" w:eastAsia="UnitPro-Light" w:hAnsiTheme="majorHAnsi" w:cstheme="majorHAnsi"/>
          <w:b/>
        </w:rPr>
        <w:t>Analytická</w:t>
      </w:r>
      <w:proofErr w:type="spellEnd"/>
      <w:r w:rsidRPr="00637B09">
        <w:rPr>
          <w:rFonts w:asciiTheme="majorHAnsi" w:eastAsia="UnitPro-Light" w:hAnsiTheme="majorHAnsi" w:cstheme="majorHAnsi"/>
          <w:b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  <w:b/>
        </w:rPr>
        <w:t>část</w:t>
      </w:r>
      <w:proofErr w:type="spellEnd"/>
    </w:p>
    <w:p w:rsidR="00C32C98" w:rsidRPr="00637B09" w:rsidRDefault="00637B09">
      <w:pPr>
        <w:spacing w:line="259" w:lineRule="auto"/>
        <w:jc w:val="both"/>
        <w:rPr>
          <w:rFonts w:asciiTheme="majorHAnsi" w:eastAsia="UnitPro-Light" w:hAnsiTheme="majorHAnsi" w:cstheme="majorHAnsi"/>
        </w:rPr>
      </w:pPr>
      <w:r w:rsidRPr="00637B09">
        <w:rPr>
          <w:rFonts w:asciiTheme="majorHAnsi" w:eastAsia="UnitPro-Light" w:hAnsiTheme="majorHAnsi" w:cstheme="majorHAnsi"/>
        </w:rPr>
        <w:t>V </w:t>
      </w:r>
      <w:proofErr w:type="spellStart"/>
      <w:r w:rsidRPr="00637B09">
        <w:rPr>
          <w:rFonts w:asciiTheme="majorHAnsi" w:eastAsia="UnitPro-Light" w:hAnsiTheme="majorHAnsi" w:cstheme="majorHAnsi"/>
        </w:rPr>
        <w:t>analytické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části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budou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zmapovány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hodnotné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přírodní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prvky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v </w:t>
      </w:r>
      <w:proofErr w:type="spellStart"/>
      <w:r w:rsidRPr="00637B09">
        <w:rPr>
          <w:rFonts w:asciiTheme="majorHAnsi" w:eastAsia="UnitPro-Light" w:hAnsiTheme="majorHAnsi" w:cstheme="majorHAnsi"/>
        </w:rPr>
        <w:t>území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, </w:t>
      </w:r>
      <w:proofErr w:type="spellStart"/>
      <w:r w:rsidRPr="00637B09">
        <w:rPr>
          <w:rFonts w:asciiTheme="majorHAnsi" w:eastAsia="UnitPro-Light" w:hAnsiTheme="majorHAnsi" w:cstheme="majorHAnsi"/>
        </w:rPr>
        <w:t>inženýrko-geologické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, </w:t>
      </w:r>
      <w:proofErr w:type="spellStart"/>
      <w:r w:rsidRPr="00637B09">
        <w:rPr>
          <w:rFonts w:asciiTheme="majorHAnsi" w:eastAsia="UnitPro-Light" w:hAnsiTheme="majorHAnsi" w:cstheme="majorHAnsi"/>
        </w:rPr>
        <w:t>hydrogeologické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a </w:t>
      </w:r>
      <w:proofErr w:type="spellStart"/>
      <w:r w:rsidRPr="00637B09">
        <w:rPr>
          <w:rFonts w:asciiTheme="majorHAnsi" w:eastAsia="UnitPro-Light" w:hAnsiTheme="majorHAnsi" w:cstheme="majorHAnsi"/>
        </w:rPr>
        <w:t>pedologické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poměry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, </w:t>
      </w:r>
      <w:proofErr w:type="spellStart"/>
      <w:r w:rsidRPr="00637B09">
        <w:rPr>
          <w:rFonts w:asciiTheme="majorHAnsi" w:eastAsia="UnitPro-Light" w:hAnsiTheme="majorHAnsi" w:cstheme="majorHAnsi"/>
        </w:rPr>
        <w:t>vedení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historických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cest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a </w:t>
      </w:r>
      <w:proofErr w:type="spellStart"/>
      <w:r w:rsidRPr="00637B09">
        <w:rPr>
          <w:rFonts w:asciiTheme="majorHAnsi" w:eastAsia="UnitPro-Light" w:hAnsiTheme="majorHAnsi" w:cstheme="majorHAnsi"/>
        </w:rPr>
        <w:t>propojení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, </w:t>
      </w:r>
      <w:proofErr w:type="spellStart"/>
      <w:r w:rsidRPr="00637B09">
        <w:rPr>
          <w:rFonts w:asciiTheme="majorHAnsi" w:eastAsia="UnitPro-Light" w:hAnsiTheme="majorHAnsi" w:cstheme="majorHAnsi"/>
        </w:rPr>
        <w:t>bude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analyzováno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dosavadní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využití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pro </w:t>
      </w:r>
      <w:proofErr w:type="spellStart"/>
      <w:r w:rsidRPr="00637B09">
        <w:rPr>
          <w:rFonts w:asciiTheme="majorHAnsi" w:eastAsia="UnitPro-Light" w:hAnsiTheme="majorHAnsi" w:cstheme="majorHAnsi"/>
        </w:rPr>
        <w:t>zemědělskou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činnost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, </w:t>
      </w:r>
      <w:proofErr w:type="spellStart"/>
      <w:r w:rsidRPr="00637B09">
        <w:rPr>
          <w:rFonts w:asciiTheme="majorHAnsi" w:eastAsia="UnitPro-Light" w:hAnsiTheme="majorHAnsi" w:cstheme="majorHAnsi"/>
        </w:rPr>
        <w:t>rozložení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ploch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a </w:t>
      </w:r>
      <w:proofErr w:type="spellStart"/>
      <w:r w:rsidRPr="00637B09">
        <w:rPr>
          <w:rFonts w:asciiTheme="majorHAnsi" w:eastAsia="UnitPro-Light" w:hAnsiTheme="majorHAnsi" w:cstheme="majorHAnsi"/>
        </w:rPr>
        <w:t>majetkoprávní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vztahy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vše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s </w:t>
      </w:r>
      <w:proofErr w:type="spellStart"/>
      <w:r w:rsidRPr="00637B09">
        <w:rPr>
          <w:rFonts w:asciiTheme="majorHAnsi" w:eastAsia="UnitPro-Light" w:hAnsiTheme="majorHAnsi" w:cstheme="majorHAnsi"/>
        </w:rPr>
        <w:t>využitím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podkladových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materiálů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IPR. </w:t>
      </w:r>
    </w:p>
    <w:p w:rsidR="00C32C98" w:rsidRPr="00637B09" w:rsidRDefault="00637B09">
      <w:pPr>
        <w:spacing w:line="259" w:lineRule="auto"/>
        <w:jc w:val="both"/>
        <w:rPr>
          <w:rFonts w:asciiTheme="majorHAnsi" w:eastAsia="UnitPro-Light" w:hAnsiTheme="majorHAnsi" w:cstheme="majorHAnsi"/>
        </w:rPr>
      </w:pPr>
      <w:r w:rsidRPr="00637B09">
        <w:rPr>
          <w:rFonts w:asciiTheme="majorHAnsi" w:eastAsia="UnitPro-Light" w:hAnsiTheme="majorHAnsi" w:cstheme="majorHAnsi"/>
        </w:rPr>
        <w:t>V </w:t>
      </w:r>
      <w:proofErr w:type="spellStart"/>
      <w:r w:rsidRPr="00637B09">
        <w:rPr>
          <w:rFonts w:asciiTheme="majorHAnsi" w:eastAsia="UnitPro-Light" w:hAnsiTheme="majorHAnsi" w:cstheme="majorHAnsi"/>
        </w:rPr>
        <w:t>analytické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části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budou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definovány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stávající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plochy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a </w:t>
      </w:r>
      <w:proofErr w:type="spellStart"/>
      <w:r w:rsidRPr="00637B09">
        <w:rPr>
          <w:rFonts w:asciiTheme="majorHAnsi" w:eastAsia="UnitPro-Light" w:hAnsiTheme="majorHAnsi" w:cstheme="majorHAnsi"/>
        </w:rPr>
        <w:t>prvky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technické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infrastruktury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a z </w:t>
      </w:r>
      <w:proofErr w:type="spellStart"/>
      <w:r w:rsidRPr="00637B09">
        <w:rPr>
          <w:rFonts w:asciiTheme="majorHAnsi" w:eastAsia="UnitPro-Light" w:hAnsiTheme="majorHAnsi" w:cstheme="majorHAnsi"/>
        </w:rPr>
        <w:t>nich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plynoucí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limity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území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. Pro </w:t>
      </w:r>
      <w:proofErr w:type="spellStart"/>
      <w:r w:rsidRPr="00637B09">
        <w:rPr>
          <w:rFonts w:asciiTheme="majorHAnsi" w:eastAsia="UnitPro-Light" w:hAnsiTheme="majorHAnsi" w:cstheme="majorHAnsi"/>
        </w:rPr>
        <w:t>analýzy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budou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využity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stávající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materiály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IPR (</w:t>
      </w:r>
      <w:proofErr w:type="spellStart"/>
      <w:r w:rsidRPr="00637B09">
        <w:rPr>
          <w:rFonts w:asciiTheme="majorHAnsi" w:eastAsia="UnitPro-Light" w:hAnsiTheme="majorHAnsi" w:cstheme="majorHAnsi"/>
        </w:rPr>
        <w:t>Územně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analytické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podklady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, </w:t>
      </w:r>
      <w:proofErr w:type="spellStart"/>
      <w:r w:rsidRPr="00637B09">
        <w:rPr>
          <w:rFonts w:asciiTheme="majorHAnsi" w:eastAsia="UnitPro-Light" w:hAnsiTheme="majorHAnsi" w:cstheme="majorHAnsi"/>
        </w:rPr>
        <w:t>současný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stav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využití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území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, </w:t>
      </w:r>
      <w:proofErr w:type="spellStart"/>
      <w:r w:rsidRPr="00637B09">
        <w:rPr>
          <w:rFonts w:asciiTheme="majorHAnsi" w:eastAsia="UnitPro-Light" w:hAnsiTheme="majorHAnsi" w:cstheme="majorHAnsi"/>
        </w:rPr>
        <w:t>inženýrsko-geologické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mapy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aj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.) </w:t>
      </w:r>
      <w:proofErr w:type="spellStart"/>
      <w:r w:rsidRPr="00637B09">
        <w:rPr>
          <w:rFonts w:asciiTheme="majorHAnsi" w:eastAsia="UnitPro-Light" w:hAnsiTheme="majorHAnsi" w:cstheme="majorHAnsi"/>
        </w:rPr>
        <w:t>doplněné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o </w:t>
      </w:r>
      <w:proofErr w:type="spellStart"/>
      <w:r w:rsidRPr="00637B09">
        <w:rPr>
          <w:rFonts w:asciiTheme="majorHAnsi" w:eastAsia="UnitPro-Light" w:hAnsiTheme="majorHAnsi" w:cstheme="majorHAnsi"/>
        </w:rPr>
        <w:t>další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průzkumy</w:t>
      </w:r>
      <w:proofErr w:type="spellEnd"/>
      <w:r w:rsidRPr="00637B09">
        <w:rPr>
          <w:rFonts w:asciiTheme="majorHAnsi" w:eastAsia="UnitPro-Light" w:hAnsiTheme="majorHAnsi" w:cstheme="majorHAnsi"/>
        </w:rPr>
        <w:t>. V </w:t>
      </w:r>
      <w:proofErr w:type="spellStart"/>
      <w:r w:rsidRPr="00637B09">
        <w:rPr>
          <w:rFonts w:asciiTheme="majorHAnsi" w:eastAsia="UnitPro-Light" w:hAnsiTheme="majorHAnsi" w:cstheme="majorHAnsi"/>
        </w:rPr>
        <w:t>rámci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analytické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části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dojde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ke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zmapování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a </w:t>
      </w:r>
      <w:proofErr w:type="spellStart"/>
      <w:r w:rsidRPr="00637B09">
        <w:rPr>
          <w:rFonts w:asciiTheme="majorHAnsi" w:eastAsia="UnitPro-Light" w:hAnsiTheme="majorHAnsi" w:cstheme="majorHAnsi"/>
        </w:rPr>
        <w:t>zhodnocení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stávajících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prvků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zelené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infrastruktury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(ZI), </w:t>
      </w:r>
      <w:proofErr w:type="spellStart"/>
      <w:r w:rsidRPr="00637B09">
        <w:rPr>
          <w:rFonts w:asciiTheme="majorHAnsi" w:eastAsia="UnitPro-Light" w:hAnsiTheme="majorHAnsi" w:cstheme="majorHAnsi"/>
        </w:rPr>
        <w:t>včetně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biotopů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v </w:t>
      </w:r>
      <w:proofErr w:type="spellStart"/>
      <w:r w:rsidRPr="00637B09">
        <w:rPr>
          <w:rFonts w:asciiTheme="majorHAnsi" w:eastAsia="UnitPro-Light" w:hAnsiTheme="majorHAnsi" w:cstheme="majorHAnsi"/>
        </w:rPr>
        <w:t>území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pomocí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biologického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průzkumu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. </w:t>
      </w:r>
    </w:p>
    <w:p w:rsidR="00C32C98" w:rsidRPr="00637B09" w:rsidRDefault="00637B09">
      <w:pPr>
        <w:spacing w:line="259" w:lineRule="auto"/>
        <w:jc w:val="both"/>
        <w:rPr>
          <w:rFonts w:asciiTheme="majorHAnsi" w:eastAsia="UnitPro-Light" w:hAnsiTheme="majorHAnsi" w:cstheme="majorHAnsi"/>
        </w:rPr>
      </w:pPr>
      <w:r w:rsidRPr="00637B09">
        <w:rPr>
          <w:rFonts w:asciiTheme="majorHAnsi" w:eastAsia="UnitPro-Light" w:hAnsiTheme="majorHAnsi" w:cstheme="majorHAnsi"/>
        </w:rPr>
        <w:t xml:space="preserve">Pro </w:t>
      </w:r>
      <w:proofErr w:type="spellStart"/>
      <w:r w:rsidRPr="00637B09">
        <w:rPr>
          <w:rFonts w:asciiTheme="majorHAnsi" w:eastAsia="UnitPro-Light" w:hAnsiTheme="majorHAnsi" w:cstheme="majorHAnsi"/>
        </w:rPr>
        <w:t>doplnění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analytické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části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Krajinářské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studie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Trojmezí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bude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pořízen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biologický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průzkum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a </w:t>
      </w:r>
      <w:proofErr w:type="spellStart"/>
      <w:r w:rsidRPr="00637B09">
        <w:rPr>
          <w:rFonts w:asciiTheme="majorHAnsi" w:eastAsia="UnitPro-Light" w:hAnsiTheme="majorHAnsi" w:cstheme="majorHAnsi"/>
        </w:rPr>
        <w:t>sociologický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průzkum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včetně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participace</w:t>
      </w:r>
      <w:proofErr w:type="spellEnd"/>
      <w:r w:rsidRPr="00637B09">
        <w:rPr>
          <w:rFonts w:asciiTheme="majorHAnsi" w:eastAsia="UnitPro-Light" w:hAnsiTheme="majorHAnsi" w:cstheme="majorHAnsi"/>
        </w:rPr>
        <w:t>.</w:t>
      </w:r>
    </w:p>
    <w:p w:rsidR="00C32C98" w:rsidRPr="00637B09" w:rsidRDefault="00C32C98">
      <w:pPr>
        <w:spacing w:line="259" w:lineRule="auto"/>
        <w:jc w:val="both"/>
        <w:rPr>
          <w:rFonts w:asciiTheme="majorHAnsi" w:eastAsia="UnitPro-Light" w:hAnsiTheme="majorHAnsi" w:cstheme="majorHAnsi"/>
        </w:rPr>
      </w:pPr>
    </w:p>
    <w:p w:rsidR="00C32C98" w:rsidRPr="00637B09" w:rsidRDefault="00C32C98">
      <w:pPr>
        <w:spacing w:line="259" w:lineRule="auto"/>
        <w:jc w:val="both"/>
        <w:rPr>
          <w:rFonts w:asciiTheme="majorHAnsi" w:eastAsia="UnitPro-Light" w:hAnsiTheme="majorHAnsi" w:cstheme="majorHAnsi"/>
        </w:rPr>
      </w:pPr>
    </w:p>
    <w:p w:rsidR="00C32C98" w:rsidRPr="00637B09" w:rsidRDefault="00637B09">
      <w:pPr>
        <w:spacing w:line="259" w:lineRule="auto"/>
        <w:jc w:val="both"/>
        <w:rPr>
          <w:rFonts w:asciiTheme="majorHAnsi" w:eastAsia="UnitPro-Light" w:hAnsiTheme="majorHAnsi" w:cstheme="majorHAnsi"/>
          <w:b/>
        </w:rPr>
      </w:pPr>
      <w:proofErr w:type="spellStart"/>
      <w:r w:rsidRPr="00637B09">
        <w:rPr>
          <w:rFonts w:asciiTheme="majorHAnsi" w:eastAsia="UnitPro-Light" w:hAnsiTheme="majorHAnsi" w:cstheme="majorHAnsi"/>
          <w:b/>
        </w:rPr>
        <w:t>Návrhová</w:t>
      </w:r>
      <w:proofErr w:type="spellEnd"/>
      <w:r w:rsidRPr="00637B09">
        <w:rPr>
          <w:rFonts w:asciiTheme="majorHAnsi" w:eastAsia="UnitPro-Light" w:hAnsiTheme="majorHAnsi" w:cstheme="majorHAnsi"/>
          <w:b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  <w:b/>
        </w:rPr>
        <w:t>část</w:t>
      </w:r>
      <w:proofErr w:type="spellEnd"/>
    </w:p>
    <w:p w:rsidR="00C32C98" w:rsidRPr="00637B09" w:rsidRDefault="00637B09">
      <w:pPr>
        <w:spacing w:line="259" w:lineRule="auto"/>
        <w:jc w:val="both"/>
        <w:rPr>
          <w:rFonts w:asciiTheme="majorHAnsi" w:eastAsia="UnitPro-Light" w:hAnsiTheme="majorHAnsi" w:cstheme="majorHAnsi"/>
        </w:rPr>
      </w:pPr>
      <w:proofErr w:type="spellStart"/>
      <w:r w:rsidRPr="00637B09">
        <w:rPr>
          <w:rFonts w:asciiTheme="majorHAnsi" w:eastAsia="UnitPro-Light" w:hAnsiTheme="majorHAnsi" w:cstheme="majorHAnsi"/>
        </w:rPr>
        <w:t>Návrhová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část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studie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bude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řešit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především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současný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a </w:t>
      </w:r>
      <w:proofErr w:type="spellStart"/>
      <w:r w:rsidRPr="00637B09">
        <w:rPr>
          <w:rFonts w:asciiTheme="majorHAnsi" w:eastAsia="UnitPro-Light" w:hAnsiTheme="majorHAnsi" w:cstheme="majorHAnsi"/>
        </w:rPr>
        <w:t>budoucí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potenciál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území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pro </w:t>
      </w:r>
      <w:proofErr w:type="spellStart"/>
      <w:r w:rsidRPr="00637B09">
        <w:rPr>
          <w:rFonts w:asciiTheme="majorHAnsi" w:eastAsia="UnitPro-Light" w:hAnsiTheme="majorHAnsi" w:cstheme="majorHAnsi"/>
        </w:rPr>
        <w:t>rekreaci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gramStart"/>
      <w:r w:rsidRPr="00637B09">
        <w:rPr>
          <w:rFonts w:asciiTheme="majorHAnsi" w:eastAsia="UnitPro-Light" w:hAnsiTheme="majorHAnsi" w:cstheme="majorHAnsi"/>
        </w:rPr>
        <w:t>a</w:t>
      </w:r>
      <w:proofErr w:type="gram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obnovu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cestní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sítě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s </w:t>
      </w:r>
      <w:proofErr w:type="spellStart"/>
      <w:r w:rsidRPr="00637B09">
        <w:rPr>
          <w:rFonts w:asciiTheme="majorHAnsi" w:eastAsia="UnitPro-Light" w:hAnsiTheme="majorHAnsi" w:cstheme="majorHAnsi"/>
        </w:rPr>
        <w:t>propojením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okolních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MČ. </w:t>
      </w:r>
      <w:proofErr w:type="spellStart"/>
      <w:r w:rsidRPr="00637B09">
        <w:rPr>
          <w:rFonts w:asciiTheme="majorHAnsi" w:eastAsia="UnitPro-Light" w:hAnsiTheme="majorHAnsi" w:cstheme="majorHAnsi"/>
        </w:rPr>
        <w:t>Součástí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návrhové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části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bude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řešení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nově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uvažovaných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cyklostezek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a </w:t>
      </w:r>
      <w:proofErr w:type="spellStart"/>
      <w:r w:rsidRPr="00637B09">
        <w:rPr>
          <w:rFonts w:asciiTheme="majorHAnsi" w:eastAsia="UnitPro-Light" w:hAnsiTheme="majorHAnsi" w:cstheme="majorHAnsi"/>
        </w:rPr>
        <w:t>pěších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cest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, </w:t>
      </w:r>
      <w:proofErr w:type="spellStart"/>
      <w:r w:rsidRPr="00637B09">
        <w:rPr>
          <w:rFonts w:asciiTheme="majorHAnsi" w:eastAsia="UnitPro-Light" w:hAnsiTheme="majorHAnsi" w:cstheme="majorHAnsi"/>
        </w:rPr>
        <w:t>případně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hipocest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, </w:t>
      </w:r>
      <w:proofErr w:type="spellStart"/>
      <w:r w:rsidRPr="00637B09">
        <w:rPr>
          <w:rFonts w:asciiTheme="majorHAnsi" w:eastAsia="UnitPro-Light" w:hAnsiTheme="majorHAnsi" w:cstheme="majorHAnsi"/>
        </w:rPr>
        <w:t>včetně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jejich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začlenění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do </w:t>
      </w:r>
      <w:proofErr w:type="spellStart"/>
      <w:r w:rsidRPr="00637B09">
        <w:rPr>
          <w:rFonts w:asciiTheme="majorHAnsi" w:eastAsia="UnitPro-Light" w:hAnsiTheme="majorHAnsi" w:cstheme="majorHAnsi"/>
        </w:rPr>
        <w:t>krajinného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kontextu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. </w:t>
      </w:r>
    </w:p>
    <w:p w:rsidR="00C32C98" w:rsidRPr="00637B09" w:rsidRDefault="00637B09">
      <w:pPr>
        <w:spacing w:line="259" w:lineRule="auto"/>
        <w:jc w:val="both"/>
        <w:rPr>
          <w:rFonts w:asciiTheme="majorHAnsi" w:eastAsia="UnitPro-Light" w:hAnsiTheme="majorHAnsi" w:cstheme="majorHAnsi"/>
        </w:rPr>
      </w:pPr>
      <w:proofErr w:type="spellStart"/>
      <w:r w:rsidRPr="00637B09">
        <w:rPr>
          <w:rFonts w:asciiTheme="majorHAnsi" w:eastAsia="UnitPro-Light" w:hAnsiTheme="majorHAnsi" w:cstheme="majorHAnsi"/>
        </w:rPr>
        <w:t>Návrhová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část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se </w:t>
      </w:r>
      <w:proofErr w:type="spellStart"/>
      <w:r w:rsidRPr="00637B09">
        <w:rPr>
          <w:rFonts w:asciiTheme="majorHAnsi" w:eastAsia="UnitPro-Light" w:hAnsiTheme="majorHAnsi" w:cstheme="majorHAnsi"/>
        </w:rPr>
        <w:t>zaměří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proofErr w:type="gramStart"/>
      <w:r w:rsidRPr="00637B09">
        <w:rPr>
          <w:rFonts w:asciiTheme="majorHAnsi" w:eastAsia="UnitPro-Light" w:hAnsiTheme="majorHAnsi" w:cstheme="majorHAnsi"/>
        </w:rPr>
        <w:t>na</w:t>
      </w:r>
      <w:proofErr w:type="spellEnd"/>
      <w:proofErr w:type="gram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vzájemně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vyvážené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doplnění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krajinné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struktury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o </w:t>
      </w:r>
      <w:proofErr w:type="spellStart"/>
      <w:r w:rsidRPr="00637B09">
        <w:rPr>
          <w:rFonts w:asciiTheme="majorHAnsi" w:eastAsia="UnitPro-Light" w:hAnsiTheme="majorHAnsi" w:cstheme="majorHAnsi"/>
        </w:rPr>
        <w:t>přírodě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blízké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prvky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, </w:t>
      </w:r>
      <w:proofErr w:type="spellStart"/>
      <w:r w:rsidRPr="00637B09">
        <w:rPr>
          <w:rFonts w:asciiTheme="majorHAnsi" w:eastAsia="UnitPro-Light" w:hAnsiTheme="majorHAnsi" w:cstheme="majorHAnsi"/>
        </w:rPr>
        <w:t>respektive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na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udržení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zemědělského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hospodaření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v </w:t>
      </w:r>
      <w:proofErr w:type="spellStart"/>
      <w:r w:rsidRPr="00637B09">
        <w:rPr>
          <w:rFonts w:asciiTheme="majorHAnsi" w:eastAsia="UnitPro-Light" w:hAnsiTheme="majorHAnsi" w:cstheme="majorHAnsi"/>
        </w:rPr>
        <w:t>jeho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extenzivnějších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formách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, a </w:t>
      </w:r>
      <w:proofErr w:type="spellStart"/>
      <w:r w:rsidRPr="00637B09">
        <w:rPr>
          <w:rFonts w:asciiTheme="majorHAnsi" w:eastAsia="UnitPro-Light" w:hAnsiTheme="majorHAnsi" w:cstheme="majorHAnsi"/>
        </w:rPr>
        <w:t>prověří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umístění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rekreačních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aktivit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, </w:t>
      </w:r>
      <w:proofErr w:type="spellStart"/>
      <w:r w:rsidRPr="00637B09">
        <w:rPr>
          <w:rFonts w:asciiTheme="majorHAnsi" w:eastAsia="UnitPro-Light" w:hAnsiTheme="majorHAnsi" w:cstheme="majorHAnsi"/>
        </w:rPr>
        <w:t>které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nevyžadují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rozsáhlé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stavební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zázemí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. </w:t>
      </w:r>
    </w:p>
    <w:p w:rsidR="00C32C98" w:rsidRPr="00637B09" w:rsidRDefault="00637B09">
      <w:pPr>
        <w:spacing w:line="259" w:lineRule="auto"/>
        <w:jc w:val="both"/>
        <w:rPr>
          <w:rFonts w:asciiTheme="majorHAnsi" w:eastAsia="UnitPro-Light" w:hAnsiTheme="majorHAnsi" w:cstheme="majorHAnsi"/>
        </w:rPr>
      </w:pPr>
      <w:proofErr w:type="spellStart"/>
      <w:r w:rsidRPr="00637B09">
        <w:rPr>
          <w:rFonts w:asciiTheme="majorHAnsi" w:eastAsia="UnitPro-Light" w:hAnsiTheme="majorHAnsi" w:cstheme="majorHAnsi"/>
        </w:rPr>
        <w:lastRenderedPageBreak/>
        <w:t>Návrhová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část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bude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umožňovat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etapovité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naplňování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celého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území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po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ucelených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částech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, </w:t>
      </w:r>
      <w:proofErr w:type="spellStart"/>
      <w:r w:rsidRPr="00637B09">
        <w:rPr>
          <w:rFonts w:asciiTheme="majorHAnsi" w:eastAsia="UnitPro-Light" w:hAnsiTheme="majorHAnsi" w:cstheme="majorHAnsi"/>
        </w:rPr>
        <w:t>které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bude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zohledňovat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připravované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majetkoprávní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dohody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mezi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městem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a </w:t>
      </w:r>
      <w:proofErr w:type="spellStart"/>
      <w:r w:rsidRPr="00637B09">
        <w:rPr>
          <w:rFonts w:asciiTheme="majorHAnsi" w:eastAsia="UnitPro-Light" w:hAnsiTheme="majorHAnsi" w:cstheme="majorHAnsi"/>
        </w:rPr>
        <w:t>vlastníky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pozemků</w:t>
      </w:r>
      <w:proofErr w:type="spellEnd"/>
      <w:r w:rsidRPr="00637B09">
        <w:rPr>
          <w:rFonts w:asciiTheme="majorHAnsi" w:eastAsia="UnitPro-Light" w:hAnsiTheme="majorHAnsi" w:cstheme="majorHAnsi"/>
        </w:rPr>
        <w:t>.</w:t>
      </w:r>
    </w:p>
    <w:p w:rsidR="00C32C98" w:rsidRPr="00637B09" w:rsidRDefault="00637B09">
      <w:pPr>
        <w:spacing w:line="259" w:lineRule="auto"/>
        <w:jc w:val="both"/>
        <w:rPr>
          <w:rFonts w:asciiTheme="majorHAnsi" w:eastAsia="UnitPro-Light" w:hAnsiTheme="majorHAnsi" w:cstheme="majorHAnsi"/>
        </w:rPr>
      </w:pPr>
      <w:proofErr w:type="spellStart"/>
      <w:r w:rsidRPr="00637B09">
        <w:rPr>
          <w:rFonts w:asciiTheme="majorHAnsi" w:eastAsia="UnitPro-Light" w:hAnsiTheme="majorHAnsi" w:cstheme="majorHAnsi"/>
        </w:rPr>
        <w:t>Návrh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bude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respektovat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všechny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připravované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záměry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technické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infrastruktury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(</w:t>
      </w:r>
      <w:proofErr w:type="spellStart"/>
      <w:r w:rsidRPr="00637B09">
        <w:rPr>
          <w:rFonts w:asciiTheme="majorHAnsi" w:eastAsia="UnitPro-Light" w:hAnsiTheme="majorHAnsi" w:cstheme="majorHAnsi"/>
        </w:rPr>
        <w:t>přiváděcí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vodovodní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řad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Vodojem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Chodová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– </w:t>
      </w:r>
      <w:proofErr w:type="spellStart"/>
      <w:r w:rsidRPr="00637B09">
        <w:rPr>
          <w:rFonts w:asciiTheme="majorHAnsi" w:eastAsia="UnitPro-Light" w:hAnsiTheme="majorHAnsi" w:cstheme="majorHAnsi"/>
        </w:rPr>
        <w:t>Čerpací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stanice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Kyjský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uzel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, </w:t>
      </w:r>
      <w:proofErr w:type="spellStart"/>
      <w:r w:rsidRPr="00637B09">
        <w:rPr>
          <w:rFonts w:asciiTheme="majorHAnsi" w:eastAsia="UnitPro-Light" w:hAnsiTheme="majorHAnsi" w:cstheme="majorHAnsi"/>
        </w:rPr>
        <w:t>zdvojení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), </w:t>
      </w:r>
      <w:proofErr w:type="spellStart"/>
      <w:r w:rsidRPr="00637B09">
        <w:rPr>
          <w:rFonts w:asciiTheme="majorHAnsi" w:eastAsia="UnitPro-Light" w:hAnsiTheme="majorHAnsi" w:cstheme="majorHAnsi"/>
        </w:rPr>
        <w:t>integraci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stávajících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prvků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technické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infrastruktury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(</w:t>
      </w:r>
      <w:proofErr w:type="spellStart"/>
      <w:r w:rsidRPr="00637B09">
        <w:rPr>
          <w:rFonts w:asciiTheme="majorHAnsi" w:eastAsia="UnitPro-Light" w:hAnsiTheme="majorHAnsi" w:cstheme="majorHAnsi"/>
        </w:rPr>
        <w:t>např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. </w:t>
      </w:r>
      <w:proofErr w:type="spellStart"/>
      <w:r w:rsidRPr="00637B09">
        <w:rPr>
          <w:rFonts w:asciiTheme="majorHAnsi" w:eastAsia="UnitPro-Light" w:hAnsiTheme="majorHAnsi" w:cstheme="majorHAnsi"/>
        </w:rPr>
        <w:t>vsakovací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objekt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T3 </w:t>
      </w:r>
      <w:proofErr w:type="spellStart"/>
      <w:r w:rsidRPr="00637B09">
        <w:rPr>
          <w:rFonts w:asciiTheme="majorHAnsi" w:eastAsia="UnitPro-Light" w:hAnsiTheme="majorHAnsi" w:cstheme="majorHAnsi"/>
        </w:rPr>
        <w:t>Košík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, </w:t>
      </w:r>
      <w:proofErr w:type="spellStart"/>
      <w:r w:rsidRPr="00637B09">
        <w:rPr>
          <w:rFonts w:asciiTheme="majorHAnsi" w:eastAsia="UnitPro-Light" w:hAnsiTheme="majorHAnsi" w:cstheme="majorHAnsi"/>
        </w:rPr>
        <w:t>aj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.) a </w:t>
      </w:r>
      <w:proofErr w:type="spellStart"/>
      <w:r w:rsidRPr="00637B09">
        <w:rPr>
          <w:rFonts w:asciiTheme="majorHAnsi" w:eastAsia="UnitPro-Light" w:hAnsiTheme="majorHAnsi" w:cstheme="majorHAnsi"/>
        </w:rPr>
        <w:t>dopravní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infrastruktury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(</w:t>
      </w:r>
      <w:proofErr w:type="spellStart"/>
      <w:r w:rsidRPr="00637B09">
        <w:rPr>
          <w:rFonts w:asciiTheme="majorHAnsi" w:eastAsia="UnitPro-Light" w:hAnsiTheme="majorHAnsi" w:cstheme="majorHAnsi"/>
        </w:rPr>
        <w:t>cyklotrasa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skrz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Trojmezí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, </w:t>
      </w:r>
      <w:proofErr w:type="spellStart"/>
      <w:r w:rsidRPr="00637B09">
        <w:rPr>
          <w:rFonts w:asciiTheme="majorHAnsi" w:eastAsia="UnitPro-Light" w:hAnsiTheme="majorHAnsi" w:cstheme="majorHAnsi"/>
        </w:rPr>
        <w:t>cyklotrasa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podél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Botiče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cyklotrasa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u </w:t>
      </w:r>
      <w:proofErr w:type="spellStart"/>
      <w:r w:rsidRPr="00637B09">
        <w:rPr>
          <w:rFonts w:asciiTheme="majorHAnsi" w:eastAsia="UnitPro-Light" w:hAnsiTheme="majorHAnsi" w:cstheme="majorHAnsi"/>
        </w:rPr>
        <w:t>Košíkovského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potoka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vč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. </w:t>
      </w:r>
      <w:proofErr w:type="spellStart"/>
      <w:r w:rsidRPr="00637B09">
        <w:rPr>
          <w:rFonts w:asciiTheme="majorHAnsi" w:eastAsia="UnitPro-Light" w:hAnsiTheme="majorHAnsi" w:cstheme="majorHAnsi"/>
        </w:rPr>
        <w:t>průchodu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pod </w:t>
      </w:r>
      <w:proofErr w:type="spellStart"/>
      <w:r w:rsidRPr="00637B09">
        <w:rPr>
          <w:rFonts w:asciiTheme="majorHAnsi" w:eastAsia="UnitPro-Light" w:hAnsiTheme="majorHAnsi" w:cstheme="majorHAnsi"/>
        </w:rPr>
        <w:t>ulicí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K </w:t>
      </w:r>
      <w:proofErr w:type="spellStart"/>
      <w:r w:rsidRPr="00637B09">
        <w:rPr>
          <w:rFonts w:asciiTheme="majorHAnsi" w:eastAsia="UnitPro-Light" w:hAnsiTheme="majorHAnsi" w:cstheme="majorHAnsi"/>
        </w:rPr>
        <w:t>Horkám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, </w:t>
      </w:r>
      <w:proofErr w:type="spellStart"/>
      <w:r w:rsidRPr="00637B09">
        <w:rPr>
          <w:rFonts w:asciiTheme="majorHAnsi" w:eastAsia="UnitPro-Light" w:hAnsiTheme="majorHAnsi" w:cstheme="majorHAnsi"/>
        </w:rPr>
        <w:t>cyklotrasa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v </w:t>
      </w:r>
      <w:proofErr w:type="spellStart"/>
      <w:r w:rsidRPr="00637B09">
        <w:rPr>
          <w:rFonts w:asciiTheme="majorHAnsi" w:eastAsia="UnitPro-Light" w:hAnsiTheme="majorHAnsi" w:cstheme="majorHAnsi"/>
        </w:rPr>
        <w:t>ulici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U </w:t>
      </w:r>
      <w:proofErr w:type="spellStart"/>
      <w:r w:rsidRPr="00637B09">
        <w:rPr>
          <w:rFonts w:asciiTheme="majorHAnsi" w:eastAsia="UnitPro-Light" w:hAnsiTheme="majorHAnsi" w:cstheme="majorHAnsi"/>
        </w:rPr>
        <w:t>Záběhlického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zámku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aj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.). </w:t>
      </w:r>
      <w:proofErr w:type="spellStart"/>
      <w:r w:rsidRPr="00637B09">
        <w:rPr>
          <w:rFonts w:asciiTheme="majorHAnsi" w:eastAsia="UnitPro-Light" w:hAnsiTheme="majorHAnsi" w:cstheme="majorHAnsi"/>
        </w:rPr>
        <w:t>Jako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podklad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pro </w:t>
      </w:r>
      <w:proofErr w:type="spellStart"/>
      <w:r w:rsidRPr="00637B09">
        <w:rPr>
          <w:rFonts w:asciiTheme="majorHAnsi" w:eastAsia="UnitPro-Light" w:hAnsiTheme="majorHAnsi" w:cstheme="majorHAnsi"/>
        </w:rPr>
        <w:t>práci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proofErr w:type="gramStart"/>
      <w:r w:rsidRPr="00637B09">
        <w:rPr>
          <w:rFonts w:asciiTheme="majorHAnsi" w:eastAsia="UnitPro-Light" w:hAnsiTheme="majorHAnsi" w:cstheme="majorHAnsi"/>
        </w:rPr>
        <w:t>na</w:t>
      </w:r>
      <w:proofErr w:type="spellEnd"/>
      <w:proofErr w:type="gram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návrhové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části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budou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využity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všechny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stávající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dokumenty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městských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částí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(</w:t>
      </w:r>
      <w:proofErr w:type="spellStart"/>
      <w:r w:rsidRPr="00637B09">
        <w:rPr>
          <w:rFonts w:asciiTheme="majorHAnsi" w:eastAsia="UnitPro-Light" w:hAnsiTheme="majorHAnsi" w:cstheme="majorHAnsi"/>
        </w:rPr>
        <w:t>Urbanistická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studie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Botič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, </w:t>
      </w:r>
      <w:proofErr w:type="spellStart"/>
      <w:r w:rsidRPr="00637B09">
        <w:rPr>
          <w:rFonts w:asciiTheme="majorHAnsi" w:eastAsia="UnitPro-Light" w:hAnsiTheme="majorHAnsi" w:cstheme="majorHAnsi"/>
        </w:rPr>
        <w:t>studie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řešení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okolí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Chodoveckého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potoka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, </w:t>
      </w:r>
      <w:proofErr w:type="spellStart"/>
      <w:r w:rsidRPr="00637B09">
        <w:rPr>
          <w:rFonts w:asciiTheme="majorHAnsi" w:eastAsia="UnitPro-Light" w:hAnsiTheme="majorHAnsi" w:cstheme="majorHAnsi"/>
        </w:rPr>
        <w:t>Generel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veřejných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prostranství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P10, </w:t>
      </w:r>
      <w:proofErr w:type="spellStart"/>
      <w:r w:rsidRPr="00637B09">
        <w:rPr>
          <w:rFonts w:asciiTheme="majorHAnsi" w:eastAsia="UnitPro-Light" w:hAnsiTheme="majorHAnsi" w:cstheme="majorHAnsi"/>
        </w:rPr>
        <w:t>Generel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veřejných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prostranství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P4 a </w:t>
      </w:r>
      <w:proofErr w:type="spellStart"/>
      <w:r w:rsidRPr="00637B09">
        <w:rPr>
          <w:rFonts w:asciiTheme="majorHAnsi" w:eastAsia="UnitPro-Light" w:hAnsiTheme="majorHAnsi" w:cstheme="majorHAnsi"/>
        </w:rPr>
        <w:t>další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relevantní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studie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a </w:t>
      </w:r>
      <w:proofErr w:type="spellStart"/>
      <w:r w:rsidRPr="00637B09">
        <w:rPr>
          <w:rFonts w:asciiTheme="majorHAnsi" w:eastAsia="UnitPro-Light" w:hAnsiTheme="majorHAnsi" w:cstheme="majorHAnsi"/>
        </w:rPr>
        <w:t>návrhy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). </w:t>
      </w:r>
    </w:p>
    <w:p w:rsidR="00C32C98" w:rsidRPr="00637B09" w:rsidRDefault="00C32C98">
      <w:pPr>
        <w:spacing w:line="259" w:lineRule="auto"/>
        <w:ind w:left="360"/>
        <w:jc w:val="both"/>
        <w:rPr>
          <w:rFonts w:asciiTheme="majorHAnsi" w:eastAsia="UnitPro-Light" w:hAnsiTheme="majorHAnsi" w:cstheme="majorHAnsi"/>
        </w:rPr>
      </w:pPr>
    </w:p>
    <w:p w:rsidR="00C32C98" w:rsidRPr="00637B09" w:rsidRDefault="00637B09">
      <w:pPr>
        <w:spacing w:line="259" w:lineRule="auto"/>
        <w:jc w:val="both"/>
        <w:rPr>
          <w:rFonts w:asciiTheme="majorHAnsi" w:eastAsia="UnitPro-Light" w:hAnsiTheme="majorHAnsi" w:cstheme="majorHAnsi"/>
        </w:rPr>
      </w:pPr>
      <w:r w:rsidRPr="00637B09">
        <w:rPr>
          <w:rFonts w:asciiTheme="majorHAnsi" w:eastAsia="UnitPro-Light" w:hAnsiTheme="majorHAnsi" w:cstheme="majorHAnsi"/>
        </w:rPr>
        <w:t>V </w:t>
      </w:r>
      <w:proofErr w:type="spellStart"/>
      <w:r w:rsidRPr="00637B09">
        <w:rPr>
          <w:rFonts w:asciiTheme="majorHAnsi" w:eastAsia="UnitPro-Light" w:hAnsiTheme="majorHAnsi" w:cstheme="majorHAnsi"/>
        </w:rPr>
        <w:t>návrhu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studie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bude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především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kladen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důraz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proofErr w:type="gramStart"/>
      <w:r w:rsidRPr="00637B09">
        <w:rPr>
          <w:rFonts w:asciiTheme="majorHAnsi" w:eastAsia="UnitPro-Light" w:hAnsiTheme="majorHAnsi" w:cstheme="majorHAnsi"/>
        </w:rPr>
        <w:t>na</w:t>
      </w:r>
      <w:proofErr w:type="spellEnd"/>
      <w:proofErr w:type="gramEnd"/>
      <w:r w:rsidRPr="00637B09">
        <w:rPr>
          <w:rFonts w:asciiTheme="majorHAnsi" w:eastAsia="UnitPro-Light" w:hAnsiTheme="majorHAnsi" w:cstheme="majorHAnsi"/>
        </w:rPr>
        <w:t>:</w:t>
      </w:r>
    </w:p>
    <w:p w:rsidR="00C32C98" w:rsidRPr="00637B09" w:rsidRDefault="00637B09">
      <w:pPr>
        <w:numPr>
          <w:ilvl w:val="0"/>
          <w:numId w:val="1"/>
        </w:numPr>
        <w:spacing w:line="259" w:lineRule="auto"/>
        <w:ind w:left="1077" w:hanging="357"/>
        <w:rPr>
          <w:rFonts w:asciiTheme="majorHAnsi" w:eastAsia="UnitPro-Light" w:hAnsiTheme="majorHAnsi" w:cstheme="majorHAnsi"/>
        </w:rPr>
      </w:pPr>
      <w:proofErr w:type="spellStart"/>
      <w:r w:rsidRPr="00637B09">
        <w:rPr>
          <w:rFonts w:asciiTheme="majorHAnsi" w:eastAsia="UnitPro-Light" w:hAnsiTheme="majorHAnsi" w:cstheme="majorHAnsi"/>
        </w:rPr>
        <w:t>respektování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širokého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údolí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Botiče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, </w:t>
      </w:r>
      <w:proofErr w:type="spellStart"/>
      <w:r w:rsidRPr="00637B09">
        <w:rPr>
          <w:rFonts w:asciiTheme="majorHAnsi" w:eastAsia="UnitPro-Light" w:hAnsiTheme="majorHAnsi" w:cstheme="majorHAnsi"/>
        </w:rPr>
        <w:t>které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je </w:t>
      </w:r>
      <w:proofErr w:type="spellStart"/>
      <w:r w:rsidRPr="00637B09">
        <w:rPr>
          <w:rFonts w:asciiTheme="majorHAnsi" w:eastAsia="UnitPro-Light" w:hAnsiTheme="majorHAnsi" w:cstheme="majorHAnsi"/>
        </w:rPr>
        <w:t>součástí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přírodního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parku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Hostivař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- </w:t>
      </w:r>
      <w:proofErr w:type="spellStart"/>
      <w:r w:rsidRPr="00637B09">
        <w:rPr>
          <w:rFonts w:asciiTheme="majorHAnsi" w:eastAsia="UnitPro-Light" w:hAnsiTheme="majorHAnsi" w:cstheme="majorHAnsi"/>
        </w:rPr>
        <w:t>Záběhlice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, </w:t>
      </w:r>
      <w:proofErr w:type="spellStart"/>
      <w:r w:rsidRPr="00637B09">
        <w:rPr>
          <w:rFonts w:asciiTheme="majorHAnsi" w:eastAsia="UnitPro-Light" w:hAnsiTheme="majorHAnsi" w:cstheme="majorHAnsi"/>
        </w:rPr>
        <w:t>včetně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chráněných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přírodně-krajinných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hodnot</w:t>
      </w:r>
      <w:proofErr w:type="spellEnd"/>
      <w:r w:rsidRPr="00637B09">
        <w:rPr>
          <w:rFonts w:asciiTheme="majorHAnsi" w:eastAsia="UnitPro-Light" w:hAnsiTheme="majorHAnsi" w:cstheme="majorHAnsi"/>
        </w:rPr>
        <w:t>,</w:t>
      </w:r>
    </w:p>
    <w:p w:rsidR="00C32C98" w:rsidRPr="00637B09" w:rsidRDefault="00637B09">
      <w:pPr>
        <w:numPr>
          <w:ilvl w:val="0"/>
          <w:numId w:val="1"/>
        </w:numPr>
        <w:spacing w:line="259" w:lineRule="auto"/>
        <w:ind w:left="1077" w:hanging="357"/>
        <w:rPr>
          <w:rFonts w:asciiTheme="majorHAnsi" w:eastAsia="UnitPro-Light" w:hAnsiTheme="majorHAnsi" w:cstheme="majorHAnsi"/>
        </w:rPr>
      </w:pPr>
      <w:proofErr w:type="spellStart"/>
      <w:r w:rsidRPr="00637B09">
        <w:rPr>
          <w:rFonts w:asciiTheme="majorHAnsi" w:eastAsia="UnitPro-Light" w:hAnsiTheme="majorHAnsi" w:cstheme="majorHAnsi"/>
        </w:rPr>
        <w:t>ochranu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panoramatických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pohledů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z a do </w:t>
      </w:r>
      <w:proofErr w:type="spellStart"/>
      <w:r w:rsidRPr="00637B09">
        <w:rPr>
          <w:rFonts w:asciiTheme="majorHAnsi" w:eastAsia="UnitPro-Light" w:hAnsiTheme="majorHAnsi" w:cstheme="majorHAnsi"/>
        </w:rPr>
        <w:t>centra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Prahy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a z </w:t>
      </w:r>
      <w:proofErr w:type="spellStart"/>
      <w:r w:rsidRPr="00637B09">
        <w:rPr>
          <w:rFonts w:asciiTheme="majorHAnsi" w:eastAsia="UnitPro-Light" w:hAnsiTheme="majorHAnsi" w:cstheme="majorHAnsi"/>
        </w:rPr>
        <w:t>dalších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významných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pohledových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stanovišť</w:t>
      </w:r>
      <w:proofErr w:type="spellEnd"/>
      <w:r w:rsidRPr="00637B09">
        <w:rPr>
          <w:rFonts w:asciiTheme="majorHAnsi" w:eastAsia="UnitPro-Light" w:hAnsiTheme="majorHAnsi" w:cstheme="majorHAnsi"/>
        </w:rPr>
        <w:t>,</w:t>
      </w:r>
    </w:p>
    <w:p w:rsidR="00C32C98" w:rsidRPr="00637B09" w:rsidRDefault="00637B09">
      <w:pPr>
        <w:numPr>
          <w:ilvl w:val="0"/>
          <w:numId w:val="1"/>
        </w:numPr>
        <w:spacing w:line="259" w:lineRule="auto"/>
        <w:ind w:left="1077" w:hanging="357"/>
        <w:rPr>
          <w:rFonts w:asciiTheme="majorHAnsi" w:eastAsia="UnitPro-Light" w:hAnsiTheme="majorHAnsi" w:cstheme="majorHAnsi"/>
        </w:rPr>
      </w:pPr>
      <w:proofErr w:type="spellStart"/>
      <w:r w:rsidRPr="00637B09">
        <w:rPr>
          <w:rFonts w:asciiTheme="majorHAnsi" w:eastAsia="UnitPro-Light" w:hAnsiTheme="majorHAnsi" w:cstheme="majorHAnsi"/>
        </w:rPr>
        <w:t>respektování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území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jako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celoměstsky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významného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průniku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kompaktního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zeleného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klínu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v </w:t>
      </w:r>
      <w:proofErr w:type="spellStart"/>
      <w:r w:rsidRPr="00637B09">
        <w:rPr>
          <w:rFonts w:asciiTheme="majorHAnsi" w:eastAsia="UnitPro-Light" w:hAnsiTheme="majorHAnsi" w:cstheme="majorHAnsi"/>
        </w:rPr>
        <w:t>návaznosti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na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západní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okraj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lesoparku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Hostivařské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přehrady</w:t>
      </w:r>
      <w:proofErr w:type="spellEnd"/>
      <w:r w:rsidRPr="00637B09">
        <w:rPr>
          <w:rFonts w:asciiTheme="majorHAnsi" w:eastAsia="UnitPro-Light" w:hAnsiTheme="majorHAnsi" w:cstheme="majorHAnsi"/>
        </w:rPr>
        <w:t>,</w:t>
      </w:r>
    </w:p>
    <w:p w:rsidR="00C32C98" w:rsidRPr="00637B09" w:rsidRDefault="00637B09">
      <w:pPr>
        <w:numPr>
          <w:ilvl w:val="0"/>
          <w:numId w:val="1"/>
        </w:numPr>
        <w:spacing w:line="259" w:lineRule="auto"/>
        <w:ind w:left="1077" w:hanging="357"/>
        <w:rPr>
          <w:rFonts w:asciiTheme="majorHAnsi" w:eastAsia="UnitPro-Light" w:hAnsiTheme="majorHAnsi" w:cstheme="majorHAnsi"/>
        </w:rPr>
      </w:pPr>
      <w:proofErr w:type="spellStart"/>
      <w:r w:rsidRPr="00637B09">
        <w:rPr>
          <w:rFonts w:asciiTheme="majorHAnsi" w:eastAsia="UnitPro-Light" w:hAnsiTheme="majorHAnsi" w:cstheme="majorHAnsi"/>
        </w:rPr>
        <w:t>maximální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ochranu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nezastavitelnosti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ploch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v </w:t>
      </w:r>
      <w:proofErr w:type="spellStart"/>
      <w:r w:rsidRPr="00637B09">
        <w:rPr>
          <w:rFonts w:asciiTheme="majorHAnsi" w:eastAsia="UnitPro-Light" w:hAnsiTheme="majorHAnsi" w:cstheme="majorHAnsi"/>
        </w:rPr>
        <w:t>bezprostředním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okolí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vodních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toků</w:t>
      </w:r>
      <w:proofErr w:type="spellEnd"/>
      <w:r w:rsidRPr="00637B09">
        <w:rPr>
          <w:rFonts w:asciiTheme="majorHAnsi" w:eastAsia="UnitPro-Light" w:hAnsiTheme="majorHAnsi" w:cstheme="majorHAnsi"/>
        </w:rPr>
        <w:t>,</w:t>
      </w:r>
    </w:p>
    <w:p w:rsidR="00C32C98" w:rsidRPr="00637B09" w:rsidRDefault="00637B09">
      <w:pPr>
        <w:numPr>
          <w:ilvl w:val="0"/>
          <w:numId w:val="1"/>
        </w:numPr>
        <w:spacing w:line="259" w:lineRule="auto"/>
        <w:ind w:left="1077" w:hanging="357"/>
        <w:rPr>
          <w:rFonts w:asciiTheme="majorHAnsi" w:eastAsia="UnitPro-Light" w:hAnsiTheme="majorHAnsi" w:cstheme="majorHAnsi"/>
        </w:rPr>
      </w:pPr>
      <w:proofErr w:type="spellStart"/>
      <w:r w:rsidRPr="00637B09">
        <w:rPr>
          <w:rFonts w:asciiTheme="majorHAnsi" w:eastAsia="UnitPro-Light" w:hAnsiTheme="majorHAnsi" w:cstheme="majorHAnsi"/>
        </w:rPr>
        <w:t>vytvoření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přírodě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blízkého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prostředí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a </w:t>
      </w:r>
      <w:proofErr w:type="spellStart"/>
      <w:r w:rsidRPr="00637B09">
        <w:rPr>
          <w:rFonts w:asciiTheme="majorHAnsi" w:eastAsia="UnitPro-Light" w:hAnsiTheme="majorHAnsi" w:cstheme="majorHAnsi"/>
        </w:rPr>
        <w:t>kultivaci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území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pro </w:t>
      </w:r>
      <w:proofErr w:type="spellStart"/>
      <w:r w:rsidRPr="00637B09">
        <w:rPr>
          <w:rFonts w:asciiTheme="majorHAnsi" w:eastAsia="UnitPro-Light" w:hAnsiTheme="majorHAnsi" w:cstheme="majorHAnsi"/>
        </w:rPr>
        <w:t>volnou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rekreaci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obyvatel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při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respektování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podmínek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ochrany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přírody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a </w:t>
      </w:r>
      <w:proofErr w:type="spellStart"/>
      <w:r w:rsidRPr="00637B09">
        <w:rPr>
          <w:rFonts w:asciiTheme="majorHAnsi" w:eastAsia="UnitPro-Light" w:hAnsiTheme="majorHAnsi" w:cstheme="majorHAnsi"/>
        </w:rPr>
        <w:t>krajiny</w:t>
      </w:r>
      <w:proofErr w:type="spellEnd"/>
      <w:r w:rsidRPr="00637B09">
        <w:rPr>
          <w:rFonts w:asciiTheme="majorHAnsi" w:eastAsia="UnitPro-Light" w:hAnsiTheme="majorHAnsi" w:cstheme="majorHAnsi"/>
        </w:rPr>
        <w:t>,</w:t>
      </w:r>
    </w:p>
    <w:p w:rsidR="00C32C98" w:rsidRPr="00637B09" w:rsidRDefault="00637B09">
      <w:pPr>
        <w:numPr>
          <w:ilvl w:val="0"/>
          <w:numId w:val="1"/>
        </w:numPr>
        <w:spacing w:line="259" w:lineRule="auto"/>
        <w:ind w:left="1077" w:hanging="357"/>
        <w:rPr>
          <w:rFonts w:asciiTheme="majorHAnsi" w:eastAsia="UnitPro-Light" w:hAnsiTheme="majorHAnsi" w:cstheme="majorHAnsi"/>
        </w:rPr>
      </w:pPr>
      <w:proofErr w:type="spellStart"/>
      <w:r w:rsidRPr="00637B09">
        <w:rPr>
          <w:rFonts w:asciiTheme="majorHAnsi" w:eastAsia="UnitPro-Light" w:hAnsiTheme="majorHAnsi" w:cstheme="majorHAnsi"/>
        </w:rPr>
        <w:t>zajištění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celoplošné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prostupnosti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krajiny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pro </w:t>
      </w:r>
      <w:proofErr w:type="spellStart"/>
      <w:r w:rsidRPr="00637B09">
        <w:rPr>
          <w:rFonts w:asciiTheme="majorHAnsi" w:eastAsia="UnitPro-Light" w:hAnsiTheme="majorHAnsi" w:cstheme="majorHAnsi"/>
        </w:rPr>
        <w:t>pěší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a </w:t>
      </w:r>
      <w:proofErr w:type="spellStart"/>
      <w:r w:rsidRPr="00637B09">
        <w:rPr>
          <w:rFonts w:asciiTheme="majorHAnsi" w:eastAsia="UnitPro-Light" w:hAnsiTheme="majorHAnsi" w:cstheme="majorHAnsi"/>
        </w:rPr>
        <w:t>cyklisty</w:t>
      </w:r>
      <w:proofErr w:type="spellEnd"/>
      <w:r w:rsidRPr="00637B09">
        <w:rPr>
          <w:rFonts w:asciiTheme="majorHAnsi" w:eastAsia="UnitPro-Light" w:hAnsiTheme="majorHAnsi" w:cstheme="majorHAnsi"/>
        </w:rPr>
        <w:t>,</w:t>
      </w:r>
    </w:p>
    <w:p w:rsidR="00C32C98" w:rsidRPr="00637B09" w:rsidRDefault="00637B09">
      <w:pPr>
        <w:numPr>
          <w:ilvl w:val="0"/>
          <w:numId w:val="1"/>
        </w:numPr>
        <w:spacing w:line="259" w:lineRule="auto"/>
        <w:ind w:left="1077" w:hanging="357"/>
        <w:rPr>
          <w:rFonts w:asciiTheme="majorHAnsi" w:eastAsia="UnitPro-Light" w:hAnsiTheme="majorHAnsi" w:cstheme="majorHAnsi"/>
        </w:rPr>
      </w:pPr>
      <w:proofErr w:type="spellStart"/>
      <w:r w:rsidRPr="00637B09">
        <w:rPr>
          <w:rFonts w:asciiTheme="majorHAnsi" w:eastAsia="UnitPro-Light" w:hAnsiTheme="majorHAnsi" w:cstheme="majorHAnsi"/>
        </w:rPr>
        <w:t>respektování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podmínek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oblastí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ticha</w:t>
      </w:r>
      <w:proofErr w:type="spellEnd"/>
      <w:r w:rsidRPr="00637B09">
        <w:rPr>
          <w:rFonts w:asciiTheme="majorHAnsi" w:eastAsia="UnitPro-Light" w:hAnsiTheme="majorHAnsi" w:cstheme="majorHAnsi"/>
        </w:rPr>
        <w:t>,</w:t>
      </w:r>
    </w:p>
    <w:p w:rsidR="00C32C98" w:rsidRPr="00637B09" w:rsidRDefault="00637B09">
      <w:pPr>
        <w:numPr>
          <w:ilvl w:val="0"/>
          <w:numId w:val="1"/>
        </w:numPr>
        <w:spacing w:after="160" w:line="259" w:lineRule="auto"/>
        <w:ind w:left="1077" w:hanging="357"/>
        <w:rPr>
          <w:rFonts w:asciiTheme="majorHAnsi" w:eastAsia="UnitPro-Light" w:hAnsiTheme="majorHAnsi" w:cstheme="majorHAnsi"/>
        </w:rPr>
      </w:pPr>
      <w:proofErr w:type="spellStart"/>
      <w:r w:rsidRPr="00637B09">
        <w:rPr>
          <w:rFonts w:asciiTheme="majorHAnsi" w:eastAsia="UnitPro-Light" w:hAnsiTheme="majorHAnsi" w:cstheme="majorHAnsi"/>
        </w:rPr>
        <w:t>majetkoprávní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</w:t>
      </w:r>
      <w:proofErr w:type="spellStart"/>
      <w:r w:rsidRPr="00637B09">
        <w:rPr>
          <w:rFonts w:asciiTheme="majorHAnsi" w:eastAsia="UnitPro-Light" w:hAnsiTheme="majorHAnsi" w:cstheme="majorHAnsi"/>
        </w:rPr>
        <w:t>poměry</w:t>
      </w:r>
      <w:proofErr w:type="spellEnd"/>
      <w:r w:rsidRPr="00637B09">
        <w:rPr>
          <w:rFonts w:asciiTheme="majorHAnsi" w:eastAsia="UnitPro-Light" w:hAnsiTheme="majorHAnsi" w:cstheme="majorHAnsi"/>
        </w:rPr>
        <w:t xml:space="preserve"> v </w:t>
      </w:r>
      <w:proofErr w:type="spellStart"/>
      <w:r w:rsidRPr="00637B09">
        <w:rPr>
          <w:rFonts w:asciiTheme="majorHAnsi" w:eastAsia="UnitPro-Light" w:hAnsiTheme="majorHAnsi" w:cstheme="majorHAnsi"/>
        </w:rPr>
        <w:t>území</w:t>
      </w:r>
      <w:proofErr w:type="spellEnd"/>
      <w:r w:rsidRPr="00637B09">
        <w:rPr>
          <w:rFonts w:asciiTheme="majorHAnsi" w:eastAsia="UnitPro-Light" w:hAnsiTheme="majorHAnsi" w:cstheme="majorHAnsi"/>
        </w:rPr>
        <w:t>,</w:t>
      </w:r>
    </w:p>
    <w:p w:rsidR="00C32C98" w:rsidRPr="00637B09" w:rsidRDefault="00C32C98">
      <w:pPr>
        <w:spacing w:after="160" w:line="259" w:lineRule="auto"/>
        <w:rPr>
          <w:rFonts w:asciiTheme="majorHAnsi" w:eastAsia="Calibri" w:hAnsiTheme="majorHAnsi" w:cstheme="majorHAnsi"/>
        </w:rPr>
      </w:pPr>
    </w:p>
    <w:p w:rsidR="00C32C98" w:rsidRPr="00637B09" w:rsidRDefault="00C32C98">
      <w:pPr>
        <w:spacing w:after="160" w:line="259" w:lineRule="auto"/>
        <w:rPr>
          <w:rFonts w:asciiTheme="majorHAnsi" w:hAnsiTheme="majorHAnsi" w:cstheme="majorHAnsi"/>
        </w:rPr>
      </w:pPr>
    </w:p>
    <w:sectPr w:rsidR="00C32C98" w:rsidRPr="00637B09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Arial-Italic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A0E93"/>
    <w:multiLevelType w:val="multilevel"/>
    <w:tmpl w:val="A0D22F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637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98"/>
    <w:rsid w:val="006312C7"/>
    <w:rsid w:val="00637B09"/>
    <w:rsid w:val="00C3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FC1E"/>
  <w15:docId w15:val="{8F3CB2E7-97CD-4B7A-8635-FECB28FB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Pelčíková Pavla MSc. (SVV/PAR)</dc:creator>
  <cp:lastModifiedBy>Pelčíková Pavla MSc. (SVV/PAR)</cp:lastModifiedBy>
  <cp:revision>2</cp:revision>
  <dcterms:created xsi:type="dcterms:W3CDTF">2022-01-27T15:30:00Z</dcterms:created>
  <dcterms:modified xsi:type="dcterms:W3CDTF">2022-01-27T15:30:00Z</dcterms:modified>
</cp:coreProperties>
</file>