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1200300029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CHEVAK</w:t>
      </w:r>
      <w:r>
        <w:rPr>
          <w:spacing w:val="-4"/>
        </w:rPr>
        <w:t> </w:t>
      </w:r>
      <w:r>
        <w:rPr/>
        <w:t>Cheb,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2977" w:val="left" w:leader="none"/>
        </w:tabs>
        <w:spacing w:before="1"/>
        <w:ind w:left="102" w:right="114"/>
      </w:pPr>
      <w:r>
        <w:rPr/>
        <w:t>obchodní</w:t>
      </w:r>
      <w:r>
        <w:rPr>
          <w:spacing w:val="-6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 obchodním</w:t>
      </w:r>
      <w:r>
        <w:rPr>
          <w:spacing w:val="-6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4"/>
        </w:rPr>
        <w:t> </w:t>
      </w:r>
      <w:r>
        <w:rPr/>
        <w:t>soudem v</w:t>
      </w:r>
      <w:r>
        <w:rPr>
          <w:spacing w:val="-2"/>
        </w:rPr>
        <w:t> </w:t>
      </w:r>
      <w:r>
        <w:rPr/>
        <w:t>Plzni,</w:t>
      </w:r>
      <w:r>
        <w:rPr>
          <w:spacing w:val="-5"/>
        </w:rPr>
        <w:t> </w:t>
      </w:r>
      <w:r>
        <w:rPr/>
        <w:t>oddíl</w:t>
      </w:r>
      <w:r>
        <w:rPr>
          <w:spacing w:val="-6"/>
        </w:rPr>
        <w:t> </w:t>
      </w:r>
      <w:r>
        <w:rPr/>
        <w:t>B,</w:t>
      </w:r>
      <w:r>
        <w:rPr>
          <w:spacing w:val="-5"/>
        </w:rPr>
        <w:t> </w:t>
      </w:r>
      <w:r>
        <w:rPr/>
        <w:t>vložka</w:t>
      </w:r>
      <w:r>
        <w:rPr>
          <w:spacing w:val="-3"/>
        </w:rPr>
        <w:t> </w:t>
      </w:r>
      <w:r>
        <w:rPr/>
        <w:t>367</w:t>
      </w:r>
      <w:r>
        <w:rPr>
          <w:spacing w:val="-52"/>
        </w:rPr>
        <w:t> </w:t>
      </w:r>
      <w:r>
        <w:rPr/>
        <w:t>se</w:t>
      </w:r>
      <w:r>
        <w:rPr>
          <w:spacing w:val="-5"/>
        </w:rPr>
        <w:t> </w:t>
      </w:r>
      <w:r>
        <w:rPr/>
        <w:t>sídlem:</w:t>
        <w:tab/>
        <w:t>Tršnická</w:t>
      </w:r>
      <w:r>
        <w:rPr>
          <w:spacing w:val="-1"/>
        </w:rPr>
        <w:t> </w:t>
      </w:r>
      <w:r>
        <w:rPr/>
        <w:t>4/11,</w:t>
      </w:r>
      <w:r>
        <w:rPr>
          <w:spacing w:val="-1"/>
        </w:rPr>
        <w:t> </w:t>
      </w:r>
      <w:r>
        <w:rPr/>
        <w:t>Hradiště,</w:t>
      </w:r>
      <w:r>
        <w:rPr>
          <w:spacing w:val="-1"/>
        </w:rPr>
        <w:t> </w:t>
      </w:r>
      <w:r>
        <w:rPr/>
        <w:t>350</w:t>
      </w:r>
      <w:r>
        <w:rPr>
          <w:spacing w:val="-1"/>
        </w:rPr>
        <w:t> </w:t>
      </w:r>
      <w:r>
        <w:rPr/>
        <w:t>02 Cheb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497</w:t>
      </w:r>
      <w:r>
        <w:rPr>
          <w:spacing w:val="-1"/>
        </w:rPr>
        <w:t> </w:t>
      </w:r>
      <w:r>
        <w:rPr/>
        <w:t>87 977</w:t>
      </w:r>
    </w:p>
    <w:p>
      <w:pPr>
        <w:pStyle w:val="BodyText"/>
        <w:tabs>
          <w:tab w:pos="2982" w:val="left" w:leader="none"/>
        </w:tabs>
        <w:spacing w:before="1"/>
        <w:ind w:left="2982" w:right="475" w:hanging="2881"/>
      </w:pPr>
      <w:r>
        <w:rPr/>
        <w:t>zastoupená:</w:t>
        <w:tab/>
        <w:t>Ing.</w:t>
      </w:r>
      <w:r>
        <w:rPr>
          <w:spacing w:val="-3"/>
        </w:rPr>
        <w:t> </w:t>
      </w:r>
      <w:r>
        <w:rPr/>
        <w:t>Michaelou P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</w:t>
      </w:r>
      <w:r>
        <w:rPr/>
        <w:t>místopředsedkyní</w:t>
      </w:r>
      <w:r>
        <w:rPr>
          <w:spacing w:val="-3"/>
        </w:rPr>
        <w:t> </w:t>
      </w:r>
      <w:r>
        <w:rPr/>
        <w:t>představenstva</w:t>
      </w:r>
      <w:r>
        <w:rPr>
          <w:spacing w:val="-2"/>
        </w:rPr>
        <w:t> </w:t>
      </w:r>
      <w:r>
        <w:rPr/>
        <w:t>a</w:t>
      </w:r>
      <w:r>
        <w:rPr>
          <w:spacing w:val="-52"/>
        </w:rPr>
        <w:t> </w:t>
      </w:r>
      <w:r>
        <w:rPr/>
        <w:t>Ing.</w:t>
      </w:r>
      <w:r>
        <w:rPr>
          <w:spacing w:val="-1"/>
        </w:rPr>
        <w:t> </w:t>
      </w:r>
      <w:r>
        <w:rPr/>
        <w:t>Milanem</w:t>
      </w:r>
      <w:r>
        <w:rPr>
          <w:spacing w:val="52"/>
        </w:rPr>
        <w:t> </w:t>
      </w:r>
      <w:r>
        <w:rPr/>
        <w:t>M í</w:t>
      </w:r>
      <w:r>
        <w:rPr>
          <w:spacing w:val="-1"/>
        </w:rPr>
        <w:t> </w:t>
      </w:r>
      <w:r>
        <w:rPr/>
        <w:t>k o</w:t>
      </w:r>
      <w:r>
        <w:rPr>
          <w:spacing w:val="-1"/>
        </w:rPr>
        <w:t> </w:t>
      </w:r>
      <w:r>
        <w:rPr/>
        <w:t>u,</w:t>
      </w:r>
      <w:r>
        <w:rPr>
          <w:spacing w:val="1"/>
        </w:rPr>
        <w:t> </w:t>
      </w:r>
      <w:r>
        <w:rPr/>
        <w:t>místopředsedou</w:t>
      </w:r>
      <w:r>
        <w:rPr>
          <w:spacing w:val="2"/>
        </w:rPr>
        <w:t> </w:t>
      </w:r>
      <w:r>
        <w:rPr/>
        <w:t>představenstva</w:t>
      </w:r>
    </w:p>
    <w:p>
      <w:pPr>
        <w:pStyle w:val="BodyText"/>
        <w:spacing w:before="1"/>
        <w:ind w:left="102"/>
        <w:jc w:val="both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1200300029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10. 8.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8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18"/>
        <w:ind w:left="529" w:right="110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l)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-1"/>
          <w:sz w:val="20"/>
        </w:rPr>
        <w:t> </w:t>
      </w:r>
      <w:r>
        <w:rPr>
          <w:sz w:val="20"/>
        </w:rPr>
        <w:t>6/2022.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10" w:hanging="428"/>
        <w:jc w:val="both"/>
        <w:rPr>
          <w:sz w:val="20"/>
        </w:rPr>
      </w:pPr>
      <w:r>
        <w:rPr>
          <w:sz w:val="20"/>
        </w:rPr>
        <w:t>V článku IV bodu 1 písm. m) se termín předložení vyúčtování a podkladů k ZVA prodlužuje do konce</w:t>
      </w:r>
      <w:r>
        <w:rPr>
          <w:spacing w:val="1"/>
          <w:sz w:val="20"/>
        </w:rPr>
        <w:t> </w:t>
      </w:r>
      <w:r>
        <w:rPr>
          <w:sz w:val="20"/>
        </w:rPr>
        <w:t>8/2022.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1"/>
        </w:rPr>
      </w:pPr>
    </w:p>
    <w:p>
      <w:pPr>
        <w:pStyle w:val="BodyText"/>
        <w:tabs>
          <w:tab w:pos="586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2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"/>
        <w:ind w:right="1651"/>
        <w:jc w:val="right"/>
      </w:pPr>
      <w:r>
        <w:rPr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pStyle w:val="BodyText"/>
        <w:spacing w:before="1"/>
        <w:ind w:left="102" w:right="6198"/>
      </w:pPr>
      <w:r>
        <w:rPr>
          <w:w w:val="95"/>
        </w:rPr>
        <w:t>...............……………………………………</w:t>
      </w:r>
      <w:r>
        <w:rPr>
          <w:spacing w:val="1"/>
          <w:w w:val="95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318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2022-03-09T08:06:03Z</dcterms:created>
  <dcterms:modified xsi:type="dcterms:W3CDTF">2022-03-09T08:06:03Z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