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B4" w:rsidRDefault="00B347D0">
      <w:pPr>
        <w:pStyle w:val="Nzev"/>
        <w:spacing w:before="73"/>
        <w:ind w:left="3283" w:right="3168"/>
      </w:pPr>
      <w:bookmarkStart w:id="0" w:name="_GoBack"/>
      <w:bookmarkEnd w:id="0"/>
      <w:r>
        <w:rPr>
          <w:color w:val="808080"/>
        </w:rPr>
        <w:t>Smlouva č. 1200400018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E4AB4" w:rsidRDefault="00B347D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E4AB4" w:rsidRDefault="009E4AB4">
      <w:pPr>
        <w:pStyle w:val="Zkladntext"/>
        <w:ind w:left="0"/>
        <w:jc w:val="left"/>
        <w:rPr>
          <w:sz w:val="60"/>
        </w:rPr>
      </w:pPr>
    </w:p>
    <w:p w:rsidR="009E4AB4" w:rsidRDefault="00B347D0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E4AB4" w:rsidRDefault="009E4AB4">
      <w:pPr>
        <w:pStyle w:val="Zkladntext"/>
        <w:spacing w:before="1"/>
        <w:ind w:left="0"/>
        <w:jc w:val="left"/>
      </w:pPr>
    </w:p>
    <w:p w:rsidR="009E4AB4" w:rsidRDefault="00B347D0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E4AB4" w:rsidRDefault="00B347D0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E4AB4" w:rsidRDefault="00B347D0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E4AB4" w:rsidRDefault="00B347D0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9E4AB4" w:rsidRDefault="00B347D0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E4AB4" w:rsidRDefault="00B347D0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E4AB4" w:rsidRDefault="00B347D0">
      <w:pPr>
        <w:pStyle w:val="Zkladntext"/>
        <w:tabs>
          <w:tab w:val="left" w:pos="3122"/>
        </w:tabs>
        <w:spacing w:before="4" w:line="237" w:lineRule="auto"/>
        <w:ind w:left="24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E4AB4" w:rsidRDefault="009E4AB4">
      <w:pPr>
        <w:pStyle w:val="Zkladntext"/>
        <w:spacing w:before="1"/>
        <w:ind w:left="0"/>
        <w:jc w:val="left"/>
      </w:pPr>
    </w:p>
    <w:p w:rsidR="009E4AB4" w:rsidRDefault="00B347D0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9E4AB4" w:rsidRDefault="009E4AB4">
      <w:pPr>
        <w:pStyle w:val="Zkladntext"/>
        <w:ind w:left="0"/>
        <w:jc w:val="left"/>
      </w:pPr>
    </w:p>
    <w:p w:rsidR="009E4AB4" w:rsidRDefault="00B347D0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Mikulov</w:t>
      </w:r>
    </w:p>
    <w:p w:rsidR="009E4AB4" w:rsidRDefault="00B347D0">
      <w:pPr>
        <w:pStyle w:val="Zkladntext"/>
        <w:tabs>
          <w:tab w:val="left" w:pos="3122"/>
        </w:tabs>
        <w:spacing w:before="3" w:line="237" w:lineRule="auto"/>
        <w:ind w:left="242" w:right="129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Mikulov,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158/1,</w:t>
      </w:r>
      <w:r>
        <w:rPr>
          <w:spacing w:val="-4"/>
        </w:rPr>
        <w:t xml:space="preserve"> </w:t>
      </w:r>
      <w:r>
        <w:t>692 01</w:t>
      </w:r>
      <w:r>
        <w:rPr>
          <w:spacing w:val="-3"/>
        </w:rPr>
        <w:t xml:space="preserve"> </w:t>
      </w:r>
      <w:r>
        <w:t>Mikulov</w:t>
      </w:r>
      <w:r>
        <w:rPr>
          <w:spacing w:val="-51"/>
        </w:rPr>
        <w:t xml:space="preserve"> </w:t>
      </w:r>
      <w:r>
        <w:t>IČO:</w:t>
      </w:r>
      <w:r>
        <w:tab/>
        <w:t>00283347</w:t>
      </w:r>
    </w:p>
    <w:p w:rsidR="009E4AB4" w:rsidRDefault="00B347D0">
      <w:pPr>
        <w:pStyle w:val="Zkladntext"/>
        <w:tabs>
          <w:tab w:val="left" w:pos="3122"/>
        </w:tabs>
        <w:spacing w:before="1"/>
        <w:ind w:left="242"/>
        <w:jc w:val="left"/>
      </w:pPr>
      <w:r>
        <w:t>zastoupené:</w:t>
      </w:r>
      <w:r>
        <w:tab/>
      </w:r>
      <w:r>
        <w:rPr>
          <w:spacing w:val="-1"/>
        </w:rPr>
        <w:t>Rostislavem K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š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starostou</w:t>
      </w:r>
    </w:p>
    <w:p w:rsidR="009E4AB4" w:rsidRDefault="00B347D0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E4AB4" w:rsidRDefault="00B347D0">
      <w:pPr>
        <w:pStyle w:val="Zkladntext"/>
        <w:tabs>
          <w:tab w:val="left" w:pos="3122"/>
        </w:tabs>
        <w:ind w:left="242" w:right="4987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94-33328651/0710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E4AB4" w:rsidRDefault="009E4AB4">
      <w:pPr>
        <w:pStyle w:val="Zkladntext"/>
        <w:spacing w:before="1"/>
        <w:ind w:left="0"/>
        <w:jc w:val="left"/>
      </w:pPr>
    </w:p>
    <w:p w:rsidR="009E4AB4" w:rsidRDefault="00B347D0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E4AB4" w:rsidRDefault="009E4AB4">
      <w:pPr>
        <w:pStyle w:val="Zkladntext"/>
        <w:spacing w:before="12"/>
        <w:ind w:left="0"/>
        <w:jc w:val="left"/>
        <w:rPr>
          <w:sz w:val="35"/>
        </w:rPr>
      </w:pPr>
    </w:p>
    <w:p w:rsidR="009E4AB4" w:rsidRDefault="00B347D0">
      <w:pPr>
        <w:pStyle w:val="Nadpis1"/>
      </w:pPr>
      <w:r>
        <w:t>I.</w:t>
      </w:r>
    </w:p>
    <w:p w:rsidR="009E4AB4" w:rsidRDefault="00B347D0">
      <w:pPr>
        <w:pStyle w:val="Nadpis2"/>
        <w:spacing w:before="1"/>
        <w:ind w:left="3272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E4AB4" w:rsidRDefault="009E4AB4">
      <w:pPr>
        <w:pStyle w:val="Zkladntext"/>
        <w:ind w:left="0"/>
        <w:jc w:val="left"/>
        <w:rPr>
          <w:b/>
          <w:sz w:val="18"/>
        </w:rPr>
      </w:pPr>
    </w:p>
    <w:p w:rsidR="009E4AB4" w:rsidRDefault="00B347D0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E4AB4" w:rsidRDefault="00B347D0">
      <w:pPr>
        <w:pStyle w:val="Zkladntext"/>
        <w:spacing w:before="1"/>
        <w:ind w:right="131"/>
      </w:pPr>
      <w:r>
        <w:t>„Smlouva“) se uzavírá na základě Rozhodnutí ministra životního prostředí č. 1200400018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9E4AB4" w:rsidRDefault="00B347D0">
      <w:pPr>
        <w:pStyle w:val="Odstavecseseznamem"/>
        <w:numPr>
          <w:ilvl w:val="0"/>
          <w:numId w:val="8"/>
        </w:numPr>
        <w:tabs>
          <w:tab w:val="left" w:pos="602"/>
        </w:tabs>
        <w:spacing w:before="119"/>
        <w:ind w:left="601" w:right="13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10"/>
          <w:sz w:val="20"/>
        </w:rPr>
        <w:t xml:space="preserve"> </w:t>
      </w:r>
      <w:r>
        <w:rPr>
          <w:sz w:val="20"/>
        </w:rPr>
        <w:t>jejích</w:t>
      </w:r>
      <w:r>
        <w:rPr>
          <w:spacing w:val="10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4/2020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2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E4AB4" w:rsidRDefault="009E4AB4">
      <w:pPr>
        <w:jc w:val="both"/>
        <w:rPr>
          <w:sz w:val="20"/>
        </w:rPr>
        <w:sectPr w:rsidR="009E4AB4">
          <w:footerReference w:type="default" r:id="rId7"/>
          <w:type w:val="continuous"/>
          <w:pgSz w:w="12240" w:h="15840"/>
          <w:pgMar w:top="1060" w:right="1000" w:bottom="1620" w:left="1460" w:header="0" w:footer="1436" w:gutter="0"/>
          <w:pgNumType w:start="1"/>
          <w:cols w:space="708"/>
        </w:sectPr>
      </w:pPr>
    </w:p>
    <w:p w:rsidR="009E4AB4" w:rsidRDefault="00B347D0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E4AB4" w:rsidRDefault="00B347D0">
      <w:pPr>
        <w:pStyle w:val="Nadpis2"/>
        <w:spacing w:before="120"/>
        <w:ind w:left="1444"/>
        <w:jc w:val="left"/>
      </w:pPr>
      <w:r>
        <w:t>„Město Mikulov,</w:t>
      </w:r>
      <w:r>
        <w:rPr>
          <w:spacing w:val="-4"/>
        </w:rPr>
        <w:t xml:space="preserve"> </w:t>
      </w:r>
      <w:r>
        <w:t>Snížení</w:t>
      </w:r>
      <w:r>
        <w:rPr>
          <w:spacing w:val="-2"/>
        </w:rPr>
        <w:t xml:space="preserve"> </w:t>
      </w:r>
      <w:r>
        <w:t>energetické</w:t>
      </w:r>
      <w:r>
        <w:rPr>
          <w:spacing w:val="-1"/>
        </w:rPr>
        <w:t xml:space="preserve"> </w:t>
      </w:r>
      <w:r>
        <w:t>náročnosti</w:t>
      </w:r>
      <w:r>
        <w:rPr>
          <w:spacing w:val="-1"/>
        </w:rPr>
        <w:t xml:space="preserve"> </w:t>
      </w:r>
      <w:r>
        <w:t>veřejného</w:t>
      </w:r>
      <w:r>
        <w:rPr>
          <w:spacing w:val="-2"/>
        </w:rPr>
        <w:t xml:space="preserve"> </w:t>
      </w:r>
      <w:r>
        <w:t>osvětlení</w:t>
      </w:r>
      <w:r>
        <w:rPr>
          <w:spacing w:val="-2"/>
        </w:rPr>
        <w:t xml:space="preserve"> </w:t>
      </w:r>
      <w:r>
        <w:t>2020“</w:t>
      </w:r>
    </w:p>
    <w:p w:rsidR="009E4AB4" w:rsidRDefault="00B347D0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 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E4AB4" w:rsidRDefault="009E4AB4">
      <w:pPr>
        <w:pStyle w:val="Zkladntext"/>
        <w:spacing w:before="1"/>
        <w:ind w:left="0"/>
        <w:jc w:val="left"/>
        <w:rPr>
          <w:sz w:val="36"/>
        </w:rPr>
      </w:pPr>
    </w:p>
    <w:p w:rsidR="009E4AB4" w:rsidRDefault="00B347D0">
      <w:pPr>
        <w:pStyle w:val="Nadpis1"/>
      </w:pPr>
      <w:r>
        <w:t>II.</w:t>
      </w:r>
    </w:p>
    <w:p w:rsidR="009E4AB4" w:rsidRDefault="00B347D0">
      <w:pPr>
        <w:pStyle w:val="Nadpis2"/>
        <w:spacing w:before="1"/>
        <w:ind w:left="327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E4AB4" w:rsidRDefault="009E4AB4">
      <w:pPr>
        <w:pStyle w:val="Zkladntext"/>
        <w:spacing w:before="3"/>
        <w:ind w:left="0"/>
        <w:jc w:val="left"/>
        <w:rPr>
          <w:b/>
          <w:sz w:val="18"/>
        </w:rPr>
      </w:pPr>
    </w:p>
    <w:p w:rsidR="009E4AB4" w:rsidRDefault="00B347D0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dva</w:t>
      </w:r>
      <w:r>
        <w:rPr>
          <w:spacing w:val="-52"/>
          <w:sz w:val="20"/>
        </w:rPr>
        <w:t xml:space="preserve"> </w:t>
      </w:r>
      <w:r>
        <w:rPr>
          <w:sz w:val="20"/>
        </w:rPr>
        <w:t>milióny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českých).</w:t>
      </w:r>
    </w:p>
    <w:p w:rsidR="009E4AB4" w:rsidRDefault="00B347D0">
      <w:pPr>
        <w:pStyle w:val="Odstavecseseznamem"/>
        <w:numPr>
          <w:ilvl w:val="0"/>
          <w:numId w:val="7"/>
        </w:numPr>
        <w:tabs>
          <w:tab w:val="left" w:pos="52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556</w:t>
      </w:r>
      <w:r>
        <w:rPr>
          <w:spacing w:val="1"/>
          <w:sz w:val="20"/>
        </w:rPr>
        <w:t xml:space="preserve"> </w:t>
      </w:r>
      <w:r>
        <w:rPr>
          <w:sz w:val="20"/>
        </w:rPr>
        <w:t>878,39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E4AB4" w:rsidRDefault="00B347D0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43,89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E4AB4" w:rsidRDefault="00B347D0">
      <w:pPr>
        <w:pStyle w:val="Odstavecseseznamem"/>
        <w:numPr>
          <w:ilvl w:val="0"/>
          <w:numId w:val="7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9E4AB4" w:rsidRDefault="00B347D0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Podporu j</w:t>
      </w:r>
      <w:r>
        <w:rPr>
          <w:sz w:val="20"/>
        </w:rPr>
        <w:t>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 (tj. po zahájení projektu a před dokončením proj</w:t>
      </w:r>
      <w:r>
        <w:rPr>
          <w:sz w:val="20"/>
        </w:rPr>
        <w:t>ektu), nejdříve však po dni podání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před tímto datem.</w:t>
      </w:r>
    </w:p>
    <w:p w:rsidR="009E4AB4" w:rsidRDefault="00B347D0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9E4AB4" w:rsidRDefault="00B347D0">
      <w:pPr>
        <w:pStyle w:val="Odstavecseseznamem"/>
        <w:numPr>
          <w:ilvl w:val="0"/>
          <w:numId w:val="7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9E4AB4" w:rsidRDefault="009E4AB4">
      <w:pPr>
        <w:pStyle w:val="Zkladntext"/>
        <w:spacing w:before="2"/>
        <w:ind w:left="0"/>
        <w:jc w:val="left"/>
        <w:rPr>
          <w:sz w:val="36"/>
        </w:rPr>
      </w:pPr>
    </w:p>
    <w:p w:rsidR="009E4AB4" w:rsidRDefault="00B347D0">
      <w:pPr>
        <w:pStyle w:val="Nadpis1"/>
        <w:ind w:left="3275"/>
      </w:pPr>
      <w:r>
        <w:t>III.</w:t>
      </w:r>
    </w:p>
    <w:p w:rsidR="009E4AB4" w:rsidRDefault="00B347D0">
      <w:pPr>
        <w:pStyle w:val="Nadpis2"/>
        <w:ind w:left="327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E4AB4" w:rsidRDefault="009E4AB4">
      <w:pPr>
        <w:pStyle w:val="Zkladntext"/>
        <w:spacing w:before="12"/>
        <w:ind w:left="0"/>
        <w:jc w:val="left"/>
        <w:rPr>
          <w:b/>
          <w:sz w:val="17"/>
        </w:rPr>
      </w:pP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29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3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4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v bodech</w:t>
      </w:r>
      <w:r>
        <w:rPr>
          <w:spacing w:val="1"/>
          <w:sz w:val="20"/>
        </w:rPr>
        <w:t xml:space="preserve"> </w:t>
      </w:r>
      <w:r>
        <w:rPr>
          <w:sz w:val="20"/>
        </w:rPr>
        <w:t>10–15</w:t>
      </w:r>
      <w:r>
        <w:rPr>
          <w:spacing w:val="1"/>
          <w:sz w:val="20"/>
        </w:rPr>
        <w:t xml:space="preserve"> </w:t>
      </w:r>
      <w:r>
        <w:rPr>
          <w:sz w:val="20"/>
        </w:rPr>
        <w:t>tak,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E4AB4" w:rsidRDefault="009E4AB4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304"/>
      </w:tblGrid>
      <w:tr w:rsidR="009E4AB4">
        <w:trPr>
          <w:trHeight w:val="506"/>
        </w:trPr>
        <w:tc>
          <w:tcPr>
            <w:tcW w:w="4532" w:type="dxa"/>
          </w:tcPr>
          <w:p w:rsidR="009E4AB4" w:rsidRDefault="00B347D0">
            <w:pPr>
              <w:pStyle w:val="TableParagraph"/>
              <w:spacing w:before="120"/>
              <w:ind w:left="1976" w:right="197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304" w:type="dxa"/>
          </w:tcPr>
          <w:p w:rsidR="009E4AB4" w:rsidRDefault="00B347D0">
            <w:pPr>
              <w:pStyle w:val="TableParagraph"/>
              <w:spacing w:before="120"/>
              <w:ind w:left="1566" w:right="156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E4AB4">
        <w:trPr>
          <w:trHeight w:val="506"/>
        </w:trPr>
        <w:tc>
          <w:tcPr>
            <w:tcW w:w="4532" w:type="dxa"/>
          </w:tcPr>
          <w:p w:rsidR="009E4AB4" w:rsidRDefault="00B347D0">
            <w:pPr>
              <w:pStyle w:val="TableParagraph"/>
              <w:spacing w:before="120"/>
              <w:ind w:left="1976" w:right="196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304" w:type="dxa"/>
          </w:tcPr>
          <w:p w:rsidR="009E4AB4" w:rsidRDefault="00B347D0">
            <w:pPr>
              <w:pStyle w:val="TableParagraph"/>
              <w:spacing w:before="120"/>
              <w:ind w:left="1569" w:right="15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000 000,00</w:t>
            </w:r>
          </w:p>
        </w:tc>
      </w:tr>
    </w:tbl>
    <w:p w:rsidR="009E4AB4" w:rsidRDefault="009E4AB4">
      <w:pPr>
        <w:pStyle w:val="Zkladntext"/>
        <w:spacing w:before="1"/>
        <w:ind w:left="0"/>
        <w:jc w:val="left"/>
        <w:rPr>
          <w:sz w:val="29"/>
        </w:rPr>
      </w:pP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ČR“)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(bod</w:t>
      </w:r>
      <w:r>
        <w:rPr>
          <w:spacing w:val="-9"/>
          <w:sz w:val="20"/>
        </w:rPr>
        <w:t xml:space="preserve"> </w:t>
      </w:r>
      <w:r>
        <w:rPr>
          <w:sz w:val="20"/>
        </w:rPr>
        <w:t>11)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9"/>
          <w:sz w:val="20"/>
        </w:rPr>
        <w:t xml:space="preserve"> </w:t>
      </w: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oprávněnost</w:t>
      </w:r>
    </w:p>
    <w:p w:rsidR="009E4AB4" w:rsidRDefault="009E4AB4">
      <w:pPr>
        <w:jc w:val="both"/>
        <w:rPr>
          <w:sz w:val="20"/>
        </w:rPr>
        <w:sectPr w:rsidR="009E4AB4">
          <w:pgSz w:w="12240" w:h="15840"/>
          <w:pgMar w:top="1060" w:right="1000" w:bottom="1640" w:left="1460" w:header="0" w:footer="1436" w:gutter="0"/>
          <w:cols w:space="708"/>
        </w:sectPr>
      </w:pPr>
    </w:p>
    <w:p w:rsidR="009E4AB4" w:rsidRDefault="00B347D0">
      <w:pPr>
        <w:pStyle w:val="Zkladntext"/>
        <w:spacing w:before="73"/>
      </w:pPr>
      <w:r>
        <w:lastRenderedPageBreak/>
        <w:t>vynaložených</w:t>
      </w:r>
      <w:r>
        <w:rPr>
          <w:spacing w:val="-6"/>
        </w:rPr>
        <w:t xml:space="preserve"> </w:t>
      </w:r>
      <w:r>
        <w:t>finančních</w:t>
      </w:r>
      <w:r>
        <w:rPr>
          <w:spacing w:val="-6"/>
        </w:rPr>
        <w:t xml:space="preserve"> </w:t>
      </w:r>
      <w:r>
        <w:t>prostředků.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O pr</w:t>
      </w:r>
      <w:r>
        <w:rPr>
          <w:sz w:val="20"/>
        </w:rPr>
        <w:t>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9E4AB4" w:rsidRDefault="00B347D0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9E4AB4" w:rsidRDefault="00B347D0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left="88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ind w:right="13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</w:t>
      </w:r>
      <w:r>
        <w:rPr>
          <w:sz w:val="20"/>
        </w:rPr>
        <w:t>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 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</w:t>
      </w:r>
      <w:r>
        <w:rPr>
          <w:sz w:val="20"/>
        </w:rPr>
        <w:t>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9E4AB4" w:rsidRDefault="00B347D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9E4AB4" w:rsidRDefault="009E4AB4">
      <w:pPr>
        <w:jc w:val="both"/>
        <w:rPr>
          <w:sz w:val="20"/>
        </w:rPr>
        <w:sectPr w:rsidR="009E4AB4">
          <w:pgSz w:w="12240" w:h="15840"/>
          <w:pgMar w:top="1060" w:right="1000" w:bottom="1660" w:left="1460" w:header="0" w:footer="1436" w:gutter="0"/>
          <w:cols w:space="708"/>
        </w:sectPr>
      </w:pPr>
    </w:p>
    <w:p w:rsidR="009E4AB4" w:rsidRDefault="009E4AB4">
      <w:pPr>
        <w:pStyle w:val="Zkladntext"/>
        <w:ind w:left="0"/>
        <w:jc w:val="left"/>
        <w:rPr>
          <w:sz w:val="26"/>
        </w:rPr>
      </w:pPr>
    </w:p>
    <w:p w:rsidR="009E4AB4" w:rsidRDefault="009E4AB4">
      <w:pPr>
        <w:pStyle w:val="Zkladntext"/>
        <w:spacing w:before="8"/>
        <w:ind w:left="0"/>
        <w:jc w:val="left"/>
        <w:rPr>
          <w:sz w:val="37"/>
        </w:rPr>
      </w:pPr>
    </w:p>
    <w:p w:rsidR="009E4AB4" w:rsidRDefault="00B347D0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9E4AB4" w:rsidRDefault="00B347D0">
      <w:pPr>
        <w:spacing w:before="73"/>
        <w:ind w:left="230" w:right="230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E4AB4" w:rsidRDefault="00B347D0">
      <w:pPr>
        <w:pStyle w:val="Nadpis2"/>
        <w:ind w:left="230" w:right="230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E4AB4" w:rsidRDefault="009E4AB4">
      <w:pPr>
        <w:sectPr w:rsidR="009E4AB4">
          <w:pgSz w:w="12240" w:h="15840"/>
          <w:pgMar w:top="1060" w:right="1000" w:bottom="1660" w:left="1460" w:header="0" w:footer="1436" w:gutter="0"/>
          <w:cols w:num="2" w:space="708" w:equalWidth="0">
            <w:col w:w="2126" w:space="63"/>
            <w:col w:w="7591"/>
          </w:cols>
        </w:sectPr>
      </w:pP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ind w:right="132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byla</w:t>
      </w:r>
      <w:r>
        <w:rPr>
          <w:spacing w:val="-9"/>
          <w:sz w:val="20"/>
        </w:rPr>
        <w:t xml:space="preserve"> </w:t>
      </w:r>
      <w:r>
        <w:rPr>
          <w:sz w:val="20"/>
        </w:rPr>
        <w:t>provedena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Fondem</w:t>
      </w:r>
      <w:r>
        <w:rPr>
          <w:spacing w:val="-9"/>
          <w:sz w:val="20"/>
        </w:rPr>
        <w:t xml:space="preserve"> </w:t>
      </w:r>
      <w:r>
        <w:rPr>
          <w:sz w:val="20"/>
        </w:rPr>
        <w:t>odsouhlaseným</w:t>
      </w:r>
      <w:r>
        <w:rPr>
          <w:spacing w:val="-8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9"/>
          <w:sz w:val="20"/>
        </w:rPr>
        <w:t xml:space="preserve"> </w:t>
      </w:r>
      <w:r>
        <w:rPr>
          <w:sz w:val="20"/>
        </w:rPr>
        <w:t>posudkem</w:t>
      </w:r>
      <w:r>
        <w:rPr>
          <w:spacing w:val="-9"/>
          <w:sz w:val="20"/>
        </w:rPr>
        <w:t xml:space="preserve"> </w:t>
      </w:r>
      <w:r>
        <w:rPr>
          <w:sz w:val="20"/>
        </w:rPr>
        <w:t>„Město</w:t>
      </w:r>
      <w:r>
        <w:rPr>
          <w:spacing w:val="-7"/>
          <w:sz w:val="20"/>
        </w:rPr>
        <w:t xml:space="preserve"> </w:t>
      </w:r>
      <w:r>
        <w:rPr>
          <w:sz w:val="20"/>
        </w:rPr>
        <w:t>Mikulov,</w:t>
      </w:r>
      <w:r>
        <w:rPr>
          <w:spacing w:val="-52"/>
          <w:sz w:val="20"/>
        </w:rPr>
        <w:t xml:space="preserve"> </w:t>
      </w:r>
      <w:r>
        <w:rPr>
          <w:sz w:val="20"/>
        </w:rPr>
        <w:t>Sníženi energetické náročnosti veřejného osvětleni 2020", zpracovaným Ing. Jakubem Kladivou</w:t>
      </w:r>
      <w:r>
        <w:rPr>
          <w:spacing w:val="1"/>
          <w:sz w:val="20"/>
        </w:rPr>
        <w:t xml:space="preserve"> </w:t>
      </w:r>
      <w:r>
        <w:rPr>
          <w:sz w:val="20"/>
        </w:rPr>
        <w:t>(10/2020),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spacing w:before="118"/>
        <w:ind w:right="135"/>
        <w:rPr>
          <w:sz w:val="20"/>
        </w:rPr>
      </w:pPr>
      <w:r>
        <w:rPr>
          <w:sz w:val="20"/>
        </w:rPr>
        <w:t>v období od 7/2021 do 11/2021 bylo vyměněno 320 svítidel veřejného osvětlen</w:t>
      </w:r>
      <w:r>
        <w:rPr>
          <w:sz w:val="20"/>
        </w:rPr>
        <w:t>í a dosaženo roční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-2"/>
          <w:sz w:val="20"/>
        </w:rPr>
        <w:t xml:space="preserve"> </w:t>
      </w:r>
      <w:r>
        <w:rPr>
          <w:sz w:val="20"/>
        </w:rPr>
        <w:t>úspory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88,26 MWh/rok,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ind w:right="126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6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18"/>
          <w:sz w:val="20"/>
        </w:rPr>
        <w:t xml:space="preserve"> </w:t>
      </w:r>
      <w:r>
        <w:rPr>
          <w:sz w:val="20"/>
        </w:rPr>
        <w:t>opatření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7"/>
          <w:sz w:val="20"/>
        </w:rPr>
        <w:t xml:space="preserve"> </w:t>
      </w:r>
      <w:r>
        <w:rPr>
          <w:sz w:val="20"/>
        </w:rPr>
        <w:t>kontroly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písm.</w:t>
      </w:r>
      <w:r>
        <w:rPr>
          <w:spacing w:val="16"/>
          <w:sz w:val="20"/>
        </w:rPr>
        <w:t xml:space="preserve"> </w:t>
      </w:r>
      <w:r>
        <w:rPr>
          <w:sz w:val="20"/>
        </w:rPr>
        <w:t>b)</w:t>
      </w:r>
      <w:r>
        <w:rPr>
          <w:spacing w:val="17"/>
          <w:sz w:val="20"/>
        </w:rPr>
        <w:t xml:space="preserve"> </w:t>
      </w:r>
      <w:r>
        <w:rPr>
          <w:sz w:val="20"/>
        </w:rPr>
        <w:t>odrážky</w:t>
      </w:r>
      <w:r>
        <w:rPr>
          <w:spacing w:val="16"/>
          <w:sz w:val="20"/>
        </w:rPr>
        <w:t xml:space="preserve"> </w:t>
      </w:r>
      <w:r>
        <w:rPr>
          <w:sz w:val="20"/>
        </w:rPr>
        <w:t>čtvrté)</w:t>
      </w:r>
      <w:r>
        <w:rPr>
          <w:spacing w:val="16"/>
          <w:sz w:val="20"/>
        </w:rPr>
        <w:t xml:space="preserve"> </w:t>
      </w:r>
      <w:r>
        <w:rPr>
          <w:sz w:val="20"/>
        </w:rPr>
        <w:t>po</w:t>
      </w:r>
      <w:r>
        <w:rPr>
          <w:spacing w:val="18"/>
          <w:sz w:val="20"/>
        </w:rPr>
        <w:t xml:space="preserve"> </w:t>
      </w:r>
      <w:r>
        <w:rPr>
          <w:sz w:val="20"/>
        </w:rPr>
        <w:t>dobu</w:t>
      </w:r>
      <w:r>
        <w:rPr>
          <w:spacing w:val="16"/>
          <w:sz w:val="20"/>
        </w:rPr>
        <w:t xml:space="preserve"> </w:t>
      </w:r>
      <w:r>
        <w:rPr>
          <w:sz w:val="20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let</w:t>
      </w:r>
      <w:r>
        <w:rPr>
          <w:spacing w:val="-5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</w:t>
      </w:r>
    </w:p>
    <w:p w:rsidR="009E4AB4" w:rsidRDefault="00B347D0">
      <w:pPr>
        <w:pStyle w:val="Zkladntext"/>
        <w:spacing w:before="120"/>
        <w:ind w:left="923" w:right="133"/>
      </w:pPr>
      <w:r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</w:t>
      </w:r>
      <w:r>
        <w:t>tátního fondu ve smyslu zákona č. 218/2000 Sb., o rozpočtových pravidlech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8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8"/>
        </w:rPr>
        <w:t xml:space="preserve"> </w:t>
      </w:r>
      <w:r>
        <w:t>pravidla),</w:t>
      </w:r>
      <w:r>
        <w:rPr>
          <w:spacing w:val="-5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mohou</w:t>
      </w:r>
      <w:r>
        <w:rPr>
          <w:spacing w:val="-8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6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ind w:right="128"/>
        <w:rPr>
          <w:sz w:val="20"/>
        </w:rPr>
      </w:pPr>
      <w:r>
        <w:rPr>
          <w:sz w:val="20"/>
        </w:rPr>
        <w:t>zajistí udržitelnost projektu, tj. zabezpečí, že účel, pro který je poskytnuta podpora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 bude u relevantních aktivit a jejich výstupů řádně plněn po dobu 5 let od data vydání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</w:t>
      </w:r>
      <w:r>
        <w:rPr>
          <w:sz w:val="20"/>
        </w:rPr>
        <w:t>VA“),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spacing w:before="119"/>
        <w:ind w:right="130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ind w:right="134"/>
        <w:rPr>
          <w:sz w:val="20"/>
        </w:rPr>
      </w:pPr>
      <w:r>
        <w:rPr>
          <w:sz w:val="20"/>
        </w:rPr>
        <w:t>umožní provádět kontrolu provedení opatření na místě 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ČR Fondu podklady</w:t>
      </w:r>
      <w:r>
        <w:rPr>
          <w:spacing w:val="2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9E4AB4" w:rsidRDefault="00B347D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9E4AB4" w:rsidRDefault="00B347D0">
      <w:pPr>
        <w:pStyle w:val="Zkladntext"/>
        <w:spacing w:before="118"/>
        <w:ind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</w:t>
      </w:r>
      <w:r>
        <w:rPr>
          <w:spacing w:val="-10"/>
        </w:rPr>
        <w:t xml:space="preserve"> </w:t>
      </w:r>
      <w:r>
        <w:t>(případně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11"/>
        </w:rPr>
        <w:t xml:space="preserve"> </w:t>
      </w:r>
      <w:r>
        <w:t>stanovené</w:t>
      </w:r>
      <w:r>
        <w:rPr>
          <w:spacing w:val="-10"/>
        </w:rPr>
        <w:t xml:space="preserve"> </w:t>
      </w:r>
      <w:r>
        <w:t>Fond</w:t>
      </w:r>
      <w:r>
        <w:t>em)</w:t>
      </w:r>
      <w:r>
        <w:rPr>
          <w:spacing w:val="-10"/>
        </w:rPr>
        <w:t xml:space="preserve"> </w:t>
      </w:r>
      <w:r>
        <w:t>splnit.</w:t>
      </w:r>
      <w:r>
        <w:rPr>
          <w:spacing w:val="-10"/>
        </w:rPr>
        <w:t xml:space="preserve"> </w:t>
      </w:r>
      <w:r>
        <w:t>Fond</w:t>
      </w:r>
      <w:r>
        <w:rPr>
          <w:spacing w:val="-10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ZVA</w:t>
      </w:r>
      <w:r>
        <w:rPr>
          <w:spacing w:val="-9"/>
        </w:rPr>
        <w:t xml:space="preserve"> </w:t>
      </w:r>
      <w:r>
        <w:t>dříve</w:t>
      </w:r>
      <w:r>
        <w:rPr>
          <w:spacing w:val="-11"/>
        </w:rPr>
        <w:t xml:space="preserve"> </w:t>
      </w:r>
      <w:r>
        <w:t>než</w:t>
      </w:r>
    </w:p>
    <w:p w:rsidR="009E4AB4" w:rsidRDefault="009E4AB4">
      <w:pPr>
        <w:sectPr w:rsidR="009E4AB4">
          <w:type w:val="continuous"/>
          <w:pgSz w:w="12240" w:h="15840"/>
          <w:pgMar w:top="1060" w:right="1000" w:bottom="1620" w:left="1460" w:header="0" w:footer="1436" w:gutter="0"/>
          <w:cols w:space="708"/>
        </w:sectPr>
      </w:pPr>
    </w:p>
    <w:p w:rsidR="009E4AB4" w:rsidRDefault="00B347D0">
      <w:pPr>
        <w:pStyle w:val="Zkladntext"/>
        <w:spacing w:before="73"/>
        <w:ind w:right="133"/>
      </w:pPr>
      <w:r>
        <w:lastRenderedPageBreak/>
        <w:t>obdrží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a informace,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moci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9E4AB4" w:rsidRDefault="00B347D0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E4AB4" w:rsidRDefault="00B347D0">
      <w:pPr>
        <w:pStyle w:val="Odstavecseseznamem"/>
        <w:numPr>
          <w:ilvl w:val="1"/>
          <w:numId w:val="5"/>
        </w:numPr>
        <w:tabs>
          <w:tab w:val="left" w:pos="809"/>
        </w:tabs>
        <w:ind w:right="133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zákonem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134/2016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2"/>
          <w:sz w:val="20"/>
        </w:rPr>
        <w:t xml:space="preserve"> </w:t>
      </w:r>
      <w:r>
        <w:rPr>
          <w:sz w:val="20"/>
        </w:rPr>
        <w:t>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 z rozpočtu SFŽP ČR, ve znění účinném v době zahájení 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 uveřejněny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webových stránkách Fondu.</w:t>
      </w:r>
    </w:p>
    <w:p w:rsidR="009E4AB4" w:rsidRDefault="009E4AB4">
      <w:pPr>
        <w:jc w:val="both"/>
        <w:rPr>
          <w:sz w:val="20"/>
        </w:rPr>
        <w:sectPr w:rsidR="009E4AB4">
          <w:pgSz w:w="12240" w:h="15840"/>
          <w:pgMar w:top="1060" w:right="1000" w:bottom="1660" w:left="1460" w:header="0" w:footer="1436" w:gutter="0"/>
          <w:cols w:space="708"/>
        </w:sectPr>
      </w:pPr>
    </w:p>
    <w:p w:rsidR="009E4AB4" w:rsidRDefault="00B347D0">
      <w:pPr>
        <w:pStyle w:val="Nadpis1"/>
        <w:spacing w:before="73"/>
        <w:ind w:left="3274"/>
      </w:pPr>
      <w:r>
        <w:lastRenderedPageBreak/>
        <w:t>V.</w:t>
      </w:r>
    </w:p>
    <w:p w:rsidR="009E4AB4" w:rsidRDefault="00B347D0">
      <w:pPr>
        <w:pStyle w:val="Nadpis2"/>
        <w:ind w:left="115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E4AB4" w:rsidRDefault="009E4AB4">
      <w:pPr>
        <w:pStyle w:val="Zkladntext"/>
        <w:spacing w:before="1"/>
        <w:ind w:left="0"/>
        <w:jc w:val="left"/>
        <w:rPr>
          <w:b/>
          <w:sz w:val="18"/>
        </w:rPr>
      </w:pPr>
    </w:p>
    <w:p w:rsidR="009E4AB4" w:rsidRDefault="00B347D0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E4AB4" w:rsidRDefault="00B347D0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5"/>
          <w:sz w:val="20"/>
        </w:rPr>
        <w:t xml:space="preserve"> </w:t>
      </w:r>
      <w:r>
        <w:rPr>
          <w:sz w:val="20"/>
        </w:rPr>
        <w:t>bodů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6,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a),</w:t>
      </w:r>
      <w:r>
        <w:rPr>
          <w:spacing w:val="-1"/>
          <w:sz w:val="20"/>
        </w:rPr>
        <w:t xml:space="preserve"> </w:t>
      </w:r>
      <w:r>
        <w:rPr>
          <w:sz w:val="20"/>
        </w:rPr>
        <w:t>c),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 odpovídající</w:t>
      </w:r>
      <w:r>
        <w:rPr>
          <w:spacing w:val="-53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9E4AB4" w:rsidRDefault="00B347D0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odpovídající použitým prostředkům. Byl-li</w:t>
      </w:r>
      <w:r>
        <w:rPr>
          <w:spacing w:val="1"/>
          <w:sz w:val="20"/>
        </w:rPr>
        <w:t xml:space="preserve"> </w:t>
      </w:r>
      <w:r>
        <w:rPr>
          <w:sz w:val="20"/>
        </w:rPr>
        <w:t>naplněn účel akce podle článku IV bodu 1 písm. a) za druhou o</w:t>
      </w:r>
      <w:r>
        <w:rPr>
          <w:sz w:val="20"/>
        </w:rPr>
        <w:t>drážkou na méně než 50 % stanovených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indikátorů,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prostředkům,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plnění</w:t>
      </w:r>
      <w:r>
        <w:rPr>
          <w:spacing w:val="13"/>
          <w:sz w:val="20"/>
        </w:rPr>
        <w:t xml:space="preserve"> </w:t>
      </w:r>
      <w:r>
        <w:rPr>
          <w:sz w:val="20"/>
        </w:rPr>
        <w:t>účelu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v rozmezí</w:t>
      </w:r>
      <w:r>
        <w:rPr>
          <w:spacing w:val="13"/>
          <w:sz w:val="20"/>
        </w:rPr>
        <w:t xml:space="preserve"> </w:t>
      </w:r>
      <w:r>
        <w:rPr>
          <w:sz w:val="20"/>
        </w:rPr>
        <w:t>50-90</w:t>
      </w:r>
      <w:r>
        <w:rPr>
          <w:spacing w:val="14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toto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4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 rozmezí 10-50 % z poskytnuté podpory v závislosti na míře porušení stanovených indikátorů účelu akce.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-2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odvodem.</w:t>
      </w:r>
    </w:p>
    <w:p w:rsidR="009E4AB4" w:rsidRDefault="00B347D0">
      <w:pPr>
        <w:pStyle w:val="Odstavecseseznamem"/>
        <w:numPr>
          <w:ilvl w:val="0"/>
          <w:numId w:val="4"/>
        </w:numPr>
        <w:tabs>
          <w:tab w:val="left" w:pos="52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9E4AB4" w:rsidRDefault="00B347D0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</w:t>
      </w:r>
      <w:r>
        <w:rPr>
          <w:sz w:val="20"/>
        </w:rPr>
        <w:t>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9E4AB4" w:rsidRDefault="00B347D0">
      <w:pPr>
        <w:pStyle w:val="Odstavecseseznamem"/>
        <w:numPr>
          <w:ilvl w:val="0"/>
          <w:numId w:val="4"/>
        </w:numPr>
        <w:tabs>
          <w:tab w:val="left" w:pos="52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E4AB4" w:rsidRDefault="009E4AB4">
      <w:pPr>
        <w:pStyle w:val="Zkladntext"/>
        <w:spacing w:before="2"/>
        <w:ind w:left="0"/>
        <w:jc w:val="left"/>
        <w:rPr>
          <w:sz w:val="36"/>
        </w:rPr>
      </w:pPr>
    </w:p>
    <w:p w:rsidR="009E4AB4" w:rsidRDefault="00B347D0">
      <w:pPr>
        <w:pStyle w:val="Nadpis1"/>
        <w:ind w:left="3277"/>
      </w:pPr>
      <w:r>
        <w:t>VI.</w:t>
      </w:r>
    </w:p>
    <w:p w:rsidR="009E4AB4" w:rsidRDefault="00B347D0">
      <w:pPr>
        <w:pStyle w:val="Nadpis2"/>
        <w:spacing w:before="1"/>
        <w:ind w:left="327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E4AB4" w:rsidRDefault="009E4AB4">
      <w:pPr>
        <w:pStyle w:val="Zkladntext"/>
        <w:spacing w:before="12"/>
        <w:ind w:left="0"/>
        <w:jc w:val="left"/>
        <w:rPr>
          <w:b/>
          <w:sz w:val="17"/>
        </w:rPr>
      </w:pP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E4AB4" w:rsidRDefault="009E4AB4">
      <w:pPr>
        <w:jc w:val="both"/>
        <w:rPr>
          <w:sz w:val="20"/>
        </w:rPr>
        <w:sectPr w:rsidR="009E4AB4">
          <w:pgSz w:w="12240" w:h="15840"/>
          <w:pgMar w:top="1060" w:right="1000" w:bottom="1660" w:left="1460" w:header="0" w:footer="1436" w:gutter="0"/>
          <w:cols w:space="708"/>
        </w:sectPr>
      </w:pP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E4AB4" w:rsidRDefault="00B347D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E4AB4" w:rsidRDefault="009E4AB4">
      <w:pPr>
        <w:pStyle w:val="Zkladntext"/>
        <w:spacing w:before="3"/>
        <w:ind w:left="0"/>
        <w:jc w:val="left"/>
        <w:rPr>
          <w:sz w:val="36"/>
        </w:rPr>
      </w:pPr>
    </w:p>
    <w:p w:rsidR="009E4AB4" w:rsidRDefault="00B347D0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9E4AB4" w:rsidRDefault="009E4AB4">
      <w:pPr>
        <w:pStyle w:val="Zkladntext"/>
        <w:spacing w:before="12"/>
        <w:ind w:left="0"/>
        <w:jc w:val="left"/>
        <w:rPr>
          <w:sz w:val="17"/>
        </w:rPr>
      </w:pPr>
    </w:p>
    <w:p w:rsidR="009E4AB4" w:rsidRDefault="00B347D0">
      <w:pPr>
        <w:pStyle w:val="Zkladntext"/>
        <w:spacing w:before="1"/>
        <w:ind w:left="242"/>
        <w:jc w:val="left"/>
      </w:pPr>
      <w:r>
        <w:t>dne:</w:t>
      </w:r>
    </w:p>
    <w:p w:rsidR="009E4AB4" w:rsidRDefault="009E4AB4">
      <w:pPr>
        <w:pStyle w:val="Zkladntext"/>
        <w:ind w:left="0"/>
        <w:jc w:val="left"/>
        <w:rPr>
          <w:sz w:val="26"/>
        </w:rPr>
      </w:pPr>
    </w:p>
    <w:p w:rsidR="009E4AB4" w:rsidRDefault="009E4AB4">
      <w:pPr>
        <w:pStyle w:val="Zkladntext"/>
        <w:ind w:left="0"/>
        <w:jc w:val="left"/>
        <w:rPr>
          <w:sz w:val="26"/>
        </w:rPr>
      </w:pPr>
    </w:p>
    <w:p w:rsidR="009E4AB4" w:rsidRDefault="009E4AB4">
      <w:pPr>
        <w:pStyle w:val="Zkladntext"/>
        <w:spacing w:before="2"/>
        <w:ind w:left="0"/>
        <w:jc w:val="left"/>
        <w:rPr>
          <w:sz w:val="29"/>
        </w:rPr>
      </w:pPr>
    </w:p>
    <w:p w:rsidR="009E4AB4" w:rsidRDefault="00B347D0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E4AB4" w:rsidRDefault="00B347D0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E4AB4" w:rsidRDefault="009E4AB4">
      <w:pPr>
        <w:pStyle w:val="Zkladntext"/>
        <w:ind w:left="0"/>
        <w:jc w:val="left"/>
        <w:rPr>
          <w:sz w:val="26"/>
        </w:rPr>
      </w:pPr>
    </w:p>
    <w:p w:rsidR="009E4AB4" w:rsidRDefault="009E4AB4">
      <w:pPr>
        <w:pStyle w:val="Zkladntext"/>
        <w:spacing w:before="2"/>
        <w:ind w:left="0"/>
        <w:jc w:val="left"/>
        <w:rPr>
          <w:sz w:val="32"/>
        </w:rPr>
      </w:pPr>
    </w:p>
    <w:p w:rsidR="009E4AB4" w:rsidRDefault="00B347D0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5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E4AB4" w:rsidRDefault="009E4AB4">
      <w:pPr>
        <w:spacing w:line="264" w:lineRule="auto"/>
        <w:sectPr w:rsidR="009E4AB4">
          <w:pgSz w:w="12240" w:h="15840"/>
          <w:pgMar w:top="1060" w:right="1000" w:bottom="1660" w:left="1460" w:header="0" w:footer="1436" w:gutter="0"/>
          <w:cols w:space="708"/>
        </w:sectPr>
      </w:pPr>
    </w:p>
    <w:p w:rsidR="009E4AB4" w:rsidRDefault="00B347D0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9E4AB4" w:rsidRDefault="009E4AB4">
      <w:pPr>
        <w:pStyle w:val="Zkladntext"/>
        <w:ind w:left="0"/>
        <w:jc w:val="left"/>
        <w:rPr>
          <w:sz w:val="26"/>
        </w:rPr>
      </w:pPr>
    </w:p>
    <w:p w:rsidR="009E4AB4" w:rsidRDefault="009E4AB4">
      <w:pPr>
        <w:pStyle w:val="Zkladntext"/>
        <w:spacing w:before="2"/>
        <w:ind w:left="0"/>
        <w:jc w:val="left"/>
        <w:rPr>
          <w:sz w:val="32"/>
        </w:rPr>
      </w:pPr>
    </w:p>
    <w:p w:rsidR="009E4AB4" w:rsidRDefault="00B347D0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9"/>
          <w:tab w:val="left" w:pos="4980"/>
          <w:tab w:val="left" w:pos="6088"/>
          <w:tab w:val="left" w:pos="7126"/>
          <w:tab w:val="left" w:pos="8339"/>
          <w:tab w:val="left" w:pos="8813"/>
        </w:tabs>
        <w:spacing w:line="264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E4AB4" w:rsidRDefault="009E4AB4">
      <w:pPr>
        <w:pStyle w:val="Zkladntext"/>
        <w:spacing w:before="1"/>
        <w:ind w:left="0"/>
        <w:jc w:val="left"/>
        <w:rPr>
          <w:b/>
          <w:sz w:val="27"/>
        </w:rPr>
      </w:pPr>
    </w:p>
    <w:p w:rsidR="009E4AB4" w:rsidRDefault="00B347D0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b/>
          <w:sz w:val="20"/>
        </w:rPr>
      </w:pPr>
      <w:r>
        <w:rPr>
          <w:b/>
          <w:sz w:val="20"/>
        </w:rPr>
        <w:t xml:space="preserve">A.  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Obecná ustanovení</w:t>
      </w:r>
    </w:p>
    <w:p w:rsidR="009E4AB4" w:rsidRDefault="00B347D0">
      <w:pPr>
        <w:pStyle w:val="Odstavecseseznamem"/>
        <w:numPr>
          <w:ilvl w:val="1"/>
          <w:numId w:val="2"/>
        </w:numPr>
        <w:tabs>
          <w:tab w:val="left" w:pos="809"/>
        </w:tabs>
        <w:spacing w:before="120" w:line="312" w:lineRule="auto"/>
        <w:ind w:right="129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</w:t>
      </w:r>
      <w:r>
        <w:rPr>
          <w:sz w:val="20"/>
        </w:rPr>
        <w:t>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k) Smlouvy, při zadávání zakázek / 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</w:t>
      </w:r>
      <w:r>
        <w:rPr>
          <w:sz w:val="20"/>
        </w:rPr>
        <w:t>ní zadávacího řízení (dále souhrnně jen „zákon“) 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 postupu stanoveného v Pokynech pro zadávání zakázek pro programy spolufinancované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rozpočtu</w:t>
      </w:r>
      <w:r>
        <w:rPr>
          <w:spacing w:val="45"/>
          <w:sz w:val="20"/>
        </w:rPr>
        <w:t xml:space="preserve"> </w:t>
      </w:r>
      <w:r>
        <w:rPr>
          <w:sz w:val="20"/>
        </w:rPr>
        <w:t>SFŽP</w:t>
      </w:r>
      <w:r>
        <w:rPr>
          <w:spacing w:val="45"/>
          <w:sz w:val="20"/>
        </w:rPr>
        <w:t xml:space="preserve"> </w:t>
      </w:r>
      <w:r>
        <w:rPr>
          <w:sz w:val="20"/>
        </w:rPr>
        <w:t>ČR,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znění</w:t>
      </w:r>
      <w:r>
        <w:rPr>
          <w:spacing w:val="46"/>
          <w:sz w:val="20"/>
        </w:rPr>
        <w:t xml:space="preserve"> </w:t>
      </w:r>
      <w:r>
        <w:rPr>
          <w:sz w:val="20"/>
        </w:rPr>
        <w:t>účinném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době</w:t>
      </w:r>
      <w:r>
        <w:rPr>
          <w:spacing w:val="45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7"/>
          <w:sz w:val="20"/>
        </w:rPr>
        <w:t xml:space="preserve"> </w:t>
      </w:r>
      <w:r>
        <w:rPr>
          <w:sz w:val="20"/>
        </w:rPr>
        <w:t>řízení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9E4AB4" w:rsidRDefault="00B347D0">
      <w:pPr>
        <w:pStyle w:val="Zkladntext"/>
        <w:spacing w:before="2"/>
        <w:ind w:left="808"/>
        <w:jc w:val="left"/>
      </w:pPr>
      <w:r>
        <w:t>„Pokyny</w:t>
      </w:r>
      <w:r>
        <w:rPr>
          <w:spacing w:val="-5"/>
        </w:rPr>
        <w:t xml:space="preserve"> </w:t>
      </w:r>
      <w:r>
        <w:t>SFŽP</w:t>
      </w:r>
      <w:r>
        <w:rPr>
          <w:spacing w:val="-2"/>
        </w:rPr>
        <w:t xml:space="preserve"> </w:t>
      </w:r>
      <w:r>
        <w:t>ČR“).</w:t>
      </w:r>
    </w:p>
    <w:p w:rsidR="009E4AB4" w:rsidRDefault="00B347D0">
      <w:pPr>
        <w:pStyle w:val="Odstavecseseznamem"/>
        <w:numPr>
          <w:ilvl w:val="1"/>
          <w:numId w:val="2"/>
        </w:numPr>
        <w:tabs>
          <w:tab w:val="left" w:pos="809"/>
        </w:tabs>
        <w:spacing w:before="79" w:line="312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E4AB4" w:rsidRDefault="00B347D0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266" w:lineRule="exact"/>
        <w:ind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E4AB4" w:rsidRDefault="00B347D0">
      <w:pPr>
        <w:pStyle w:val="Odstavecseseznamem"/>
        <w:numPr>
          <w:ilvl w:val="1"/>
          <w:numId w:val="2"/>
        </w:numPr>
        <w:tabs>
          <w:tab w:val="left" w:pos="809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4"/>
          <w:sz w:val="20"/>
        </w:rPr>
        <w:t xml:space="preserve"> </w:t>
      </w:r>
      <w:r>
        <w:rPr>
          <w:sz w:val="20"/>
        </w:rPr>
        <w:t>odvodu</w:t>
      </w:r>
      <w:r>
        <w:rPr>
          <w:spacing w:val="89"/>
          <w:sz w:val="20"/>
        </w:rPr>
        <w:t xml:space="preserve"> </w:t>
      </w:r>
      <w:r>
        <w:rPr>
          <w:sz w:val="20"/>
        </w:rPr>
        <w:t>se</w:t>
      </w:r>
      <w:r>
        <w:rPr>
          <w:spacing w:val="88"/>
          <w:sz w:val="20"/>
        </w:rPr>
        <w:t xml:space="preserve"> </w:t>
      </w:r>
      <w:r>
        <w:rPr>
          <w:sz w:val="20"/>
        </w:rPr>
        <w:t>vypočte</w:t>
      </w:r>
      <w:r>
        <w:rPr>
          <w:spacing w:val="90"/>
          <w:sz w:val="20"/>
        </w:rPr>
        <w:t xml:space="preserve"> </w:t>
      </w:r>
      <w:r>
        <w:rPr>
          <w:sz w:val="20"/>
        </w:rPr>
        <w:t>z</w:t>
      </w:r>
      <w:r>
        <w:rPr>
          <w:spacing w:val="94"/>
          <w:sz w:val="20"/>
        </w:rPr>
        <w:t xml:space="preserve"> </w:t>
      </w:r>
      <w:r>
        <w:rPr>
          <w:sz w:val="20"/>
        </w:rPr>
        <w:t>částky,</w:t>
      </w:r>
      <w:r>
        <w:rPr>
          <w:spacing w:val="91"/>
          <w:sz w:val="20"/>
        </w:rPr>
        <w:t xml:space="preserve"> </w:t>
      </w:r>
      <w:r>
        <w:rPr>
          <w:sz w:val="20"/>
        </w:rPr>
        <w:t>která</w:t>
      </w:r>
      <w:r>
        <w:rPr>
          <w:spacing w:val="89"/>
          <w:sz w:val="20"/>
        </w:rPr>
        <w:t xml:space="preserve"> </w:t>
      </w:r>
      <w:r>
        <w:rPr>
          <w:sz w:val="20"/>
        </w:rPr>
        <w:t>byla</w:t>
      </w:r>
      <w:r>
        <w:rPr>
          <w:spacing w:val="89"/>
          <w:sz w:val="20"/>
        </w:rPr>
        <w:t xml:space="preserve"> </w:t>
      </w:r>
      <w:r>
        <w:rPr>
          <w:sz w:val="20"/>
        </w:rPr>
        <w:t>nebo</w:t>
      </w:r>
      <w:r>
        <w:rPr>
          <w:spacing w:val="93"/>
          <w:sz w:val="20"/>
        </w:rPr>
        <w:t xml:space="preserve"> </w:t>
      </w:r>
      <w:r>
        <w:rPr>
          <w:sz w:val="20"/>
        </w:rPr>
        <w:t>má</w:t>
      </w:r>
      <w:r>
        <w:rPr>
          <w:spacing w:val="89"/>
          <w:sz w:val="20"/>
        </w:rPr>
        <w:t xml:space="preserve"> </w:t>
      </w:r>
      <w:r>
        <w:rPr>
          <w:sz w:val="20"/>
        </w:rPr>
        <w:t>být</w:t>
      </w:r>
      <w:r>
        <w:rPr>
          <w:spacing w:val="8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rozpočtu</w:t>
      </w:r>
      <w:r>
        <w:rPr>
          <w:spacing w:val="89"/>
          <w:sz w:val="20"/>
        </w:rPr>
        <w:t xml:space="preserve"> </w:t>
      </w:r>
      <w:r>
        <w:rPr>
          <w:sz w:val="20"/>
        </w:rPr>
        <w:t>Fondu</w:t>
      </w:r>
      <w:r>
        <w:rPr>
          <w:spacing w:val="9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 u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9E4AB4" w:rsidRDefault="00B347D0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E4AB4" w:rsidRDefault="00B347D0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2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</w:t>
      </w:r>
      <w:r>
        <w:rPr>
          <w:sz w:val="20"/>
        </w:rPr>
        <w:t xml:space="preserve">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</w:t>
      </w:r>
      <w:r>
        <w:rPr>
          <w:sz w:val="20"/>
        </w:rPr>
        <w:t xml:space="preserve">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E4AB4" w:rsidRDefault="00B347D0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E4AB4" w:rsidRDefault="009E4AB4">
      <w:pPr>
        <w:spacing w:line="312" w:lineRule="auto"/>
        <w:jc w:val="both"/>
        <w:rPr>
          <w:sz w:val="20"/>
        </w:rPr>
        <w:sectPr w:rsidR="009E4AB4">
          <w:pgSz w:w="12240" w:h="15840"/>
          <w:pgMar w:top="1060" w:right="1000" w:bottom="1660" w:left="1460" w:header="0" w:footer="1436" w:gutter="0"/>
          <w:cols w:space="708"/>
        </w:sectPr>
      </w:pPr>
    </w:p>
    <w:p w:rsidR="009E4AB4" w:rsidRDefault="00B347D0">
      <w:pPr>
        <w:pStyle w:val="Nadpis1"/>
        <w:numPr>
          <w:ilvl w:val="0"/>
          <w:numId w:val="2"/>
        </w:numPr>
        <w:tabs>
          <w:tab w:val="left" w:pos="949"/>
          <w:tab w:val="left" w:pos="950"/>
          <w:tab w:val="left" w:pos="1681"/>
        </w:tabs>
        <w:spacing w:before="73"/>
        <w:ind w:left="950" w:right="0" w:hanging="708"/>
      </w:pPr>
      <w:r>
        <w:lastRenderedPageBreak/>
        <w:t>B.</w:t>
      </w:r>
      <w:r>
        <w:tab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E4AB4" w:rsidRDefault="009E4AB4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E4AB4" w:rsidRDefault="00B347D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E4AB4" w:rsidRDefault="00B347D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E4AB4" w:rsidRDefault="00B347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E4AB4" w:rsidRDefault="00B347D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E4AB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E4AB4" w:rsidRDefault="00B347D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E4AB4" w:rsidRDefault="00B347D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E4AB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E4AB4" w:rsidRDefault="00B347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E4AB4" w:rsidRDefault="00B347D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E4AB4" w:rsidRDefault="00B347D0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E4AB4" w:rsidRDefault="00B347D0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E4AB4" w:rsidRDefault="00B347D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E4AB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E4AB4" w:rsidRDefault="00B347D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E4AB4" w:rsidRDefault="00B347D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E4AB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E4AB4" w:rsidRDefault="00B347D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E4AB4" w:rsidRDefault="00B347D0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E4AB4" w:rsidRDefault="00B347D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E4AB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E4AB4" w:rsidRDefault="00B347D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E4AB4" w:rsidRDefault="00B347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E4AB4" w:rsidRDefault="00B347D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E4AB4" w:rsidRDefault="009E4AB4">
      <w:pPr>
        <w:rPr>
          <w:sz w:val="20"/>
        </w:rPr>
        <w:sectPr w:rsidR="009E4AB4">
          <w:pgSz w:w="12240" w:h="15840"/>
          <w:pgMar w:top="106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E4AB4" w:rsidRDefault="00B347D0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38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E4AB4" w:rsidRDefault="00B347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E4AB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E4AB4" w:rsidRDefault="00B347D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E4AB4" w:rsidRDefault="00B347D0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E4AB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E4AB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E4AB4" w:rsidRDefault="00B347D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E4AB4" w:rsidRDefault="00B347D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E4AB4" w:rsidRDefault="00B347D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E4AB4" w:rsidRDefault="00B347D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E4AB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E4AB4" w:rsidRDefault="00B347D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E4AB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E4AB4" w:rsidRDefault="00B347D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E4AB4" w:rsidRDefault="00B347D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E4AB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E4AB4" w:rsidRDefault="00B347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E4AB4" w:rsidRDefault="009E4AB4">
      <w:pPr>
        <w:rPr>
          <w:sz w:val="20"/>
        </w:rPr>
        <w:sectPr w:rsidR="009E4AB4">
          <w:pgSz w:w="12240" w:h="15840"/>
          <w:pgMar w:top="1140" w:right="1000" w:bottom="1897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E4AB4" w:rsidRDefault="00B347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E4AB4" w:rsidRDefault="00B347D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E4AB4" w:rsidRDefault="00B347D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E4AB4" w:rsidRDefault="00B347D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E4AB4" w:rsidRDefault="00B347D0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E4AB4" w:rsidRDefault="00B347D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E4AB4" w:rsidRDefault="00B347D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E4AB4" w:rsidRDefault="00B347D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E4AB4" w:rsidRDefault="00B347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E4AB4" w:rsidRDefault="00B347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E4AB4" w:rsidRDefault="00B347D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E4AB4" w:rsidRDefault="00B347D0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E4AB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E4AB4" w:rsidRDefault="00B347D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E4AB4" w:rsidRDefault="00B347D0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E4AB4" w:rsidRDefault="00B347D0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4AB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E4AB4" w:rsidRDefault="00B347D0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E4AB4" w:rsidRDefault="00B347D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E4AB4" w:rsidRDefault="00B347D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E4AB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E4AB4" w:rsidRDefault="00B347D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4AB4" w:rsidRDefault="00B347D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E4AB4" w:rsidRDefault="009E4AB4">
      <w:pPr>
        <w:pStyle w:val="Zkladntext"/>
        <w:ind w:left="0"/>
        <w:jc w:val="left"/>
        <w:rPr>
          <w:b/>
        </w:rPr>
      </w:pPr>
    </w:p>
    <w:p w:rsidR="009E4AB4" w:rsidRDefault="00D52ADB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6DCC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E4AB4" w:rsidRDefault="009E4AB4">
      <w:pPr>
        <w:pStyle w:val="Zkladntext"/>
        <w:ind w:left="0"/>
        <w:jc w:val="left"/>
        <w:rPr>
          <w:b/>
        </w:rPr>
      </w:pPr>
    </w:p>
    <w:p w:rsidR="009E4AB4" w:rsidRDefault="009E4AB4">
      <w:pPr>
        <w:pStyle w:val="Zkladntext"/>
        <w:spacing w:before="3"/>
        <w:ind w:left="0"/>
        <w:jc w:val="left"/>
        <w:rPr>
          <w:b/>
          <w:sz w:val="14"/>
        </w:rPr>
      </w:pPr>
    </w:p>
    <w:p w:rsidR="009E4AB4" w:rsidRDefault="00B347D0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E4AB4" w:rsidRDefault="009E4AB4">
      <w:pPr>
        <w:rPr>
          <w:sz w:val="16"/>
        </w:rPr>
        <w:sectPr w:rsidR="009E4AB4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0" w:right="7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E4AB4" w:rsidRDefault="00B347D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E4AB4" w:rsidRDefault="00B347D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E4AB4" w:rsidRDefault="00B347D0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E4AB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E4AB4" w:rsidRDefault="00B347D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E4AB4" w:rsidRDefault="00B347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E4AB4" w:rsidRDefault="00B347D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E4AB4" w:rsidRDefault="00B347D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E4AB4" w:rsidRDefault="00B347D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E4AB4" w:rsidRDefault="00B347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E4AB4" w:rsidRDefault="00B347D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E4AB4" w:rsidRDefault="00B347D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E4AB4" w:rsidRDefault="00B347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E4AB4" w:rsidRDefault="00B347D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E4AB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E4AB4" w:rsidRDefault="00B347D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E4AB4" w:rsidRDefault="00B347D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E4AB4" w:rsidRDefault="00B347D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E4AB4" w:rsidRDefault="00B347D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E4AB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E4AB4" w:rsidRDefault="00B347D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E4AB4" w:rsidRDefault="00B347D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E4AB4" w:rsidRDefault="00B347D0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E4AB4" w:rsidRDefault="00B347D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E4AB4" w:rsidRDefault="00B347D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E4AB4" w:rsidRDefault="00B347D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4AB4" w:rsidRDefault="00B347D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4AB4" w:rsidRDefault="00B347D0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E4AB4" w:rsidRDefault="00B347D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4AB4" w:rsidRDefault="00B347D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E4AB4">
        <w:trPr>
          <w:trHeight w:val="29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</w:tc>
      </w:tr>
    </w:tbl>
    <w:p w:rsidR="009E4AB4" w:rsidRDefault="009E4AB4">
      <w:pPr>
        <w:jc w:val="right"/>
        <w:rPr>
          <w:sz w:val="20"/>
        </w:rPr>
        <w:sectPr w:rsidR="009E4AB4">
          <w:pgSz w:w="12240" w:h="15840"/>
          <w:pgMar w:top="1140" w:right="1000" w:bottom="164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314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9E4AB4" w:rsidRDefault="00B347D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E4AB4" w:rsidRDefault="00B347D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E4AB4" w:rsidRDefault="00B347D0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E4AB4" w:rsidRDefault="00B347D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E4AB4" w:rsidRDefault="00B347D0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4AB4" w:rsidRDefault="00B347D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4AB4" w:rsidRDefault="00B347D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E4AB4" w:rsidRDefault="00B347D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E4AB4" w:rsidRDefault="00B347D0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E4AB4" w:rsidRDefault="00B347D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E4AB4" w:rsidRDefault="00B347D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E4AB4" w:rsidRDefault="00B347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E4AB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95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E4AB4" w:rsidRDefault="00B347D0">
            <w:pPr>
              <w:pStyle w:val="TableParagraph"/>
              <w:spacing w:before="4" w:line="237" w:lineRule="auto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E4AB4" w:rsidRDefault="00B347D0"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E4AB4" w:rsidRDefault="00B347D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E4AB4" w:rsidRDefault="00B347D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E4AB4" w:rsidRDefault="00B347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</w:t>
            </w:r>
            <w:r>
              <w:rPr>
                <w:sz w:val="20"/>
              </w:rPr>
              <w:t>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E4AB4" w:rsidRDefault="00B347D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E4AB4" w:rsidRDefault="00B347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E4AB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E4AB4" w:rsidRDefault="00B347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E4AB4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10" w:line="237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4AB4" w:rsidRDefault="00B347D0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E4AB4" w:rsidRDefault="009E4AB4">
      <w:pPr>
        <w:rPr>
          <w:sz w:val="20"/>
        </w:rPr>
        <w:sectPr w:rsidR="009E4AB4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AB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E4AB4" w:rsidRDefault="00B347D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E4AB4" w:rsidRDefault="00B347D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E4AB4" w:rsidRDefault="00B347D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E4AB4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E4AB4" w:rsidRDefault="00B347D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E4AB4" w:rsidRDefault="00B347D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E4AB4" w:rsidRDefault="00B347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E4AB4" w:rsidRDefault="00B347D0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E4AB4" w:rsidRDefault="00B347D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4AB4" w:rsidRDefault="00B347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E4AB4" w:rsidRDefault="00B347D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E4AB4" w:rsidRDefault="00B347D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</w:t>
            </w:r>
            <w:r>
              <w:rPr>
                <w:sz w:val="20"/>
              </w:rPr>
              <w:t>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9E4AB4" w:rsidRDefault="00B347D0"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4AB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E4AB4" w:rsidRDefault="00B347D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E4AB4" w:rsidRDefault="00B347D0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E4AB4" w:rsidRDefault="00B347D0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E4AB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E4AB4" w:rsidRDefault="00B347D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E4AB4" w:rsidRDefault="00B347D0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E4AB4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E4AB4" w:rsidRDefault="00B347D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E4AB4" w:rsidRDefault="009E4AB4">
      <w:pPr>
        <w:rPr>
          <w:sz w:val="20"/>
        </w:rPr>
        <w:sectPr w:rsidR="009E4AB4">
          <w:type w:val="continuous"/>
          <w:pgSz w:w="12240" w:h="15840"/>
          <w:pgMar w:top="1140" w:right="1000" w:bottom="162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AB4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E4AB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E4AB4" w:rsidRDefault="00B347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E4AB4" w:rsidRDefault="00B347D0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E4AB4" w:rsidRDefault="00B347D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E4AB4" w:rsidRDefault="00B347D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E4AB4" w:rsidRDefault="00B347D0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E4AB4" w:rsidRDefault="00B347D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4AB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E4AB4" w:rsidRDefault="00B347D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E4AB4" w:rsidRDefault="00B347D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E4AB4" w:rsidRDefault="00B347D0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4AB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E4AB4" w:rsidRDefault="00B347D0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E4AB4" w:rsidRDefault="00B347D0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E4AB4" w:rsidRDefault="00B347D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E4AB4" w:rsidRDefault="009E4AB4">
      <w:pPr>
        <w:rPr>
          <w:sz w:val="20"/>
        </w:rPr>
        <w:sectPr w:rsidR="009E4AB4">
          <w:type w:val="continuous"/>
          <w:pgSz w:w="12240" w:h="15840"/>
          <w:pgMar w:top="1140" w:right="1000" w:bottom="1928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E4AB4" w:rsidRDefault="00B347D0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E4AB4" w:rsidRDefault="00B347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E4AB4" w:rsidRDefault="00B347D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E4AB4" w:rsidRDefault="00B347D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E4AB4" w:rsidRDefault="00B347D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4AB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E4AB4" w:rsidRDefault="00B347D0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E4AB4" w:rsidRDefault="00B347D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E4AB4" w:rsidRDefault="00B347D0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E4AB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E4AB4" w:rsidRDefault="00B347D0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E4AB4" w:rsidRDefault="00B347D0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E4AB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E4AB4" w:rsidRDefault="00B347D0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E4AB4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9E4AB4" w:rsidRDefault="00D52ADB">
      <w:pPr>
        <w:pStyle w:val="Zkladntext"/>
        <w:spacing w:before="7"/>
        <w:ind w:left="0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C0B3A" id="docshape3" o:spid="_x0000_s1026" style="position:absolute;margin-left:85.1pt;margin-top:9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B4PJ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E4AB4" w:rsidRDefault="009E4AB4">
      <w:pPr>
        <w:pStyle w:val="Zkladntext"/>
        <w:ind w:left="0"/>
        <w:jc w:val="left"/>
      </w:pPr>
    </w:p>
    <w:p w:rsidR="009E4AB4" w:rsidRDefault="009E4AB4">
      <w:pPr>
        <w:pStyle w:val="Zkladntext"/>
        <w:spacing w:before="3"/>
        <w:ind w:left="0"/>
        <w:jc w:val="left"/>
        <w:rPr>
          <w:sz w:val="14"/>
        </w:rPr>
      </w:pPr>
    </w:p>
    <w:p w:rsidR="009E4AB4" w:rsidRDefault="00B347D0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E4AB4" w:rsidRDefault="009E4AB4">
      <w:pPr>
        <w:rPr>
          <w:sz w:val="16"/>
        </w:rPr>
        <w:sectPr w:rsidR="009E4AB4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4A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4AB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E4AB4" w:rsidRDefault="00B347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E4AB4" w:rsidRDefault="00B347D0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E4AB4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4AB4" w:rsidRDefault="00B347D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4AB4" w:rsidRDefault="009E4AB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E4AB4" w:rsidRDefault="00B347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E4AB4" w:rsidRDefault="009E4AB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E4AB4" w:rsidRDefault="00B347D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E4AB4" w:rsidRDefault="00B347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E4AB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4AB4" w:rsidRDefault="009E4AB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E4AB4" w:rsidRDefault="00B347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E4AB4" w:rsidRDefault="009E4AB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E4AB4" w:rsidRDefault="00B347D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E4AB4" w:rsidRDefault="00B347D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E4AB4" w:rsidRDefault="00B347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E4AB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E4AB4" w:rsidRDefault="00B347D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9E4AB4" w:rsidRDefault="00B347D0">
            <w:pPr>
              <w:pStyle w:val="TableParagraph"/>
              <w:ind w:right="255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</w:p>
          <w:p w:rsidR="009E4AB4" w:rsidRDefault="00B347D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4AB4" w:rsidRDefault="00B347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4AB4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4AB4" w:rsidRDefault="009E4A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4AB4" w:rsidRDefault="00B347D0">
            <w:pPr>
              <w:pStyle w:val="TableParagraph"/>
              <w:spacing w:before="9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347D0" w:rsidRDefault="00B347D0"/>
    <w:sectPr w:rsidR="00B347D0">
      <w:pgSz w:w="12240" w:h="15840"/>
      <w:pgMar w:top="1140" w:right="1000" w:bottom="1660" w:left="146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D0" w:rsidRDefault="00B347D0">
      <w:r>
        <w:separator/>
      </w:r>
    </w:p>
  </w:endnote>
  <w:endnote w:type="continuationSeparator" w:id="0">
    <w:p w:rsidR="00B347D0" w:rsidRDefault="00B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B4" w:rsidRDefault="00D52ADB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AB4" w:rsidRDefault="00B347D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A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E4AB4" w:rsidRDefault="00B347D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A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D0" w:rsidRDefault="00B347D0">
      <w:r>
        <w:separator/>
      </w:r>
    </w:p>
  </w:footnote>
  <w:footnote w:type="continuationSeparator" w:id="0">
    <w:p w:rsidR="00B347D0" w:rsidRDefault="00B3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ACF"/>
    <w:multiLevelType w:val="hybridMultilevel"/>
    <w:tmpl w:val="41C20242"/>
    <w:lvl w:ilvl="0" w:tplc="0CDCD368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D32253A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94DC5206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2CFC24F8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C408DD4E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B3681260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69B4831E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BF546B54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0BA40F4C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3303CFE"/>
    <w:multiLevelType w:val="hybridMultilevel"/>
    <w:tmpl w:val="2BDC113E"/>
    <w:lvl w:ilvl="0" w:tplc="D646C2A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C879AA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01325322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8FB8315A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B70E410E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2D50E2C6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66DC682E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1B2A7838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9156FC0C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98416DF"/>
    <w:multiLevelType w:val="hybridMultilevel"/>
    <w:tmpl w:val="255A5E82"/>
    <w:lvl w:ilvl="0" w:tplc="2B3A990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8AD30E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6A1E893C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30024CB0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8BD4A5D4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4D308F5C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579C9756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281AFA90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1DC80002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0DA1252"/>
    <w:multiLevelType w:val="hybridMultilevel"/>
    <w:tmpl w:val="1D407ED4"/>
    <w:lvl w:ilvl="0" w:tplc="F33CF5EA">
      <w:start w:val="1"/>
      <w:numFmt w:val="decimal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CB54F62C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43690C0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BD9A36F8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0EEE049C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3806AE38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413025EE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79B46BE6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E078DECE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2F267E48"/>
    <w:multiLevelType w:val="hybridMultilevel"/>
    <w:tmpl w:val="D1BA70DC"/>
    <w:lvl w:ilvl="0" w:tplc="0640101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A2FFC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4061A3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C76596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45BE06A8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D22005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0AB04E0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45DC92D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3AA89920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5D776CE9"/>
    <w:multiLevelType w:val="hybridMultilevel"/>
    <w:tmpl w:val="F9BAEC78"/>
    <w:lvl w:ilvl="0" w:tplc="3B56B6E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DE8F94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C30634E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E79CC7A4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5F908532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60C61454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317AA0E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400673F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78A8558E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7EC155D"/>
    <w:multiLevelType w:val="hybridMultilevel"/>
    <w:tmpl w:val="74DC9EA2"/>
    <w:lvl w:ilvl="0" w:tplc="351CE51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4C948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A9EC1CE">
      <w:numFmt w:val="bullet"/>
      <w:lvlText w:val="•"/>
      <w:lvlJc w:val="left"/>
      <w:pPr>
        <w:ind w:left="1797" w:hanging="284"/>
      </w:pPr>
      <w:rPr>
        <w:rFonts w:hint="default"/>
        <w:lang w:val="cs-CZ" w:eastAsia="en-US" w:bidi="ar-SA"/>
      </w:rPr>
    </w:lvl>
    <w:lvl w:ilvl="3" w:tplc="91E0DF58">
      <w:numFmt w:val="bullet"/>
      <w:lvlText w:val="•"/>
      <w:lvlJc w:val="left"/>
      <w:pPr>
        <w:ind w:left="2795" w:hanging="284"/>
      </w:pPr>
      <w:rPr>
        <w:rFonts w:hint="default"/>
        <w:lang w:val="cs-CZ" w:eastAsia="en-US" w:bidi="ar-SA"/>
      </w:rPr>
    </w:lvl>
    <w:lvl w:ilvl="4" w:tplc="F7DA1036"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 w:tplc="37D68A6C">
      <w:numFmt w:val="bullet"/>
      <w:lvlText w:val="•"/>
      <w:lvlJc w:val="left"/>
      <w:pPr>
        <w:ind w:left="4791" w:hanging="284"/>
      </w:pPr>
      <w:rPr>
        <w:rFonts w:hint="default"/>
        <w:lang w:val="cs-CZ" w:eastAsia="en-US" w:bidi="ar-SA"/>
      </w:rPr>
    </w:lvl>
    <w:lvl w:ilvl="6" w:tplc="D41234F2">
      <w:numFmt w:val="bullet"/>
      <w:lvlText w:val="•"/>
      <w:lvlJc w:val="left"/>
      <w:pPr>
        <w:ind w:left="5788" w:hanging="284"/>
      </w:pPr>
      <w:rPr>
        <w:rFonts w:hint="default"/>
        <w:lang w:val="cs-CZ" w:eastAsia="en-US" w:bidi="ar-SA"/>
      </w:rPr>
    </w:lvl>
    <w:lvl w:ilvl="7" w:tplc="AB8475DE">
      <w:numFmt w:val="bullet"/>
      <w:lvlText w:val="•"/>
      <w:lvlJc w:val="left"/>
      <w:pPr>
        <w:ind w:left="6786" w:hanging="284"/>
      </w:pPr>
      <w:rPr>
        <w:rFonts w:hint="default"/>
        <w:lang w:val="cs-CZ" w:eastAsia="en-US" w:bidi="ar-SA"/>
      </w:rPr>
    </w:lvl>
    <w:lvl w:ilvl="8" w:tplc="5AFCD086">
      <w:numFmt w:val="bullet"/>
      <w:lvlText w:val="•"/>
      <w:lvlJc w:val="left"/>
      <w:pPr>
        <w:ind w:left="7784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AA612B1"/>
    <w:multiLevelType w:val="hybridMultilevel"/>
    <w:tmpl w:val="975653A4"/>
    <w:lvl w:ilvl="0" w:tplc="5528785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024DF4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168EBA3C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21A2CEC6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09F2D344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4EBCF1BA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F538109C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82766ACC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A88A2DDA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4"/>
    <w:rsid w:val="009E4AB4"/>
    <w:rsid w:val="00B347D0"/>
    <w:rsid w:val="00D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C7309-06C4-4495-9835-18A54700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5016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2022-03-09T07:54:00Z</dcterms:created>
  <dcterms:modified xsi:type="dcterms:W3CDTF">2022-03-09T07:54:00Z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